
<file path=[Content_Types].xml><?xml version="1.0" encoding="utf-8"?>
<Types xmlns="http://schemas.openxmlformats.org/package/2006/content-types">
  <Override PartName="/word/footnotes.xml" ContentType="application/vnd.openxmlformats-officedocument.wordprocessingml.footnotes+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4C3" w:rsidRPr="007744C3" w:rsidRDefault="007744C3" w:rsidP="007744C3">
      <w:pPr>
        <w:spacing w:after="0" w:line="240" w:lineRule="auto"/>
        <w:rPr>
          <w:b/>
        </w:rPr>
      </w:pPr>
      <w:r w:rsidRPr="007744C3">
        <w:t>УДК 330.3</w:t>
      </w:r>
    </w:p>
    <w:p w:rsidR="00855DF2" w:rsidRPr="00855DF2" w:rsidRDefault="00855DF2" w:rsidP="00855DF2">
      <w:pPr>
        <w:spacing w:line="240" w:lineRule="auto"/>
        <w:jc w:val="right"/>
        <w:rPr>
          <w:b/>
        </w:rPr>
      </w:pPr>
      <w:r w:rsidRPr="00855DF2">
        <w:rPr>
          <w:b/>
        </w:rPr>
        <w:t xml:space="preserve">Тихомирова В.В. </w:t>
      </w:r>
    </w:p>
    <w:p w:rsidR="00E11752" w:rsidRDefault="00E11752" w:rsidP="0057193E">
      <w:pPr>
        <w:pStyle w:val="Default"/>
        <w:ind w:firstLine="708"/>
        <w:jc w:val="center"/>
        <w:rPr>
          <w:b/>
        </w:rPr>
      </w:pPr>
      <w:r w:rsidRPr="00855DF2">
        <w:rPr>
          <w:b/>
        </w:rPr>
        <w:t xml:space="preserve">Реальный сектор экономики: </w:t>
      </w:r>
      <w:r w:rsidR="00855DF2" w:rsidRPr="00855DF2">
        <w:rPr>
          <w:b/>
        </w:rPr>
        <w:t xml:space="preserve">конкуренция на внутреннем </w:t>
      </w:r>
      <w:r w:rsidRPr="00855DF2">
        <w:rPr>
          <w:b/>
        </w:rPr>
        <w:t>рынк</w:t>
      </w:r>
      <w:r w:rsidR="00855DF2" w:rsidRPr="00855DF2">
        <w:rPr>
          <w:b/>
        </w:rPr>
        <w:t>е</w:t>
      </w:r>
      <w:r w:rsidRPr="00855DF2">
        <w:rPr>
          <w:b/>
        </w:rPr>
        <w:t xml:space="preserve"> социальных услуг в Республике Коми</w:t>
      </w:r>
    </w:p>
    <w:p w:rsidR="0057193E" w:rsidRPr="00855DF2" w:rsidRDefault="0057193E" w:rsidP="0057193E">
      <w:pPr>
        <w:pStyle w:val="Default"/>
        <w:ind w:firstLine="708"/>
        <w:jc w:val="center"/>
        <w:rPr>
          <w:b/>
        </w:rPr>
      </w:pPr>
    </w:p>
    <w:p w:rsidR="00855DF2" w:rsidRPr="00877B97" w:rsidRDefault="0057193E" w:rsidP="00855DF2">
      <w:pPr>
        <w:spacing w:after="0" w:line="240" w:lineRule="auto"/>
        <w:ind w:firstLine="708"/>
        <w:jc w:val="both"/>
        <w:rPr>
          <w:i/>
        </w:rPr>
      </w:pPr>
      <w:r w:rsidRPr="00877B97">
        <w:rPr>
          <w:b/>
          <w:i/>
        </w:rPr>
        <w:t>Аннотация.</w:t>
      </w:r>
      <w:r w:rsidRPr="00877B97">
        <w:rPr>
          <w:i/>
        </w:rPr>
        <w:t xml:space="preserve"> </w:t>
      </w:r>
      <w:r w:rsidR="00855DF2" w:rsidRPr="00877B97">
        <w:rPr>
          <w:i/>
        </w:rPr>
        <w:t xml:space="preserve">В данной статье в качестве индикатора конкурентоспособности региона рассматривается  конкурентоспособность регионального рынка социального обслуживания населения. </w:t>
      </w:r>
      <w:r w:rsidR="00855DF2" w:rsidRPr="00877B97">
        <w:rPr>
          <w:rStyle w:val="tlid-translation"/>
          <w:i/>
        </w:rPr>
        <w:t xml:space="preserve">Анализируется мониторинг удовлетворенности населения уровнем цен, качеством и возможностью выбора социальных </w:t>
      </w:r>
      <w:r w:rsidR="00855DF2" w:rsidRPr="00877B97">
        <w:rPr>
          <w:i/>
        </w:rPr>
        <w:t>услуг в данной сфере в динамике с 2015 по 2020 год. Выявлено наличие положительной динамики развития данного рынка. Однако, не смотря на это, сохраняется большая доля неудовлетворенных потребителей соответствующего вида услуг. Определено, что жители региона в целом «скорее не удовлетворены» услугами рынка социального обслуживания населения по каждому из предложенных показателей.</w:t>
      </w:r>
    </w:p>
    <w:p w:rsidR="006A09AF" w:rsidRPr="00877B97" w:rsidRDefault="0057193E" w:rsidP="004C12A5">
      <w:pPr>
        <w:spacing w:after="0" w:line="240" w:lineRule="auto"/>
        <w:ind w:firstLine="708"/>
        <w:jc w:val="both"/>
        <w:rPr>
          <w:i/>
        </w:rPr>
      </w:pPr>
      <w:r w:rsidRPr="00877B97">
        <w:rPr>
          <w:b/>
          <w:i/>
        </w:rPr>
        <w:t>Ключевые слова:</w:t>
      </w:r>
      <w:r w:rsidRPr="00877B97">
        <w:rPr>
          <w:i/>
        </w:rPr>
        <w:t xml:space="preserve"> реальный сектор экономики, конкуренция, рынок услуг</w:t>
      </w:r>
      <w:r w:rsidR="00641443">
        <w:rPr>
          <w:i/>
        </w:rPr>
        <w:t xml:space="preserve">, </w:t>
      </w:r>
      <w:r w:rsidRPr="00877B97">
        <w:rPr>
          <w:i/>
        </w:rPr>
        <w:t xml:space="preserve"> социально</w:t>
      </w:r>
      <w:r w:rsidR="00641443">
        <w:rPr>
          <w:i/>
        </w:rPr>
        <w:t>е</w:t>
      </w:r>
      <w:r w:rsidRPr="00877B97">
        <w:rPr>
          <w:i/>
        </w:rPr>
        <w:t xml:space="preserve"> обслуживани</w:t>
      </w:r>
      <w:r w:rsidR="00641443">
        <w:rPr>
          <w:i/>
        </w:rPr>
        <w:t>е</w:t>
      </w:r>
      <w:r w:rsidRPr="00877B97">
        <w:rPr>
          <w:i/>
        </w:rPr>
        <w:t>, мониторинг.</w:t>
      </w:r>
    </w:p>
    <w:p w:rsidR="0057193E" w:rsidRDefault="0057193E" w:rsidP="004C12A5">
      <w:pPr>
        <w:spacing w:after="0" w:line="240" w:lineRule="auto"/>
        <w:ind w:firstLine="708"/>
        <w:jc w:val="both"/>
      </w:pPr>
    </w:p>
    <w:p w:rsidR="003E2559" w:rsidRDefault="003E2559" w:rsidP="004C12A5">
      <w:pPr>
        <w:spacing w:after="0" w:line="240" w:lineRule="auto"/>
        <w:ind w:firstLine="708"/>
        <w:jc w:val="both"/>
      </w:pPr>
      <w:r w:rsidRPr="00DD5F61">
        <w:t xml:space="preserve">В настоящее время социальная сфера имеет легальное толкование в соответствии со «Стандартом развития конкуренции в субъектах РФ» где социальная значимость отраслей социальной сферы определяется с учетом сформированного перечня приоритетных и социально значимых региональных рынков, направленных на повышение уровня жизни населения </w:t>
      </w:r>
      <w:r w:rsidR="00A27FB2" w:rsidRPr="00A27FB2">
        <w:t>[</w:t>
      </w:r>
      <w:r w:rsidR="009C530F">
        <w:t>7</w:t>
      </w:r>
      <w:r w:rsidR="00A27FB2" w:rsidRPr="00A27FB2">
        <w:t>]</w:t>
      </w:r>
      <w:r w:rsidR="000E5FE1">
        <w:t>.</w:t>
      </w:r>
    </w:p>
    <w:p w:rsidR="001118B9" w:rsidRPr="001118B9" w:rsidRDefault="001118B9" w:rsidP="001118B9">
      <w:pPr>
        <w:pStyle w:val="Default"/>
        <w:ind w:firstLine="708"/>
        <w:jc w:val="both"/>
      </w:pPr>
      <w:r w:rsidRPr="001118B9">
        <w:t xml:space="preserve">Реальный сектор экономики России можно разделить на две части: </w:t>
      </w:r>
    </w:p>
    <w:p w:rsidR="001118B9" w:rsidRPr="001118B9" w:rsidRDefault="001118B9" w:rsidP="001118B9">
      <w:pPr>
        <w:pStyle w:val="Default"/>
        <w:ind w:firstLine="708"/>
        <w:jc w:val="both"/>
      </w:pPr>
      <w:r w:rsidRPr="001118B9">
        <w:t>– отрасли, ориентированные на внешний рынок;</w:t>
      </w:r>
    </w:p>
    <w:p w:rsidR="001118B9" w:rsidRPr="001118B9" w:rsidRDefault="001118B9" w:rsidP="001118B9">
      <w:pPr>
        <w:pStyle w:val="Default"/>
        <w:ind w:firstLine="708"/>
        <w:jc w:val="both"/>
      </w:pPr>
      <w:r w:rsidRPr="001118B9">
        <w:t>– отрасли, ориентированные на внутренний рынок;</w:t>
      </w:r>
    </w:p>
    <w:p w:rsidR="001118B9" w:rsidRPr="001118B9" w:rsidRDefault="001118B9" w:rsidP="001118B9">
      <w:pPr>
        <w:pStyle w:val="Default"/>
        <w:ind w:firstLine="708"/>
        <w:jc w:val="both"/>
      </w:pPr>
      <w:r w:rsidRPr="001118B9">
        <w:t xml:space="preserve">Первая часть реального сектора невелика по числу занятых граждан  (около 5%), но приносит более половины всей прибыли в стране. </w:t>
      </w:r>
    </w:p>
    <w:p w:rsidR="001118B9" w:rsidRPr="001118B9" w:rsidRDefault="001118B9" w:rsidP="001118B9">
      <w:pPr>
        <w:pStyle w:val="Default"/>
        <w:ind w:firstLine="708"/>
        <w:jc w:val="both"/>
      </w:pPr>
      <w:r w:rsidRPr="001118B9">
        <w:t>Вторая часть реального сектора малорентабельна из-за своей невысокой конкурентоспособности [</w:t>
      </w:r>
      <w:r w:rsidR="00E91031">
        <w:t>8</w:t>
      </w:r>
      <w:r w:rsidRPr="001118B9">
        <w:t xml:space="preserve">] . </w:t>
      </w:r>
    </w:p>
    <w:p w:rsidR="00A27FB2" w:rsidRPr="00D050AA" w:rsidRDefault="003E2559" w:rsidP="004C12A5">
      <w:pPr>
        <w:spacing w:after="0" w:line="240" w:lineRule="auto"/>
        <w:ind w:firstLine="708"/>
        <w:jc w:val="both"/>
      </w:pPr>
      <w:r w:rsidRPr="00DD5F61">
        <w:rPr>
          <w:lang w:eastAsia="ru-RU"/>
        </w:rPr>
        <w:t>В положени</w:t>
      </w:r>
      <w:r w:rsidRPr="00DD5F61">
        <w:t>и</w:t>
      </w:r>
      <w:r w:rsidRPr="00DD5F61">
        <w:rPr>
          <w:lang w:eastAsia="ru-RU"/>
        </w:rPr>
        <w:t xml:space="preserve"> об органах исполнительной власти Республики Коми </w:t>
      </w:r>
      <w:r w:rsidRPr="00DD5F61">
        <w:rPr>
          <w:bCs/>
          <w:lang w:eastAsia="ru-RU"/>
        </w:rPr>
        <w:t xml:space="preserve">развитие конкуренции </w:t>
      </w:r>
      <w:r w:rsidRPr="00DD5F61">
        <w:rPr>
          <w:lang w:eastAsia="ru-RU"/>
        </w:rPr>
        <w:t xml:space="preserve">определено в качестве одного из основных </w:t>
      </w:r>
      <w:r w:rsidRPr="00DD5F61">
        <w:rPr>
          <w:bCs/>
          <w:lang w:eastAsia="ru-RU"/>
        </w:rPr>
        <w:t xml:space="preserve">приоритетов деятельности </w:t>
      </w:r>
      <w:r>
        <w:rPr>
          <w:bCs/>
          <w:lang w:eastAsia="ru-RU"/>
        </w:rPr>
        <w:t>региона</w:t>
      </w:r>
      <w:r w:rsidR="00A27FB2" w:rsidRPr="00A27FB2">
        <w:t>[</w:t>
      </w:r>
      <w:r w:rsidR="009C530F">
        <w:t>4</w:t>
      </w:r>
      <w:r w:rsidR="00A27FB2" w:rsidRPr="00A27FB2">
        <w:t xml:space="preserve">]. </w:t>
      </w:r>
      <w:r w:rsidR="006A09AF" w:rsidRPr="00023BBF">
        <w:t>Государственная программа Республики Коми «Развитие экономики»</w:t>
      </w:r>
      <w:r w:rsidR="006A09AF" w:rsidRPr="00C02842">
        <w:t xml:space="preserve"> расшир</w:t>
      </w:r>
      <w:r w:rsidR="006A09AF">
        <w:t>ила</w:t>
      </w:r>
      <w:r w:rsidR="006A09AF" w:rsidRPr="00C02842">
        <w:t xml:space="preserve"> доступ субъектов малого и среднего предпринимательства к финансовой поддержке</w:t>
      </w:r>
      <w:r w:rsidR="006A09AF">
        <w:t xml:space="preserve"> </w:t>
      </w:r>
      <w:r w:rsidR="00A27FB2" w:rsidRPr="00A27FB2">
        <w:t xml:space="preserve">[3]. </w:t>
      </w:r>
      <w:r w:rsidRPr="00DD5F61">
        <w:rPr>
          <w:bCs/>
          <w:lang w:eastAsia="ru-RU"/>
        </w:rPr>
        <w:t xml:space="preserve">Утвержден перечень </w:t>
      </w:r>
      <w:r w:rsidRPr="00DD5F61">
        <w:rPr>
          <w:bCs/>
          <w:i/>
        </w:rPr>
        <w:t xml:space="preserve"> </w:t>
      </w:r>
      <w:r w:rsidRPr="00DD5F61">
        <w:t xml:space="preserve">приоритетных и социально значимых рынков для содействия развитию конкуренции в </w:t>
      </w:r>
      <w:r>
        <w:t>республике</w:t>
      </w:r>
      <w:r w:rsidRPr="00DD5F61">
        <w:t xml:space="preserve">  с обоснованием их выбора </w:t>
      </w:r>
      <w:r w:rsidR="00A27FB2" w:rsidRPr="00A27FB2">
        <w:t>[</w:t>
      </w:r>
      <w:r w:rsidR="009C530F">
        <w:t>6</w:t>
      </w:r>
      <w:r w:rsidR="00A27FB2" w:rsidRPr="00A27FB2">
        <w:t>]</w:t>
      </w:r>
      <w:r w:rsidR="00A27FB2" w:rsidRPr="00D050AA">
        <w:t>.</w:t>
      </w:r>
    </w:p>
    <w:p w:rsidR="003E2559" w:rsidRDefault="003E2559" w:rsidP="004C12A5">
      <w:pPr>
        <w:spacing w:after="0" w:line="240" w:lineRule="auto"/>
        <w:ind w:firstLine="708"/>
        <w:jc w:val="both"/>
      </w:pPr>
      <w:r w:rsidRPr="00DD5F61">
        <w:t>В него включены социально значимые рынки по содействию развитию конкуренции</w:t>
      </w:r>
      <w:r>
        <w:t xml:space="preserve">, в том числе и </w:t>
      </w:r>
      <w:r w:rsidRPr="00DD5F61">
        <w:t>рынок услуг в сфере социального обслуживания населения.</w:t>
      </w:r>
      <w:r>
        <w:t xml:space="preserve"> </w:t>
      </w:r>
    </w:p>
    <w:p w:rsidR="00DE3161" w:rsidRPr="00DD5F61" w:rsidRDefault="00DE3161" w:rsidP="004C12A5">
      <w:pPr>
        <w:pStyle w:val="a3"/>
        <w:shd w:val="clear" w:color="auto" w:fill="FFFFFF"/>
        <w:spacing w:before="60" w:beforeAutospacing="0" w:after="0" w:afterAutospacing="0"/>
        <w:ind w:firstLine="708"/>
        <w:jc w:val="both"/>
      </w:pPr>
      <w:r w:rsidRPr="00DD5F61">
        <w:t>В рамках внедрения Стандарта развития конкуренции в субъектах Российской Федерации предусмотрено проведение:</w:t>
      </w:r>
    </w:p>
    <w:p w:rsidR="00DE3161" w:rsidRPr="00DD5F61" w:rsidRDefault="00DE3161" w:rsidP="004C12A5">
      <w:pPr>
        <w:pStyle w:val="a3"/>
        <w:shd w:val="clear" w:color="auto" w:fill="FFFFFF"/>
        <w:spacing w:before="60" w:beforeAutospacing="0" w:after="0" w:afterAutospacing="0"/>
        <w:ind w:firstLine="709"/>
        <w:jc w:val="both"/>
      </w:pPr>
      <w:r w:rsidRPr="00DD5F61">
        <w:t>- мониторинга административных барьеров и оценки состояния конкурентной среды субъектами предпринимательской деятельности;</w:t>
      </w:r>
    </w:p>
    <w:p w:rsidR="00DE3161" w:rsidRPr="00DD5F61" w:rsidRDefault="00DE3161" w:rsidP="004C12A5">
      <w:pPr>
        <w:pStyle w:val="a3"/>
        <w:shd w:val="clear" w:color="auto" w:fill="FFFFFF"/>
        <w:spacing w:before="60" w:beforeAutospacing="0" w:after="0" w:afterAutospacing="0"/>
        <w:ind w:firstLine="709"/>
        <w:jc w:val="both"/>
      </w:pPr>
      <w:r w:rsidRPr="00DD5F61">
        <w:t>- мониторинга удовлетворенности потребителей качеством товаров и услуг на товарных рынках региона и состоянием ценовой конкуренции;</w:t>
      </w:r>
    </w:p>
    <w:p w:rsidR="00DE3161" w:rsidRPr="00DD5F61" w:rsidRDefault="00DE3161" w:rsidP="004C12A5">
      <w:pPr>
        <w:pStyle w:val="a3"/>
        <w:shd w:val="clear" w:color="auto" w:fill="FFFFFF"/>
        <w:spacing w:before="0" w:beforeAutospacing="0" w:after="0" w:afterAutospacing="0"/>
        <w:ind w:firstLine="709"/>
        <w:jc w:val="both"/>
      </w:pPr>
      <w:r w:rsidRPr="00DD5F61">
        <w:t>- мониторинга удовлетворенности субъектов предпринимательской деятельности и потребителей товаров и услуг качеством (уровнем доступности, понятности, удобства получения и достаточности) официальной информации о состоянии конкурентной среды на рынках товаров и услуг региона и деятельности по содействию развитию конкуренции в регионе.</w:t>
      </w:r>
    </w:p>
    <w:p w:rsidR="00DE3161" w:rsidRPr="00487CF3" w:rsidRDefault="00DE3161" w:rsidP="004C12A5">
      <w:pPr>
        <w:pStyle w:val="a3"/>
        <w:shd w:val="clear" w:color="auto" w:fill="FFFFFF"/>
        <w:spacing w:before="60" w:beforeAutospacing="0" w:after="0" w:afterAutospacing="0"/>
        <w:ind w:firstLine="709"/>
        <w:jc w:val="both"/>
      </w:pPr>
      <w:r w:rsidRPr="00487CF3">
        <w:t>Министерств</w:t>
      </w:r>
      <w:r>
        <w:t>о</w:t>
      </w:r>
      <w:r w:rsidRPr="00487CF3">
        <w:t xml:space="preserve"> экономического развития и промышленности Республики Коми совместно с органами местного самоуправления муниципальных образований городских округов и муниципальных районов, ГАУ РК «Многофункциональный центр предоставления </w:t>
      </w:r>
      <w:r w:rsidRPr="00487CF3">
        <w:lastRenderedPageBreak/>
        <w:t xml:space="preserve">государственных и муниципальных услуг Республики Коми» </w:t>
      </w:r>
      <w:r>
        <w:t>ежегодно</w:t>
      </w:r>
      <w:r w:rsidRPr="00487CF3">
        <w:t xml:space="preserve"> пров</w:t>
      </w:r>
      <w:r>
        <w:t>одят</w:t>
      </w:r>
      <w:r w:rsidRPr="00487CF3">
        <w:t xml:space="preserve"> опросы субъектов предпринимательской деятельности и населения.</w:t>
      </w:r>
    </w:p>
    <w:p w:rsidR="00DE3161" w:rsidRPr="002F1882" w:rsidRDefault="00DE3161" w:rsidP="004C12A5">
      <w:pPr>
        <w:spacing w:after="0" w:line="240" w:lineRule="auto"/>
        <w:ind w:firstLine="709"/>
        <w:jc w:val="both"/>
      </w:pPr>
      <w:r w:rsidRPr="00487CF3">
        <w:t xml:space="preserve">Проведение опроса хозяйствующих субъектов с распределением организаций по категориям бизнеса (крупный, средний, малый) и в отраслевом разрезе осуществляли органы местного самоуправления. Выборка субъектов предпринимательской деятельности репрезентирует предпринимательское сообщество по критерию отраслевой принадлежности и месту регистрации бизнеса – пропорционально их доле в </w:t>
      </w:r>
      <w:r w:rsidRPr="002F1882">
        <w:t xml:space="preserve">соответствующих показателях по республике. </w:t>
      </w:r>
      <w:r w:rsidRPr="002F1882">
        <w:rPr>
          <w:rFonts w:eastAsia="Calibri"/>
        </w:rPr>
        <w:t>В 2020 году в опросе субъектов предпринимательской деятельности приняли</w:t>
      </w:r>
      <w:r w:rsidRPr="008224C4">
        <w:rPr>
          <w:rFonts w:eastAsia="Calibri"/>
        </w:rPr>
        <w:t xml:space="preserve"> участие </w:t>
      </w:r>
      <w:r w:rsidRPr="002F1882">
        <w:rPr>
          <w:rFonts w:eastAsia="Calibri"/>
        </w:rPr>
        <w:t>667</w:t>
      </w:r>
      <w:r w:rsidRPr="008224C4">
        <w:rPr>
          <w:rFonts w:eastAsia="Calibri"/>
        </w:rPr>
        <w:t xml:space="preserve"> хозяйствующих субъектов, из них 338 индивидуальных предпринимателей (50,7%) и 329 юридических лиц (49,3%).</w:t>
      </w:r>
      <w:r>
        <w:t xml:space="preserve"> </w:t>
      </w:r>
      <w:r w:rsidRPr="008224C4">
        <w:t>Представителями предприятий, зарегистрированных в муниципальных образованиях городских округов, являлись 38,5% опрошенных и 61,5% были зарегистрированы в муниципальных образованиях муниципальных районов.</w:t>
      </w:r>
      <w:r>
        <w:t xml:space="preserve"> </w:t>
      </w:r>
      <w:r w:rsidRPr="00806ED2">
        <w:t>Основным географическим рынком сбыта продукции (работ, услуг) предприятий, которые представляли респонденты, в 31,2% случаев являлся рынок Республики Коми, в 63,4% - локальный рынок муниципального образования.</w:t>
      </w:r>
    </w:p>
    <w:p w:rsidR="00DE3161" w:rsidRPr="00DB06BB" w:rsidRDefault="00DE3161" w:rsidP="004C12A5">
      <w:pPr>
        <w:spacing w:before="60" w:after="0" w:line="240" w:lineRule="auto"/>
        <w:ind w:firstLine="709"/>
        <w:jc w:val="both"/>
      </w:pPr>
      <w:r w:rsidRPr="003874B4">
        <w:t>Выборка населения</w:t>
      </w:r>
      <w:r w:rsidRPr="00487CF3">
        <w:t xml:space="preserve"> </w:t>
      </w:r>
      <w:r>
        <w:t xml:space="preserve">была проведена  </w:t>
      </w:r>
      <w:r w:rsidRPr="00487CF3">
        <w:t>по месту проживания (городской округ, муниципальный район).</w:t>
      </w:r>
      <w:r>
        <w:t xml:space="preserve">  О</w:t>
      </w:r>
      <w:r w:rsidRPr="006563E4">
        <w:t xml:space="preserve">просом было охвачено </w:t>
      </w:r>
      <w:r w:rsidRPr="002F1882">
        <w:t>3250 человек</w:t>
      </w:r>
      <w:r>
        <w:t xml:space="preserve">. </w:t>
      </w:r>
      <w:r w:rsidRPr="007F39DF">
        <w:t xml:space="preserve">Опрос проводился во всех муниципальных образованиях городских округов и муниципальных районов республики. </w:t>
      </w:r>
    </w:p>
    <w:p w:rsidR="009A24D9" w:rsidRPr="00D050AA" w:rsidRDefault="00DE3161" w:rsidP="004C12A5">
      <w:pPr>
        <w:spacing w:after="0" w:line="240" w:lineRule="auto"/>
        <w:ind w:firstLine="708"/>
        <w:jc w:val="both"/>
      </w:pPr>
      <w:r w:rsidRPr="00487CF3">
        <w:t xml:space="preserve">Расчет квот для опроса был сделан на основе </w:t>
      </w:r>
      <w:r w:rsidRPr="00612091">
        <w:t xml:space="preserve">методических рекомендаций Министерства экономического развития Российской Федерации от 11.03.2020 № 130 «Об утверждении единой методики мониторинга состояния и развития конкуренции на товарных рынках субъекта Российской Федерации» </w:t>
      </w:r>
      <w:r w:rsidR="009A24D9" w:rsidRPr="00D050AA">
        <w:t>[5].</w:t>
      </w:r>
    </w:p>
    <w:p w:rsidR="00C03EE0" w:rsidRPr="00C03EE0" w:rsidRDefault="00DE3161" w:rsidP="004C12A5">
      <w:pPr>
        <w:spacing w:after="0" w:line="240" w:lineRule="auto"/>
        <w:ind w:firstLine="708"/>
        <w:jc w:val="both"/>
      </w:pPr>
      <w:r w:rsidRPr="00C03EE0">
        <w:t xml:space="preserve">В данной статье </w:t>
      </w:r>
      <w:r w:rsidR="00C03EE0">
        <w:t>в</w:t>
      </w:r>
      <w:r w:rsidR="00C03EE0" w:rsidRPr="00F15E28">
        <w:t xml:space="preserve"> целях определения уровня развития конкуренции в регионе </w:t>
      </w:r>
      <w:r w:rsidRPr="00C03EE0">
        <w:t>мы рассмотрим у</w:t>
      </w:r>
      <w:r w:rsidR="00E120C9" w:rsidRPr="00C03EE0">
        <w:t>довлетворенность потребителей уровнем цен, качеством услуг и возможностью выбора услуг</w:t>
      </w:r>
      <w:r w:rsidR="00CC0AA6">
        <w:t xml:space="preserve"> социального обслуживания населения </w:t>
      </w:r>
      <w:r w:rsidR="00C03EE0" w:rsidRPr="00C03EE0">
        <w:t xml:space="preserve">в динамике за 2015–2020 гг. (рис </w:t>
      </w:r>
      <w:r w:rsidR="00B12C7A">
        <w:t>1</w:t>
      </w:r>
      <w:r w:rsidR="00C03EE0" w:rsidRPr="00C03EE0">
        <w:t xml:space="preserve">). </w:t>
      </w:r>
    </w:p>
    <w:p w:rsidR="003E2559" w:rsidRPr="001F2F7E" w:rsidRDefault="00C03EE0" w:rsidP="004C12A5">
      <w:pPr>
        <w:spacing w:after="0" w:line="240" w:lineRule="auto"/>
        <w:ind w:firstLine="708"/>
        <w:jc w:val="both"/>
        <w:rPr>
          <w:b/>
          <w:color w:val="FF0000"/>
        </w:rPr>
      </w:pPr>
      <w:r>
        <w:rPr>
          <w:b/>
        </w:rPr>
        <w:t xml:space="preserve"> </w:t>
      </w:r>
    </w:p>
    <w:p w:rsidR="00E120C9" w:rsidRDefault="00E120C9" w:rsidP="004C12A5">
      <w:pPr>
        <w:spacing w:line="240" w:lineRule="auto"/>
      </w:pPr>
      <w:r w:rsidRPr="00B46760">
        <w:rPr>
          <w:noProof/>
          <w:lang w:eastAsia="ru-RU"/>
        </w:rPr>
        <w:drawing>
          <wp:inline distT="0" distB="0" distL="0" distR="0">
            <wp:extent cx="5940425" cy="3184823"/>
            <wp:effectExtent l="19050" t="0" r="22225"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E120C9" w:rsidRDefault="00E120C9" w:rsidP="004C12A5">
      <w:pPr>
        <w:spacing w:after="0" w:line="240" w:lineRule="auto"/>
        <w:ind w:firstLine="709"/>
        <w:jc w:val="both"/>
        <w:rPr>
          <w:sz w:val="20"/>
          <w:szCs w:val="20"/>
        </w:rPr>
      </w:pPr>
      <w:r w:rsidRPr="00047DB5">
        <w:rPr>
          <w:sz w:val="20"/>
          <w:szCs w:val="20"/>
        </w:rPr>
        <w:t xml:space="preserve">Рисунок </w:t>
      </w:r>
      <w:r w:rsidR="00B12C7A">
        <w:rPr>
          <w:sz w:val="20"/>
          <w:szCs w:val="20"/>
        </w:rPr>
        <w:t>1</w:t>
      </w:r>
      <w:r w:rsidRPr="0080141C">
        <w:rPr>
          <w:color w:val="FF0000"/>
          <w:sz w:val="20"/>
          <w:szCs w:val="20"/>
        </w:rPr>
        <w:t xml:space="preserve"> </w:t>
      </w:r>
      <w:r w:rsidRPr="00C9074F">
        <w:rPr>
          <w:sz w:val="20"/>
          <w:szCs w:val="20"/>
        </w:rPr>
        <w:t xml:space="preserve">– Удовлетворенность респондентов характеристиками сферы </w:t>
      </w:r>
      <w:r>
        <w:rPr>
          <w:sz w:val="20"/>
          <w:szCs w:val="20"/>
        </w:rPr>
        <w:t xml:space="preserve">услуг </w:t>
      </w:r>
      <w:r w:rsidRPr="00C9074F">
        <w:rPr>
          <w:sz w:val="20"/>
          <w:szCs w:val="20"/>
        </w:rPr>
        <w:t xml:space="preserve">социального обслуживания населения, </w:t>
      </w:r>
      <w:proofErr w:type="gramStart"/>
      <w:r w:rsidRPr="00C9074F">
        <w:rPr>
          <w:sz w:val="20"/>
          <w:szCs w:val="20"/>
        </w:rPr>
        <w:t>в</w:t>
      </w:r>
      <w:proofErr w:type="gramEnd"/>
      <w:r w:rsidRPr="00C9074F">
        <w:rPr>
          <w:sz w:val="20"/>
          <w:szCs w:val="20"/>
        </w:rPr>
        <w:t xml:space="preserve"> % от числа опрошенных</w:t>
      </w:r>
      <w:r>
        <w:rPr>
          <w:sz w:val="20"/>
          <w:szCs w:val="20"/>
        </w:rPr>
        <w:t>.</w:t>
      </w:r>
    </w:p>
    <w:p w:rsidR="00267BFA" w:rsidRDefault="00E120C9" w:rsidP="004C12A5">
      <w:pPr>
        <w:spacing w:after="0" w:line="240" w:lineRule="auto"/>
        <w:ind w:firstLine="708"/>
        <w:jc w:val="both"/>
        <w:rPr>
          <w:sz w:val="20"/>
          <w:szCs w:val="20"/>
          <w:lang w:val="en-US"/>
        </w:rPr>
      </w:pPr>
      <w:r w:rsidRPr="00E120C9">
        <w:rPr>
          <w:sz w:val="20"/>
          <w:szCs w:val="20"/>
        </w:rPr>
        <w:t>Источники: Аналитический отчет «Состояние и развитие конкурентной среды на рынках товаров и услуг в Республике Коми», Сыктывкар, 2018. 212 с.</w:t>
      </w:r>
      <w:r w:rsidR="009A24D9" w:rsidRPr="009A24D9">
        <w:rPr>
          <w:sz w:val="20"/>
          <w:szCs w:val="20"/>
        </w:rPr>
        <w:t xml:space="preserve"> </w:t>
      </w:r>
      <w:r w:rsidR="009A24D9" w:rsidRPr="00267BFA">
        <w:rPr>
          <w:sz w:val="20"/>
          <w:szCs w:val="20"/>
        </w:rPr>
        <w:t>[</w:t>
      </w:r>
      <w:r w:rsidR="00397E3F">
        <w:rPr>
          <w:sz w:val="20"/>
          <w:szCs w:val="20"/>
        </w:rPr>
        <w:t>1</w:t>
      </w:r>
      <w:r w:rsidR="009A24D9" w:rsidRPr="00267BFA">
        <w:rPr>
          <w:sz w:val="20"/>
          <w:szCs w:val="20"/>
        </w:rPr>
        <w:t>]</w:t>
      </w:r>
      <w:r w:rsidRPr="00E120C9">
        <w:rPr>
          <w:sz w:val="20"/>
          <w:szCs w:val="20"/>
        </w:rPr>
        <w:t xml:space="preserve">; </w:t>
      </w:r>
    </w:p>
    <w:p w:rsidR="00267BFA" w:rsidRPr="00267BFA" w:rsidRDefault="00E120C9" w:rsidP="004C12A5">
      <w:pPr>
        <w:spacing w:after="0" w:line="240" w:lineRule="auto"/>
        <w:ind w:firstLine="708"/>
        <w:jc w:val="both"/>
        <w:rPr>
          <w:sz w:val="20"/>
          <w:szCs w:val="20"/>
        </w:rPr>
      </w:pPr>
      <w:r w:rsidRPr="00E120C9">
        <w:rPr>
          <w:sz w:val="20"/>
          <w:szCs w:val="20"/>
        </w:rPr>
        <w:t>Аналитический отчет «Состояние и развитие конкурентной среды на рынках товаров и услуг в Республике Коми», Сыктывкар, 2020. 502 с</w:t>
      </w:r>
      <w:r w:rsidRPr="00267BFA">
        <w:rPr>
          <w:sz w:val="20"/>
          <w:szCs w:val="20"/>
        </w:rPr>
        <w:t xml:space="preserve">. </w:t>
      </w:r>
      <w:r w:rsidR="00267BFA" w:rsidRPr="00267BFA">
        <w:rPr>
          <w:sz w:val="20"/>
          <w:szCs w:val="20"/>
        </w:rPr>
        <w:t>[</w:t>
      </w:r>
      <w:r w:rsidR="00397E3F">
        <w:rPr>
          <w:sz w:val="20"/>
          <w:szCs w:val="20"/>
        </w:rPr>
        <w:t>2</w:t>
      </w:r>
      <w:r w:rsidR="00267BFA" w:rsidRPr="00267BFA">
        <w:rPr>
          <w:sz w:val="20"/>
          <w:szCs w:val="20"/>
        </w:rPr>
        <w:t>]</w:t>
      </w:r>
      <w:r w:rsidR="00E37513">
        <w:rPr>
          <w:sz w:val="20"/>
          <w:szCs w:val="20"/>
        </w:rPr>
        <w:t>.</w:t>
      </w:r>
    </w:p>
    <w:p w:rsidR="00E120C9" w:rsidRPr="00E120C9" w:rsidRDefault="00E120C9" w:rsidP="004C12A5">
      <w:pPr>
        <w:spacing w:after="0" w:line="240" w:lineRule="auto"/>
        <w:jc w:val="both"/>
        <w:rPr>
          <w:b/>
          <w:sz w:val="20"/>
          <w:szCs w:val="20"/>
        </w:rPr>
      </w:pPr>
    </w:p>
    <w:p w:rsidR="00E120C9" w:rsidRPr="00C9074F" w:rsidRDefault="00E120C9" w:rsidP="004C12A5">
      <w:pPr>
        <w:spacing w:after="0" w:line="240" w:lineRule="auto"/>
        <w:ind w:firstLine="709"/>
        <w:jc w:val="both"/>
        <w:rPr>
          <w:sz w:val="20"/>
          <w:szCs w:val="20"/>
        </w:rPr>
      </w:pPr>
    </w:p>
    <w:p w:rsidR="00435848" w:rsidRPr="00AA71FA" w:rsidRDefault="00E120C9" w:rsidP="00435848">
      <w:pPr>
        <w:spacing w:after="0" w:line="240" w:lineRule="auto"/>
        <w:ind w:firstLine="567"/>
        <w:jc w:val="both"/>
      </w:pPr>
      <w:r w:rsidRPr="00E120C9">
        <w:lastRenderedPageBreak/>
        <w:t xml:space="preserve">В 2020 году по показателю </w:t>
      </w:r>
      <w:r w:rsidRPr="00E120C9">
        <w:rPr>
          <w:i/>
        </w:rPr>
        <w:t>«Уровень цен»</w:t>
      </w:r>
      <w:r w:rsidRPr="00E120C9">
        <w:t xml:space="preserve">  36,1% (2015г. – 49,0%, 2018г. – 75,8%)  потребителей отметили, что  «удовлетворены» и «скорее удовлетворены». За обозначенный период их число постоянно сокращается, особенно заметное снижение произошло по сравнению с 2018 годом (на 39,7%)</w:t>
      </w:r>
      <w:r w:rsidR="00435848">
        <w:t xml:space="preserve">, на что повлияло </w:t>
      </w:r>
      <w:r w:rsidR="00435848" w:rsidRPr="00F95F6B">
        <w:t xml:space="preserve">распространение новой </w:t>
      </w:r>
      <w:proofErr w:type="spellStart"/>
      <w:r w:rsidR="00435848" w:rsidRPr="00F95F6B">
        <w:t>коронавирусной</w:t>
      </w:r>
      <w:proofErr w:type="spellEnd"/>
      <w:r w:rsidR="00435848" w:rsidRPr="00F95F6B">
        <w:t xml:space="preserve"> инфекции COVID-19.</w:t>
      </w:r>
      <w:r w:rsidR="00435848">
        <w:t xml:space="preserve"> </w:t>
      </w:r>
    </w:p>
    <w:p w:rsidR="00E120C9" w:rsidRDefault="00E120C9" w:rsidP="004C12A5">
      <w:pPr>
        <w:spacing w:after="0" w:line="240" w:lineRule="auto"/>
        <w:ind w:firstLine="708"/>
        <w:jc w:val="both"/>
      </w:pPr>
      <w:r>
        <w:t xml:space="preserve">Напротив, предпочли «скорее не </w:t>
      </w:r>
      <w:proofErr w:type="gramStart"/>
      <w:r>
        <w:t>удовлетворен</w:t>
      </w:r>
      <w:proofErr w:type="gramEnd"/>
      <w:r>
        <w:t>» и «не удовлетворен» данным показателем 63,8% (2015г. – 41,3%, 2018г. – 19,0%) граждан нуждающихся в социальном обслуживании. По сравнению с 2018 годом  данный параметр</w:t>
      </w:r>
      <w:r w:rsidRPr="00177BB8">
        <w:rPr>
          <w:color w:val="FF0000"/>
        </w:rPr>
        <w:t xml:space="preserve"> </w:t>
      </w:r>
      <w:r w:rsidRPr="00177BB8">
        <w:t>поднялся</w:t>
      </w:r>
      <w:r>
        <w:t xml:space="preserve"> на 44,8%. Разница положительных и отрицательных ответов составила </w:t>
      </w:r>
      <w:r w:rsidRPr="00E73923">
        <w:t>(-)</w:t>
      </w:r>
      <w:r w:rsidRPr="000C4A05">
        <w:rPr>
          <w:color w:val="FF0000"/>
        </w:rPr>
        <w:t xml:space="preserve"> </w:t>
      </w:r>
      <w:r>
        <w:t>27,8%.</w:t>
      </w:r>
    </w:p>
    <w:p w:rsidR="00E120C9" w:rsidRDefault="00E120C9" w:rsidP="004C12A5">
      <w:pPr>
        <w:spacing w:after="0" w:line="240" w:lineRule="auto"/>
        <w:ind w:firstLine="708"/>
        <w:jc w:val="both"/>
      </w:pPr>
      <w:r>
        <w:t xml:space="preserve">По показателю </w:t>
      </w:r>
      <w:r w:rsidRPr="00065657">
        <w:rPr>
          <w:i/>
        </w:rPr>
        <w:t>«</w:t>
      </w:r>
      <w:r>
        <w:rPr>
          <w:i/>
        </w:rPr>
        <w:t>к</w:t>
      </w:r>
      <w:r w:rsidRPr="00065657">
        <w:rPr>
          <w:i/>
        </w:rPr>
        <w:t>ачество услуг»</w:t>
      </w:r>
      <w:r>
        <w:t xml:space="preserve"> в 2020 году 42,2% (2015г. – 32,0%, 2018г. – 89,1%)  респондентов отметили «</w:t>
      </w:r>
      <w:proofErr w:type="gramStart"/>
      <w:r>
        <w:t>удовлетворен</w:t>
      </w:r>
      <w:proofErr w:type="gramEnd"/>
      <w:r>
        <w:t xml:space="preserve">» и «скорее удовлетворен». В сравнении с 2018 годом данный рейтинг опустился на 46,9%. </w:t>
      </w:r>
    </w:p>
    <w:p w:rsidR="00E120C9" w:rsidRDefault="00E120C9" w:rsidP="004C12A5">
      <w:pPr>
        <w:spacing w:after="0" w:line="240" w:lineRule="auto"/>
        <w:ind w:firstLine="708"/>
        <w:jc w:val="both"/>
      </w:pPr>
      <w:r>
        <w:t xml:space="preserve">Показатель «скорее не удовлетворен» и «не удовлетворен» так же претерпел резкие изменения 57,9% (2015г. – 41,9%, 2018г. – 4,7%).  По сравнению с 2018 годом  уровень качества услуг  снизился на 53,2%. Разница положительных и отрицательных ответов составила </w:t>
      </w:r>
      <w:r w:rsidR="0008295D">
        <w:t>(</w:t>
      </w:r>
      <w:r>
        <w:t>-</w:t>
      </w:r>
      <w:r w:rsidR="0008295D">
        <w:t xml:space="preserve">) </w:t>
      </w:r>
      <w:r>
        <w:t xml:space="preserve">15,7%. </w:t>
      </w:r>
    </w:p>
    <w:p w:rsidR="00E120C9" w:rsidRDefault="00E120C9" w:rsidP="004C12A5">
      <w:pPr>
        <w:spacing w:after="0" w:line="240" w:lineRule="auto"/>
        <w:ind w:firstLine="708"/>
        <w:jc w:val="both"/>
      </w:pPr>
      <w:r>
        <w:t>Возможностью выбора услуг  «</w:t>
      </w:r>
      <w:proofErr w:type="gramStart"/>
      <w:r>
        <w:t>удовлетворен</w:t>
      </w:r>
      <w:proofErr w:type="gramEnd"/>
      <w:r>
        <w:t>» и «скорее удовлетворен»</w:t>
      </w:r>
      <w:r w:rsidR="00AA31BB">
        <w:t xml:space="preserve"> – </w:t>
      </w:r>
      <w:r>
        <w:t xml:space="preserve">42,7%  (2015г. – 29,2%, 2018г. – 78,5%) потребителей. Обозначили «скорее не </w:t>
      </w:r>
      <w:proofErr w:type="gramStart"/>
      <w:r>
        <w:t>удовлетворен</w:t>
      </w:r>
      <w:proofErr w:type="gramEnd"/>
      <w:r>
        <w:t xml:space="preserve">» и «не удовлетворен» 57,3% (2015г. – 41,0%, 2018г. – 9,3%)  участников опроса.  По сравнению с 2018 годом  данный показатель вырос на 48,0%. Разница положительных и отрицательных ответов составила </w:t>
      </w:r>
      <w:r w:rsidR="00D402D9">
        <w:t>(</w:t>
      </w:r>
      <w:r>
        <w:t>-</w:t>
      </w:r>
      <w:r w:rsidR="00D402D9">
        <w:t xml:space="preserve">) </w:t>
      </w:r>
      <w:r>
        <w:t>14,6%.</w:t>
      </w:r>
    </w:p>
    <w:p w:rsidR="00E120C9" w:rsidRDefault="00E120C9" w:rsidP="004C12A5">
      <w:pPr>
        <w:spacing w:after="0" w:line="240" w:lineRule="auto"/>
        <w:ind w:firstLine="708"/>
        <w:jc w:val="both"/>
      </w:pPr>
      <w:r>
        <w:t xml:space="preserve">На вопрос </w:t>
      </w:r>
      <w:r w:rsidRPr="00B475D9">
        <w:t>«Какое количество организаций предоставляют услуги в сфере социального обслуживания населения в вашем районе (городе)?»</w:t>
      </w:r>
      <w:r>
        <w:t xml:space="preserve"> 47,8% (2015г. – 49,0%, 2018г. – 75,8%) респондентов считает «Много» и «Достаточно». По сравнению с 2015 годом их число уменьшилось не значительно, лишь на 1,2%, однако в сравнении с 2018 годом эта доля существенно сократилась на 28,0% (таб.9). </w:t>
      </w:r>
    </w:p>
    <w:p w:rsidR="00E120C9" w:rsidRDefault="00E120C9" w:rsidP="004C12A5">
      <w:pPr>
        <w:pStyle w:val="a3"/>
        <w:shd w:val="clear" w:color="auto" w:fill="FFFFFF"/>
        <w:spacing w:before="60" w:beforeAutospacing="0" w:after="0" w:afterAutospacing="0"/>
        <w:ind w:firstLine="709"/>
        <w:jc w:val="center"/>
        <w:rPr>
          <w:b/>
        </w:rPr>
      </w:pPr>
      <w:r w:rsidRPr="00D32FDA">
        <w:rPr>
          <w:b/>
        </w:rPr>
        <w:t xml:space="preserve">Таблица </w:t>
      </w:r>
      <w:r w:rsidR="000849BB">
        <w:rPr>
          <w:b/>
        </w:rPr>
        <w:t>1</w:t>
      </w:r>
      <w:r w:rsidRPr="00D32FDA">
        <w:rPr>
          <w:b/>
        </w:rPr>
        <w:t>.</w:t>
      </w:r>
      <w:r>
        <w:rPr>
          <w:b/>
        </w:rPr>
        <w:t xml:space="preserve"> </w:t>
      </w:r>
      <w:r w:rsidRPr="00F51209">
        <w:rPr>
          <w:b/>
        </w:rPr>
        <w:t>Распределение ответов на вопрос</w:t>
      </w:r>
      <w:r>
        <w:rPr>
          <w:b/>
        </w:rPr>
        <w:t>:</w:t>
      </w:r>
      <w:r w:rsidRPr="00F51209">
        <w:rPr>
          <w:b/>
        </w:rPr>
        <w:t xml:space="preserve"> «Какое количество организаций предоставляют услуги в сфере социального обслуживания населения </w:t>
      </w:r>
    </w:p>
    <w:p w:rsidR="00E120C9" w:rsidRPr="00F51209" w:rsidRDefault="00E120C9" w:rsidP="004C12A5">
      <w:pPr>
        <w:pStyle w:val="a3"/>
        <w:shd w:val="clear" w:color="auto" w:fill="FFFFFF"/>
        <w:spacing w:before="60" w:beforeAutospacing="0" w:after="0" w:afterAutospacing="0"/>
        <w:ind w:firstLine="709"/>
        <w:jc w:val="center"/>
        <w:rPr>
          <w:b/>
        </w:rPr>
      </w:pPr>
      <w:r w:rsidRPr="00F51209">
        <w:rPr>
          <w:b/>
        </w:rPr>
        <w:t>в вашем районе (городе)?»</w:t>
      </w:r>
    </w:p>
    <w:p w:rsidR="00E120C9" w:rsidRPr="00F51209" w:rsidRDefault="00E120C9" w:rsidP="004C12A5">
      <w:pPr>
        <w:spacing w:before="120" w:after="120" w:line="240" w:lineRule="auto"/>
        <w:jc w:val="center"/>
        <w:rPr>
          <w:i/>
          <w:sz w:val="20"/>
        </w:rPr>
      </w:pPr>
      <w:r w:rsidRPr="00F51209">
        <w:rPr>
          <w:i/>
          <w:sz w:val="20"/>
        </w:rPr>
        <w:t xml:space="preserve">(в процентах от числа опрошенных)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01"/>
        <w:gridCol w:w="1411"/>
        <w:gridCol w:w="1412"/>
        <w:gridCol w:w="1412"/>
        <w:gridCol w:w="1411"/>
        <w:gridCol w:w="1412"/>
        <w:gridCol w:w="1412"/>
      </w:tblGrid>
      <w:tr w:rsidR="00E120C9" w:rsidRPr="00F51209" w:rsidTr="00415F5F">
        <w:trPr>
          <w:jc w:val="center"/>
        </w:trPr>
        <w:tc>
          <w:tcPr>
            <w:tcW w:w="1101" w:type="dxa"/>
          </w:tcPr>
          <w:p w:rsidR="00E120C9" w:rsidRPr="00F51209" w:rsidRDefault="00E120C9" w:rsidP="004C12A5">
            <w:pPr>
              <w:spacing w:after="0" w:line="240" w:lineRule="auto"/>
              <w:jc w:val="center"/>
              <w:rPr>
                <w:sz w:val="20"/>
                <w:szCs w:val="20"/>
              </w:rPr>
            </w:pPr>
            <w:r w:rsidRPr="00F51209">
              <w:rPr>
                <w:sz w:val="20"/>
                <w:szCs w:val="20"/>
              </w:rPr>
              <w:t>год</w:t>
            </w:r>
          </w:p>
        </w:tc>
        <w:tc>
          <w:tcPr>
            <w:tcW w:w="1411" w:type="dxa"/>
          </w:tcPr>
          <w:p w:rsidR="00E120C9" w:rsidRPr="00F51209" w:rsidRDefault="00E120C9" w:rsidP="004C12A5">
            <w:pPr>
              <w:spacing w:after="0" w:line="240" w:lineRule="auto"/>
              <w:jc w:val="center"/>
              <w:rPr>
                <w:sz w:val="20"/>
                <w:szCs w:val="20"/>
              </w:rPr>
            </w:pPr>
            <w:r w:rsidRPr="00F51209">
              <w:rPr>
                <w:sz w:val="20"/>
                <w:szCs w:val="20"/>
              </w:rPr>
              <w:t>Много</w:t>
            </w:r>
          </w:p>
        </w:tc>
        <w:tc>
          <w:tcPr>
            <w:tcW w:w="1412" w:type="dxa"/>
          </w:tcPr>
          <w:p w:rsidR="00E120C9" w:rsidRPr="00F51209" w:rsidRDefault="00E120C9" w:rsidP="004C12A5">
            <w:pPr>
              <w:spacing w:after="0" w:line="240" w:lineRule="auto"/>
              <w:jc w:val="center"/>
              <w:rPr>
                <w:sz w:val="20"/>
                <w:szCs w:val="20"/>
              </w:rPr>
            </w:pPr>
            <w:r w:rsidRPr="00F51209">
              <w:rPr>
                <w:sz w:val="20"/>
                <w:szCs w:val="20"/>
              </w:rPr>
              <w:t>Достаточно</w:t>
            </w:r>
          </w:p>
        </w:tc>
        <w:tc>
          <w:tcPr>
            <w:tcW w:w="1412" w:type="dxa"/>
          </w:tcPr>
          <w:p w:rsidR="00E120C9" w:rsidRPr="00F51209" w:rsidRDefault="00E120C9" w:rsidP="004C12A5">
            <w:pPr>
              <w:spacing w:after="0" w:line="240" w:lineRule="auto"/>
              <w:jc w:val="center"/>
              <w:rPr>
                <w:sz w:val="20"/>
                <w:szCs w:val="20"/>
              </w:rPr>
            </w:pPr>
            <w:r w:rsidRPr="00F51209">
              <w:rPr>
                <w:sz w:val="20"/>
                <w:szCs w:val="20"/>
              </w:rPr>
              <w:t>Мало</w:t>
            </w:r>
          </w:p>
        </w:tc>
        <w:tc>
          <w:tcPr>
            <w:tcW w:w="1411" w:type="dxa"/>
          </w:tcPr>
          <w:p w:rsidR="00E120C9" w:rsidRPr="00F51209" w:rsidRDefault="00E120C9" w:rsidP="004C12A5">
            <w:pPr>
              <w:spacing w:after="0" w:line="240" w:lineRule="auto"/>
              <w:jc w:val="center"/>
              <w:rPr>
                <w:sz w:val="20"/>
                <w:szCs w:val="20"/>
              </w:rPr>
            </w:pPr>
            <w:r w:rsidRPr="00F51209">
              <w:rPr>
                <w:sz w:val="20"/>
                <w:szCs w:val="20"/>
              </w:rPr>
              <w:t>Нет совсем</w:t>
            </w:r>
          </w:p>
        </w:tc>
        <w:tc>
          <w:tcPr>
            <w:tcW w:w="1412" w:type="dxa"/>
          </w:tcPr>
          <w:p w:rsidR="00E120C9" w:rsidRPr="00F51209" w:rsidRDefault="00E120C9" w:rsidP="004C12A5">
            <w:pPr>
              <w:spacing w:after="0" w:line="240" w:lineRule="auto"/>
              <w:jc w:val="center"/>
              <w:rPr>
                <w:sz w:val="20"/>
                <w:szCs w:val="20"/>
              </w:rPr>
            </w:pPr>
            <w:r w:rsidRPr="00F51209">
              <w:rPr>
                <w:sz w:val="20"/>
                <w:szCs w:val="20"/>
              </w:rPr>
              <w:t>Не ответили</w:t>
            </w:r>
          </w:p>
        </w:tc>
        <w:tc>
          <w:tcPr>
            <w:tcW w:w="1412" w:type="dxa"/>
          </w:tcPr>
          <w:p w:rsidR="00E120C9" w:rsidRPr="00F51209" w:rsidRDefault="00E120C9" w:rsidP="004C12A5">
            <w:pPr>
              <w:spacing w:after="0" w:line="240" w:lineRule="auto"/>
              <w:jc w:val="center"/>
              <w:rPr>
                <w:sz w:val="20"/>
                <w:szCs w:val="20"/>
              </w:rPr>
            </w:pPr>
            <w:r w:rsidRPr="00F51209">
              <w:rPr>
                <w:sz w:val="20"/>
                <w:szCs w:val="20"/>
              </w:rPr>
              <w:t>Итого</w:t>
            </w:r>
          </w:p>
        </w:tc>
      </w:tr>
      <w:tr w:rsidR="00E120C9" w:rsidRPr="00F51209" w:rsidTr="00415F5F">
        <w:trPr>
          <w:jc w:val="center"/>
        </w:trPr>
        <w:tc>
          <w:tcPr>
            <w:tcW w:w="1101" w:type="dxa"/>
          </w:tcPr>
          <w:p w:rsidR="00E120C9" w:rsidRPr="00F51209" w:rsidRDefault="00E120C9" w:rsidP="004C12A5">
            <w:pPr>
              <w:spacing w:after="0" w:line="240" w:lineRule="auto"/>
              <w:rPr>
                <w:sz w:val="20"/>
                <w:szCs w:val="20"/>
              </w:rPr>
            </w:pPr>
            <w:r w:rsidRPr="00F51209">
              <w:rPr>
                <w:sz w:val="20"/>
                <w:szCs w:val="20"/>
              </w:rPr>
              <w:t>2015</w:t>
            </w:r>
          </w:p>
        </w:tc>
        <w:tc>
          <w:tcPr>
            <w:tcW w:w="1411" w:type="dxa"/>
            <w:vAlign w:val="bottom"/>
          </w:tcPr>
          <w:p w:rsidR="00E120C9" w:rsidRPr="00F51209" w:rsidRDefault="00E120C9" w:rsidP="004C12A5">
            <w:pPr>
              <w:spacing w:after="0" w:line="240" w:lineRule="auto"/>
              <w:ind w:right="57"/>
              <w:jc w:val="center"/>
              <w:rPr>
                <w:sz w:val="20"/>
                <w:szCs w:val="20"/>
              </w:rPr>
            </w:pPr>
            <w:r w:rsidRPr="00F51209">
              <w:rPr>
                <w:sz w:val="20"/>
                <w:szCs w:val="20"/>
              </w:rPr>
              <w:t>3,3</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45,7</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41,7</w:t>
            </w:r>
          </w:p>
        </w:tc>
        <w:tc>
          <w:tcPr>
            <w:tcW w:w="1411" w:type="dxa"/>
            <w:vAlign w:val="bottom"/>
          </w:tcPr>
          <w:p w:rsidR="00E120C9" w:rsidRPr="00F51209" w:rsidRDefault="00E120C9" w:rsidP="004C12A5">
            <w:pPr>
              <w:spacing w:after="0" w:line="240" w:lineRule="auto"/>
              <w:ind w:right="57"/>
              <w:jc w:val="center"/>
              <w:rPr>
                <w:sz w:val="20"/>
                <w:szCs w:val="20"/>
              </w:rPr>
            </w:pPr>
            <w:r w:rsidRPr="00F51209">
              <w:rPr>
                <w:sz w:val="20"/>
                <w:szCs w:val="20"/>
              </w:rPr>
              <w:t>8,7</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0,7</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100,0</w:t>
            </w:r>
          </w:p>
        </w:tc>
      </w:tr>
      <w:tr w:rsidR="00E120C9" w:rsidRPr="00F51209" w:rsidTr="00415F5F">
        <w:trPr>
          <w:jc w:val="center"/>
        </w:trPr>
        <w:tc>
          <w:tcPr>
            <w:tcW w:w="1101" w:type="dxa"/>
          </w:tcPr>
          <w:p w:rsidR="00E120C9" w:rsidRPr="00F51209" w:rsidRDefault="00E120C9" w:rsidP="004C12A5">
            <w:pPr>
              <w:spacing w:after="0" w:line="240" w:lineRule="auto"/>
              <w:rPr>
                <w:sz w:val="20"/>
                <w:szCs w:val="20"/>
              </w:rPr>
            </w:pPr>
            <w:r w:rsidRPr="00F51209">
              <w:rPr>
                <w:sz w:val="20"/>
                <w:szCs w:val="20"/>
              </w:rPr>
              <w:t>2016</w:t>
            </w:r>
          </w:p>
        </w:tc>
        <w:tc>
          <w:tcPr>
            <w:tcW w:w="1411" w:type="dxa"/>
            <w:vAlign w:val="bottom"/>
          </w:tcPr>
          <w:p w:rsidR="00E120C9" w:rsidRPr="00F51209" w:rsidRDefault="00E120C9" w:rsidP="004C12A5">
            <w:pPr>
              <w:spacing w:after="0" w:line="240" w:lineRule="auto"/>
              <w:ind w:right="57"/>
              <w:jc w:val="center"/>
              <w:rPr>
                <w:sz w:val="20"/>
                <w:szCs w:val="20"/>
              </w:rPr>
            </w:pPr>
            <w:r w:rsidRPr="00F51209">
              <w:rPr>
                <w:sz w:val="20"/>
                <w:szCs w:val="20"/>
              </w:rPr>
              <w:t>1,4</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32,7</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58,4</w:t>
            </w:r>
          </w:p>
        </w:tc>
        <w:tc>
          <w:tcPr>
            <w:tcW w:w="1411" w:type="dxa"/>
            <w:vAlign w:val="bottom"/>
          </w:tcPr>
          <w:p w:rsidR="00E120C9" w:rsidRPr="00F51209" w:rsidRDefault="00E120C9" w:rsidP="004C12A5">
            <w:pPr>
              <w:spacing w:after="0" w:line="240" w:lineRule="auto"/>
              <w:ind w:right="57"/>
              <w:jc w:val="center"/>
              <w:rPr>
                <w:sz w:val="20"/>
                <w:szCs w:val="20"/>
              </w:rPr>
            </w:pPr>
            <w:r w:rsidRPr="00F51209">
              <w:rPr>
                <w:sz w:val="20"/>
                <w:szCs w:val="20"/>
              </w:rPr>
              <w:t>6,9</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0,6</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100,0</w:t>
            </w:r>
          </w:p>
        </w:tc>
      </w:tr>
      <w:tr w:rsidR="00E120C9" w:rsidRPr="00F51209" w:rsidTr="00415F5F">
        <w:trPr>
          <w:jc w:val="center"/>
        </w:trPr>
        <w:tc>
          <w:tcPr>
            <w:tcW w:w="1101" w:type="dxa"/>
          </w:tcPr>
          <w:p w:rsidR="00E120C9" w:rsidRPr="00F51209" w:rsidRDefault="00E120C9" w:rsidP="004C12A5">
            <w:pPr>
              <w:spacing w:after="0" w:line="240" w:lineRule="auto"/>
              <w:rPr>
                <w:sz w:val="20"/>
                <w:szCs w:val="20"/>
              </w:rPr>
            </w:pPr>
            <w:r w:rsidRPr="00F51209">
              <w:rPr>
                <w:sz w:val="20"/>
                <w:szCs w:val="20"/>
              </w:rPr>
              <w:t>2017</w:t>
            </w:r>
          </w:p>
        </w:tc>
        <w:tc>
          <w:tcPr>
            <w:tcW w:w="1411" w:type="dxa"/>
            <w:vAlign w:val="bottom"/>
          </w:tcPr>
          <w:p w:rsidR="00E120C9" w:rsidRPr="00F51209" w:rsidRDefault="00E120C9" w:rsidP="004C12A5">
            <w:pPr>
              <w:spacing w:after="0" w:line="240" w:lineRule="auto"/>
              <w:ind w:right="57"/>
              <w:jc w:val="center"/>
              <w:rPr>
                <w:sz w:val="20"/>
                <w:szCs w:val="20"/>
              </w:rPr>
            </w:pPr>
            <w:r w:rsidRPr="00F51209">
              <w:rPr>
                <w:sz w:val="20"/>
                <w:szCs w:val="20"/>
              </w:rPr>
              <w:t>1,9</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47,8</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39,1</w:t>
            </w:r>
          </w:p>
        </w:tc>
        <w:tc>
          <w:tcPr>
            <w:tcW w:w="1411" w:type="dxa"/>
            <w:vAlign w:val="bottom"/>
          </w:tcPr>
          <w:p w:rsidR="00E120C9" w:rsidRPr="00F51209" w:rsidRDefault="00E120C9" w:rsidP="004C12A5">
            <w:pPr>
              <w:spacing w:after="0" w:line="240" w:lineRule="auto"/>
              <w:ind w:right="57"/>
              <w:jc w:val="center"/>
              <w:rPr>
                <w:sz w:val="20"/>
                <w:szCs w:val="20"/>
              </w:rPr>
            </w:pPr>
            <w:r w:rsidRPr="00F51209">
              <w:rPr>
                <w:sz w:val="20"/>
                <w:szCs w:val="20"/>
              </w:rPr>
              <w:t>0,0</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11,1</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100,0</w:t>
            </w:r>
          </w:p>
        </w:tc>
      </w:tr>
      <w:tr w:rsidR="00E120C9" w:rsidRPr="00F51209" w:rsidTr="00415F5F">
        <w:trPr>
          <w:jc w:val="center"/>
        </w:trPr>
        <w:tc>
          <w:tcPr>
            <w:tcW w:w="1101" w:type="dxa"/>
          </w:tcPr>
          <w:p w:rsidR="00E120C9" w:rsidRPr="00F51209" w:rsidRDefault="00E120C9" w:rsidP="004C12A5">
            <w:pPr>
              <w:spacing w:after="0" w:line="240" w:lineRule="auto"/>
              <w:rPr>
                <w:sz w:val="20"/>
                <w:szCs w:val="20"/>
              </w:rPr>
            </w:pPr>
            <w:r w:rsidRPr="00F51209">
              <w:rPr>
                <w:sz w:val="20"/>
                <w:szCs w:val="20"/>
              </w:rPr>
              <w:t>2018</w:t>
            </w:r>
          </w:p>
        </w:tc>
        <w:tc>
          <w:tcPr>
            <w:tcW w:w="1411" w:type="dxa"/>
            <w:vAlign w:val="bottom"/>
          </w:tcPr>
          <w:p w:rsidR="00E120C9" w:rsidRPr="00F51209" w:rsidRDefault="00E120C9" w:rsidP="004C12A5">
            <w:pPr>
              <w:spacing w:after="0" w:line="240" w:lineRule="auto"/>
              <w:ind w:right="28"/>
              <w:jc w:val="center"/>
              <w:rPr>
                <w:sz w:val="20"/>
                <w:szCs w:val="20"/>
              </w:rPr>
            </w:pPr>
            <w:r w:rsidRPr="00F51209">
              <w:rPr>
                <w:sz w:val="20"/>
                <w:szCs w:val="20"/>
              </w:rPr>
              <w:t>1,5</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74,3</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11,8</w:t>
            </w:r>
          </w:p>
        </w:tc>
        <w:tc>
          <w:tcPr>
            <w:tcW w:w="1411" w:type="dxa"/>
            <w:vAlign w:val="bottom"/>
          </w:tcPr>
          <w:p w:rsidR="00E120C9" w:rsidRPr="00F51209" w:rsidRDefault="00E120C9" w:rsidP="004C12A5">
            <w:pPr>
              <w:spacing w:after="0" w:line="240" w:lineRule="auto"/>
              <w:ind w:right="28"/>
              <w:jc w:val="center"/>
              <w:rPr>
                <w:sz w:val="20"/>
                <w:szCs w:val="20"/>
              </w:rPr>
            </w:pPr>
            <w:r w:rsidRPr="00F51209">
              <w:rPr>
                <w:sz w:val="20"/>
                <w:szCs w:val="20"/>
              </w:rPr>
              <w:t>0,8</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11,7</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100,0</w:t>
            </w:r>
          </w:p>
        </w:tc>
      </w:tr>
      <w:tr w:rsidR="00E120C9" w:rsidRPr="00F51209" w:rsidTr="00415F5F">
        <w:trPr>
          <w:jc w:val="center"/>
        </w:trPr>
        <w:tc>
          <w:tcPr>
            <w:tcW w:w="1101" w:type="dxa"/>
          </w:tcPr>
          <w:p w:rsidR="00E120C9" w:rsidRPr="00F51209" w:rsidRDefault="00E120C9" w:rsidP="004C12A5">
            <w:pPr>
              <w:spacing w:after="0" w:line="240" w:lineRule="auto"/>
              <w:rPr>
                <w:sz w:val="20"/>
                <w:szCs w:val="20"/>
              </w:rPr>
            </w:pPr>
            <w:r w:rsidRPr="00F51209">
              <w:rPr>
                <w:sz w:val="20"/>
                <w:szCs w:val="20"/>
              </w:rPr>
              <w:t>2019</w:t>
            </w:r>
          </w:p>
        </w:tc>
        <w:tc>
          <w:tcPr>
            <w:tcW w:w="1411" w:type="dxa"/>
            <w:vAlign w:val="bottom"/>
          </w:tcPr>
          <w:p w:rsidR="00E120C9" w:rsidRPr="00F51209" w:rsidRDefault="00E120C9" w:rsidP="004C12A5">
            <w:pPr>
              <w:spacing w:after="0" w:line="240" w:lineRule="auto"/>
              <w:ind w:right="28"/>
              <w:jc w:val="center"/>
              <w:rPr>
                <w:sz w:val="20"/>
                <w:szCs w:val="20"/>
              </w:rPr>
            </w:pPr>
            <w:r w:rsidRPr="00F51209">
              <w:rPr>
                <w:sz w:val="20"/>
                <w:szCs w:val="20"/>
              </w:rPr>
              <w:t>1,0</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70,9</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14,5</w:t>
            </w:r>
          </w:p>
        </w:tc>
        <w:tc>
          <w:tcPr>
            <w:tcW w:w="1411" w:type="dxa"/>
            <w:vAlign w:val="bottom"/>
          </w:tcPr>
          <w:p w:rsidR="00E120C9" w:rsidRPr="00F51209" w:rsidRDefault="00E120C9" w:rsidP="004C12A5">
            <w:pPr>
              <w:spacing w:after="0" w:line="240" w:lineRule="auto"/>
              <w:ind w:right="28"/>
              <w:jc w:val="center"/>
              <w:rPr>
                <w:sz w:val="20"/>
                <w:szCs w:val="20"/>
              </w:rPr>
            </w:pPr>
            <w:r w:rsidRPr="00F51209">
              <w:rPr>
                <w:sz w:val="20"/>
                <w:szCs w:val="20"/>
              </w:rPr>
              <w:t>1,1</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12,5</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100,0</w:t>
            </w:r>
          </w:p>
        </w:tc>
      </w:tr>
      <w:tr w:rsidR="00E120C9" w:rsidRPr="00F51209" w:rsidTr="00415F5F">
        <w:trPr>
          <w:jc w:val="center"/>
        </w:trPr>
        <w:tc>
          <w:tcPr>
            <w:tcW w:w="1101" w:type="dxa"/>
          </w:tcPr>
          <w:p w:rsidR="00E120C9" w:rsidRPr="00F51209" w:rsidRDefault="00E120C9" w:rsidP="004C12A5">
            <w:pPr>
              <w:spacing w:after="0" w:line="240" w:lineRule="auto"/>
              <w:rPr>
                <w:sz w:val="20"/>
                <w:szCs w:val="20"/>
              </w:rPr>
            </w:pPr>
            <w:r w:rsidRPr="00F51209">
              <w:rPr>
                <w:sz w:val="20"/>
                <w:szCs w:val="20"/>
              </w:rPr>
              <w:t>2020</w:t>
            </w:r>
          </w:p>
        </w:tc>
        <w:tc>
          <w:tcPr>
            <w:tcW w:w="1411" w:type="dxa"/>
            <w:vAlign w:val="bottom"/>
          </w:tcPr>
          <w:p w:rsidR="00E120C9" w:rsidRPr="00F51209" w:rsidRDefault="00E120C9" w:rsidP="004C12A5">
            <w:pPr>
              <w:spacing w:after="0" w:line="240" w:lineRule="auto"/>
              <w:ind w:right="28"/>
              <w:jc w:val="center"/>
              <w:rPr>
                <w:sz w:val="20"/>
                <w:szCs w:val="20"/>
              </w:rPr>
            </w:pPr>
            <w:r w:rsidRPr="00F51209">
              <w:rPr>
                <w:sz w:val="20"/>
                <w:szCs w:val="20"/>
              </w:rPr>
              <w:t>6,8</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41,0</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34,6</w:t>
            </w:r>
          </w:p>
        </w:tc>
        <w:tc>
          <w:tcPr>
            <w:tcW w:w="1411" w:type="dxa"/>
            <w:vAlign w:val="bottom"/>
          </w:tcPr>
          <w:p w:rsidR="00E120C9" w:rsidRPr="00F51209" w:rsidRDefault="00E120C9" w:rsidP="004C12A5">
            <w:pPr>
              <w:spacing w:after="0" w:line="240" w:lineRule="auto"/>
              <w:ind w:right="28"/>
              <w:jc w:val="center"/>
              <w:rPr>
                <w:sz w:val="20"/>
                <w:szCs w:val="20"/>
              </w:rPr>
            </w:pPr>
            <w:r w:rsidRPr="00F51209">
              <w:rPr>
                <w:sz w:val="20"/>
                <w:szCs w:val="20"/>
              </w:rPr>
              <w:t>6,4</w:t>
            </w:r>
          </w:p>
        </w:tc>
        <w:tc>
          <w:tcPr>
            <w:tcW w:w="1412" w:type="dxa"/>
            <w:vAlign w:val="bottom"/>
          </w:tcPr>
          <w:p w:rsidR="00E120C9" w:rsidRPr="00F51209" w:rsidRDefault="00E120C9" w:rsidP="004C12A5">
            <w:pPr>
              <w:spacing w:after="0" w:line="240" w:lineRule="auto"/>
              <w:ind w:right="28"/>
              <w:jc w:val="center"/>
              <w:rPr>
                <w:sz w:val="20"/>
                <w:szCs w:val="20"/>
              </w:rPr>
            </w:pPr>
            <w:r w:rsidRPr="00F51209">
              <w:rPr>
                <w:sz w:val="20"/>
                <w:szCs w:val="20"/>
              </w:rPr>
              <w:t>11,2</w:t>
            </w:r>
          </w:p>
        </w:tc>
        <w:tc>
          <w:tcPr>
            <w:tcW w:w="1412" w:type="dxa"/>
            <w:vAlign w:val="bottom"/>
          </w:tcPr>
          <w:p w:rsidR="00E120C9" w:rsidRPr="00F51209" w:rsidRDefault="00E120C9" w:rsidP="004C12A5">
            <w:pPr>
              <w:spacing w:after="0" w:line="240" w:lineRule="auto"/>
              <w:ind w:right="57"/>
              <w:jc w:val="center"/>
              <w:rPr>
                <w:sz w:val="20"/>
                <w:szCs w:val="20"/>
              </w:rPr>
            </w:pPr>
            <w:r w:rsidRPr="00F51209">
              <w:rPr>
                <w:sz w:val="20"/>
                <w:szCs w:val="20"/>
              </w:rPr>
              <w:t>100,0</w:t>
            </w:r>
          </w:p>
        </w:tc>
      </w:tr>
    </w:tbl>
    <w:p w:rsidR="00E120C9" w:rsidRDefault="00E120C9" w:rsidP="004C12A5">
      <w:pPr>
        <w:spacing w:line="240" w:lineRule="auto"/>
      </w:pPr>
    </w:p>
    <w:p w:rsidR="00E120C9" w:rsidRDefault="00E120C9" w:rsidP="004C12A5">
      <w:pPr>
        <w:spacing w:after="0" w:line="240" w:lineRule="auto"/>
        <w:ind w:firstLine="708"/>
        <w:jc w:val="both"/>
      </w:pPr>
      <w:r>
        <w:t xml:space="preserve">Напротив, увеличилось количество респондентов (41,0%), которые считают, что данных организаций «Мало» и «Нет совсем» (2015г.–50,4%, 2018г.–12,6%). С 2018 года  их число возросло на 28,4%.  Так отметили большинство жителей </w:t>
      </w:r>
      <w:r w:rsidRPr="003C1724">
        <w:t>МО ГО Ухта</w:t>
      </w:r>
      <w:r>
        <w:t xml:space="preserve"> (74,0%), </w:t>
      </w:r>
      <w:r w:rsidRPr="00F23E9A">
        <w:t xml:space="preserve">МО МР </w:t>
      </w:r>
      <w:proofErr w:type="spellStart"/>
      <w:r w:rsidRPr="00F23E9A">
        <w:t>Корткеросский</w:t>
      </w:r>
      <w:proofErr w:type="spellEnd"/>
      <w:r>
        <w:t xml:space="preserve"> (63,4%), </w:t>
      </w:r>
      <w:r w:rsidRPr="003C1724">
        <w:t>МО ГО Вуктыл</w:t>
      </w:r>
      <w:r>
        <w:t xml:space="preserve"> (51,6%), </w:t>
      </w:r>
      <w:r w:rsidRPr="003C1724">
        <w:t>МО ГО Воркута</w:t>
      </w:r>
      <w:r>
        <w:t xml:space="preserve"> (48,2%). Таким образом, можно сделать вывод о том, что потребители рынка социальных услуг испытывают недостаток данных видов услуг и ограничены в возможности их выбора.   </w:t>
      </w:r>
    </w:p>
    <w:p w:rsidR="00E120C9" w:rsidRDefault="00E120C9" w:rsidP="004C12A5">
      <w:pPr>
        <w:pStyle w:val="Default"/>
        <w:ind w:firstLine="708"/>
        <w:jc w:val="both"/>
      </w:pPr>
      <w:r>
        <w:t>В целом по республике р</w:t>
      </w:r>
      <w:r w:rsidRPr="00AA71FA">
        <w:t xml:space="preserve">аспределение ответов на вопрос «Насколько Вы удовлетворены уровнем цен, качеством услуг и возможностью выбора на рынке услуг </w:t>
      </w:r>
      <w:r>
        <w:t xml:space="preserve">социального обслуживания населения </w:t>
      </w:r>
      <w:r w:rsidRPr="00AA71FA">
        <w:t>вашего района</w:t>
      </w:r>
      <w:r>
        <w:t xml:space="preserve"> </w:t>
      </w:r>
      <w:r w:rsidRPr="00AA71FA">
        <w:t>(города)?» (0 – затрудняюсь ответить, 1 – не удовлетворен, 2 – скорее не удовлетворен, 3 – скорее удовлетворен, 4 – удовлетворен)</w:t>
      </w:r>
      <w:r>
        <w:t>.</w:t>
      </w:r>
    </w:p>
    <w:p w:rsidR="00E120C9" w:rsidRDefault="00E120C9" w:rsidP="006F41F9">
      <w:pPr>
        <w:pStyle w:val="Default"/>
        <w:jc w:val="both"/>
      </w:pPr>
      <w:r w:rsidRPr="00AA71FA">
        <w:t>В разрезе городов и районов республики средний бал по уровню цен составил 2,</w:t>
      </w:r>
      <w:r>
        <w:t>2</w:t>
      </w:r>
      <w:r w:rsidRPr="00AA71FA">
        <w:t>, по качеству услуг  2,</w:t>
      </w:r>
      <w:r>
        <w:t>3</w:t>
      </w:r>
      <w:r w:rsidRPr="00AA71FA">
        <w:t xml:space="preserve"> балла и выбору услуг 2,</w:t>
      </w:r>
      <w:r>
        <w:t>3</w:t>
      </w:r>
      <w:r w:rsidRPr="00AA71FA">
        <w:t xml:space="preserve"> балла, что говорит о том, что потребители </w:t>
      </w:r>
      <w:r w:rsidRPr="00AA71FA">
        <w:lastRenderedPageBreak/>
        <w:t xml:space="preserve">рынка </w:t>
      </w:r>
      <w:r>
        <w:t xml:space="preserve">социального обслуживания населения </w:t>
      </w:r>
      <w:r w:rsidRPr="00AA71FA">
        <w:t>«скорее не удовлетворены</w:t>
      </w:r>
      <w:r>
        <w:t>»</w:t>
      </w:r>
      <w:r w:rsidRPr="00AA71FA">
        <w:t xml:space="preserve"> уровнем цен, качеством услуг и возможностью выбора</w:t>
      </w:r>
      <w:r>
        <w:t xml:space="preserve"> </w:t>
      </w:r>
      <w:r w:rsidRPr="00AA71FA">
        <w:t>услуг</w:t>
      </w:r>
      <w:r>
        <w:t>.</w:t>
      </w:r>
    </w:p>
    <w:p w:rsidR="00532DAC" w:rsidRPr="00AA71FA" w:rsidRDefault="00532DAC" w:rsidP="005912F0">
      <w:pPr>
        <w:spacing w:after="0" w:line="240" w:lineRule="auto"/>
        <w:ind w:firstLine="567"/>
        <w:jc w:val="both"/>
      </w:pPr>
      <w:r w:rsidRPr="00F95F6B">
        <w:rPr>
          <w:bCs/>
          <w:lang w:eastAsia="ru-RU"/>
        </w:rPr>
        <w:t>Т</w:t>
      </w:r>
      <w:r w:rsidRPr="00F95F6B">
        <w:t xml:space="preserve">енденция по снижению удовлетворенности потребителей ценовой конкуренцией, качеством и возможностью выбора услуг на рынке </w:t>
      </w:r>
      <w:r>
        <w:t>социальных</w:t>
      </w:r>
      <w:r w:rsidRPr="00F95F6B">
        <w:t xml:space="preserve"> услуг Республики Коми была</w:t>
      </w:r>
      <w:r w:rsidRPr="00F95F6B">
        <w:rPr>
          <w:i/>
        </w:rPr>
        <w:t xml:space="preserve"> </w:t>
      </w:r>
      <w:r w:rsidRPr="00F95F6B">
        <w:t xml:space="preserve">охарактеризована потребителями распространением новой </w:t>
      </w:r>
      <w:proofErr w:type="spellStart"/>
      <w:r w:rsidRPr="00F95F6B">
        <w:t>коронавирусной</w:t>
      </w:r>
      <w:proofErr w:type="spellEnd"/>
      <w:r w:rsidRPr="00F95F6B">
        <w:t xml:space="preserve"> инфекции COVID-19.</w:t>
      </w:r>
      <w:r>
        <w:t xml:space="preserve"> </w:t>
      </w:r>
    </w:p>
    <w:p w:rsidR="00E11752" w:rsidRDefault="00E11752" w:rsidP="006372D0">
      <w:pPr>
        <w:tabs>
          <w:tab w:val="left" w:pos="426"/>
        </w:tabs>
        <w:ind w:firstLine="567"/>
        <w:jc w:val="both"/>
      </w:pPr>
      <w:r>
        <w:t xml:space="preserve">Работа выполнена в рамках государственного задания </w:t>
      </w:r>
      <w:r w:rsidR="005912F0">
        <w:t xml:space="preserve"> НИОКТР </w:t>
      </w:r>
      <w:r w:rsidR="005912F0" w:rsidRPr="00E11752">
        <w:t xml:space="preserve"> </w:t>
      </w:r>
      <w:r w:rsidRPr="00E11752">
        <w:t>«Реальный сектор экономики северных регионов России: проблемы и перспективы развития</w:t>
      </w:r>
      <w:bookmarkStart w:id="0" w:name="_GoBack"/>
      <w:bookmarkEnd w:id="0"/>
      <w:r w:rsidRPr="00E11752">
        <w:t>»</w:t>
      </w:r>
      <w:r w:rsidR="005912F0">
        <w:t xml:space="preserve"> Интернет-номер / Регистрационный номер 122031500421-1, </w:t>
      </w:r>
      <w:r w:rsidR="005912F0" w:rsidRPr="00E11752">
        <w:t>НИР-2022-2024 гг.</w:t>
      </w:r>
    </w:p>
    <w:p w:rsidR="00A9399E" w:rsidRPr="009B30E4" w:rsidRDefault="0098593B" w:rsidP="00BB04F2">
      <w:pPr>
        <w:spacing w:after="0" w:line="240" w:lineRule="auto"/>
        <w:ind w:firstLine="567"/>
        <w:jc w:val="center"/>
        <w:rPr>
          <w:b/>
        </w:rPr>
      </w:pPr>
      <w:r w:rsidRPr="009B30E4">
        <w:rPr>
          <w:b/>
        </w:rPr>
        <w:t>Библиографический список</w:t>
      </w:r>
    </w:p>
    <w:p w:rsidR="00164958" w:rsidRDefault="00164958" w:rsidP="00BB04F2">
      <w:pPr>
        <w:pStyle w:val="aa"/>
        <w:numPr>
          <w:ilvl w:val="0"/>
          <w:numId w:val="2"/>
        </w:numPr>
        <w:tabs>
          <w:tab w:val="left" w:pos="284"/>
        </w:tabs>
        <w:spacing w:after="0" w:line="240" w:lineRule="auto"/>
        <w:ind w:left="0" w:firstLine="0"/>
        <w:jc w:val="both"/>
      </w:pPr>
      <w:r w:rsidRPr="00580376">
        <w:t>Аналитический отчет «Состояние и развитие конкурентной среды на рынках товаров и услуг в Республике Коми», Сыктывкар, 2018. 212</w:t>
      </w:r>
      <w:r>
        <w:t xml:space="preserve"> </w:t>
      </w:r>
      <w:proofErr w:type="gramStart"/>
      <w:r w:rsidRPr="00580376">
        <w:t>с</w:t>
      </w:r>
      <w:proofErr w:type="gramEnd"/>
      <w:r w:rsidRPr="00580376">
        <w:t>.</w:t>
      </w:r>
    </w:p>
    <w:p w:rsidR="00164958" w:rsidRPr="00580376" w:rsidRDefault="00164958" w:rsidP="00164958">
      <w:pPr>
        <w:pStyle w:val="aa"/>
        <w:numPr>
          <w:ilvl w:val="0"/>
          <w:numId w:val="2"/>
        </w:numPr>
        <w:tabs>
          <w:tab w:val="left" w:pos="284"/>
        </w:tabs>
        <w:spacing w:after="0" w:line="240" w:lineRule="auto"/>
        <w:ind w:left="0" w:firstLine="0"/>
        <w:jc w:val="both"/>
      </w:pPr>
      <w:r w:rsidRPr="00580376">
        <w:t xml:space="preserve">Аналитический отчет «Состояние и развитие конкурентной среды на рынках товаров и услуг в Республике Коми», Сыктывкар, 2020. 502с.  </w:t>
      </w:r>
    </w:p>
    <w:p w:rsidR="00164958" w:rsidRDefault="00164958" w:rsidP="00164958">
      <w:pPr>
        <w:pStyle w:val="aa"/>
        <w:numPr>
          <w:ilvl w:val="0"/>
          <w:numId w:val="2"/>
        </w:numPr>
        <w:tabs>
          <w:tab w:val="left" w:pos="284"/>
        </w:tabs>
        <w:spacing w:after="0" w:line="240" w:lineRule="auto"/>
        <w:ind w:left="0" w:firstLine="0"/>
        <w:jc w:val="both"/>
      </w:pPr>
      <w:r w:rsidRPr="00580376">
        <w:t>Доклад «Состояние и развитие конкуренции на товарных рынках Республики Коми по итогам 2020 года»: Министерство экономического развития и промышленности Республики Коми. Сыктывкар 2021.</w:t>
      </w:r>
    </w:p>
    <w:p w:rsidR="00164958" w:rsidRPr="00580376" w:rsidRDefault="00164958" w:rsidP="00164958">
      <w:pPr>
        <w:pStyle w:val="aa"/>
        <w:numPr>
          <w:ilvl w:val="0"/>
          <w:numId w:val="2"/>
        </w:numPr>
        <w:tabs>
          <w:tab w:val="left" w:pos="284"/>
        </w:tabs>
        <w:spacing w:after="0" w:line="240" w:lineRule="auto"/>
        <w:ind w:left="0" w:right="-1" w:firstLine="0"/>
        <w:jc w:val="both"/>
      </w:pPr>
      <w:r w:rsidRPr="00580376">
        <w:rPr>
          <w:rStyle w:val="extended-textshort"/>
        </w:rPr>
        <w:t xml:space="preserve">Закон </w:t>
      </w:r>
      <w:r w:rsidRPr="00580376">
        <w:rPr>
          <w:rStyle w:val="extended-textshort"/>
          <w:bCs/>
        </w:rPr>
        <w:t>Республики</w:t>
      </w:r>
      <w:r w:rsidRPr="00580376">
        <w:rPr>
          <w:rStyle w:val="extended-textshort"/>
        </w:rPr>
        <w:t xml:space="preserve"> </w:t>
      </w:r>
      <w:r w:rsidRPr="00580376">
        <w:rPr>
          <w:rStyle w:val="extended-textshort"/>
          <w:bCs/>
        </w:rPr>
        <w:t>Коми</w:t>
      </w:r>
      <w:r w:rsidRPr="00580376">
        <w:rPr>
          <w:rStyle w:val="extended-textshort"/>
        </w:rPr>
        <w:t xml:space="preserve"> от 31 октября </w:t>
      </w:r>
      <w:smartTag w:uri="urn:schemas-microsoft-com:office:smarttags" w:element="metricconverter">
        <w:smartTagPr>
          <w:attr w:name="ProductID" w:val="1994 г"/>
        </w:smartTagPr>
        <w:r w:rsidRPr="00580376">
          <w:rPr>
            <w:rStyle w:val="extended-textshort"/>
          </w:rPr>
          <w:t>1994 г</w:t>
        </w:r>
      </w:smartTag>
      <w:r w:rsidRPr="00580376">
        <w:rPr>
          <w:rStyle w:val="extended-textshort"/>
        </w:rPr>
        <w:t>. N 8-РЗ "</w:t>
      </w:r>
      <w:r w:rsidRPr="00580376">
        <w:rPr>
          <w:rStyle w:val="extended-textshort"/>
          <w:bCs/>
        </w:rPr>
        <w:t>Об</w:t>
      </w:r>
      <w:r w:rsidRPr="00580376">
        <w:rPr>
          <w:rStyle w:val="extended-textshort"/>
        </w:rPr>
        <w:t xml:space="preserve"> </w:t>
      </w:r>
      <w:r w:rsidRPr="00580376">
        <w:rPr>
          <w:rStyle w:val="extended-textshort"/>
          <w:bCs/>
        </w:rPr>
        <w:t>органах</w:t>
      </w:r>
      <w:r w:rsidRPr="00580376">
        <w:rPr>
          <w:rStyle w:val="extended-textshort"/>
        </w:rPr>
        <w:t xml:space="preserve"> </w:t>
      </w:r>
      <w:r w:rsidRPr="00580376">
        <w:rPr>
          <w:rStyle w:val="extended-textshort"/>
          <w:bCs/>
        </w:rPr>
        <w:t>исполнительной</w:t>
      </w:r>
      <w:r w:rsidRPr="00580376">
        <w:rPr>
          <w:rStyle w:val="extended-textshort"/>
        </w:rPr>
        <w:t xml:space="preserve"> </w:t>
      </w:r>
      <w:r w:rsidRPr="00580376">
        <w:rPr>
          <w:rStyle w:val="extended-textshort"/>
          <w:bCs/>
        </w:rPr>
        <w:t>власти</w:t>
      </w:r>
      <w:r w:rsidRPr="00580376">
        <w:rPr>
          <w:rStyle w:val="extended-textshort"/>
        </w:rPr>
        <w:t xml:space="preserve"> в </w:t>
      </w:r>
      <w:r w:rsidRPr="00580376">
        <w:rPr>
          <w:rStyle w:val="extended-textshort"/>
          <w:bCs/>
        </w:rPr>
        <w:t>Республике</w:t>
      </w:r>
      <w:r w:rsidRPr="00580376">
        <w:rPr>
          <w:rStyle w:val="extended-textshort"/>
        </w:rPr>
        <w:t xml:space="preserve"> </w:t>
      </w:r>
      <w:r w:rsidRPr="00580376">
        <w:rPr>
          <w:rStyle w:val="extended-textshort"/>
          <w:bCs/>
        </w:rPr>
        <w:t>Коми</w:t>
      </w:r>
      <w:r w:rsidRPr="00580376">
        <w:rPr>
          <w:rStyle w:val="extended-textshort"/>
        </w:rPr>
        <w:t>". https://law.rkomi.ru/</w:t>
      </w:r>
    </w:p>
    <w:p w:rsidR="00164958" w:rsidRPr="00580376" w:rsidRDefault="00164958" w:rsidP="00164958">
      <w:pPr>
        <w:pStyle w:val="a3"/>
        <w:numPr>
          <w:ilvl w:val="0"/>
          <w:numId w:val="2"/>
        </w:numPr>
        <w:shd w:val="clear" w:color="auto" w:fill="FFFFFF"/>
        <w:tabs>
          <w:tab w:val="left" w:pos="284"/>
        </w:tabs>
        <w:spacing w:before="60" w:beforeAutospacing="0" w:after="0" w:afterAutospacing="0"/>
        <w:ind w:left="0" w:firstLine="0"/>
        <w:jc w:val="both"/>
      </w:pPr>
      <w:r w:rsidRPr="00580376">
        <w:t>Министерство экономического развития Российской Федерации от 11.03.2020 № 130. Методические рекомендации «Об утверждении единой методики мониторинга состояния и развития конкуренции на товарных рынках субъекта Российской Федерации».</w:t>
      </w:r>
    </w:p>
    <w:p w:rsidR="00164958" w:rsidRPr="00580376" w:rsidRDefault="00164958" w:rsidP="00164958">
      <w:pPr>
        <w:pStyle w:val="aa"/>
        <w:numPr>
          <w:ilvl w:val="0"/>
          <w:numId w:val="2"/>
        </w:numPr>
        <w:tabs>
          <w:tab w:val="left" w:pos="284"/>
        </w:tabs>
        <w:spacing w:after="0" w:line="240" w:lineRule="auto"/>
        <w:ind w:left="0" w:right="-1" w:firstLine="0"/>
        <w:jc w:val="both"/>
      </w:pPr>
      <w:r w:rsidRPr="00580376">
        <w:t xml:space="preserve">Об утверждении Перечня приоритетных и социально значимых рынков для содействия развитию конкуренции в Республике Коми от 14 декабря 2015 года N 360-р (с изменениями на 17 июля 2018 года). </w:t>
      </w:r>
      <w:hyperlink r:id="rId8" w:history="1">
        <w:r w:rsidRPr="00580376">
          <w:rPr>
            <w:rStyle w:val="a9"/>
            <w:color w:val="auto"/>
            <w:u w:val="none"/>
          </w:rPr>
          <w:t>http://docs.cntd.ru/</w:t>
        </w:r>
      </w:hyperlink>
    </w:p>
    <w:p w:rsidR="00164958" w:rsidRPr="00C758E9" w:rsidRDefault="00164958" w:rsidP="00164958">
      <w:pPr>
        <w:pStyle w:val="aa"/>
        <w:numPr>
          <w:ilvl w:val="0"/>
          <w:numId w:val="2"/>
        </w:numPr>
        <w:tabs>
          <w:tab w:val="left" w:pos="284"/>
        </w:tabs>
        <w:spacing w:after="0" w:line="240" w:lineRule="auto"/>
        <w:ind w:left="0" w:firstLine="0"/>
        <w:jc w:val="both"/>
      </w:pPr>
      <w:r w:rsidRPr="00517B79">
        <w:t>Расп</w:t>
      </w:r>
      <w:r w:rsidRPr="00580376">
        <w:t xml:space="preserve">оряжение Правительства РФ № 1738-р «Стандарт развития конкуренции в субъектах РФ». </w:t>
      </w:r>
      <w:hyperlink r:id="rId9" w:history="1">
        <w:r w:rsidR="00A9399E" w:rsidRPr="00C758E9">
          <w:rPr>
            <w:rStyle w:val="a9"/>
            <w:color w:val="auto"/>
            <w:u w:val="none"/>
          </w:rPr>
          <w:t>http://www.consultant.ru/</w:t>
        </w:r>
      </w:hyperlink>
    </w:p>
    <w:p w:rsidR="00F546D1" w:rsidRDefault="00F546D1" w:rsidP="00F546D1">
      <w:pPr>
        <w:pStyle w:val="Default"/>
        <w:numPr>
          <w:ilvl w:val="0"/>
          <w:numId w:val="2"/>
        </w:numPr>
        <w:tabs>
          <w:tab w:val="left" w:pos="284"/>
        </w:tabs>
        <w:ind w:left="0" w:firstLine="0"/>
        <w:jc w:val="both"/>
        <w:rPr>
          <w:bCs/>
        </w:rPr>
      </w:pPr>
      <w:r w:rsidRPr="00F546D1">
        <w:rPr>
          <w:color w:val="auto"/>
        </w:rPr>
        <w:t xml:space="preserve">Реальный сектор экономики России: стратегии управления, инвестиции и инновации. – </w:t>
      </w:r>
      <w:r w:rsidRPr="00F546D1">
        <w:t xml:space="preserve">М.: Издательство «Перо», 2016. </w:t>
      </w:r>
      <w:r w:rsidRPr="00F546D1">
        <w:rPr>
          <w:bCs/>
        </w:rPr>
        <w:t>– С. 8.</w:t>
      </w:r>
    </w:p>
    <w:p w:rsidR="00462FB0" w:rsidRDefault="00462FB0" w:rsidP="00462FB0">
      <w:pPr>
        <w:pStyle w:val="Default"/>
        <w:tabs>
          <w:tab w:val="left" w:pos="284"/>
        </w:tabs>
        <w:jc w:val="center"/>
        <w:rPr>
          <w:bCs/>
        </w:rPr>
      </w:pPr>
    </w:p>
    <w:p w:rsidR="00462FB0" w:rsidRDefault="00462FB0" w:rsidP="00462FB0">
      <w:pPr>
        <w:pStyle w:val="Default"/>
        <w:tabs>
          <w:tab w:val="left" w:pos="284"/>
        </w:tabs>
        <w:jc w:val="center"/>
        <w:rPr>
          <w:b/>
          <w:bCs/>
        </w:rPr>
      </w:pPr>
      <w:r w:rsidRPr="00462FB0">
        <w:rPr>
          <w:b/>
          <w:bCs/>
        </w:rPr>
        <w:t>Информация об авторе</w:t>
      </w:r>
    </w:p>
    <w:p w:rsidR="00462FB0" w:rsidRDefault="00462FB0" w:rsidP="00462FB0">
      <w:pPr>
        <w:pStyle w:val="Default"/>
        <w:tabs>
          <w:tab w:val="left" w:pos="284"/>
        </w:tabs>
        <w:jc w:val="center"/>
        <w:rPr>
          <w:b/>
          <w:bCs/>
        </w:rPr>
      </w:pPr>
    </w:p>
    <w:p w:rsidR="00AC070C" w:rsidRPr="00C01904" w:rsidRDefault="00462FB0" w:rsidP="009B30E4">
      <w:pPr>
        <w:pStyle w:val="Default"/>
        <w:tabs>
          <w:tab w:val="left" w:pos="284"/>
        </w:tabs>
        <w:jc w:val="both"/>
        <w:rPr>
          <w:color w:val="auto"/>
        </w:rPr>
      </w:pPr>
      <w:r>
        <w:rPr>
          <w:b/>
          <w:bCs/>
        </w:rPr>
        <w:tab/>
      </w:r>
      <w:proofErr w:type="gramStart"/>
      <w:r w:rsidRPr="00462FB0">
        <w:rPr>
          <w:bCs/>
        </w:rPr>
        <w:t>Тихомирова Валентина Валентиновна</w:t>
      </w:r>
      <w:r>
        <w:rPr>
          <w:bCs/>
        </w:rPr>
        <w:t xml:space="preserve">, </w:t>
      </w:r>
      <w:proofErr w:type="spellStart"/>
      <w:r>
        <w:rPr>
          <w:bCs/>
        </w:rPr>
        <w:t>к.э.н</w:t>
      </w:r>
      <w:proofErr w:type="spellEnd"/>
      <w:r>
        <w:rPr>
          <w:bCs/>
        </w:rPr>
        <w:t xml:space="preserve">., старший научный сотрудник, </w:t>
      </w:r>
      <w:r w:rsidR="009B30E4" w:rsidRPr="009B30E4">
        <w:rPr>
          <w:rFonts w:eastAsia="Calibri"/>
        </w:rPr>
        <w:t xml:space="preserve">Федеральное государственное бюджетное учреждение науки Федеральный исследовательский центр «Коми научный центр Уральского отделения  Российской академии наук»   (ФИЦ Коми НЦ </w:t>
      </w:r>
      <w:proofErr w:type="spellStart"/>
      <w:r w:rsidR="009B30E4" w:rsidRPr="009B30E4">
        <w:rPr>
          <w:rFonts w:eastAsia="Calibri"/>
        </w:rPr>
        <w:t>УрО</w:t>
      </w:r>
      <w:proofErr w:type="spellEnd"/>
      <w:r w:rsidR="009B30E4" w:rsidRPr="009B30E4">
        <w:rPr>
          <w:rFonts w:eastAsia="Calibri"/>
        </w:rPr>
        <w:t xml:space="preserve"> РАН)  </w:t>
      </w:r>
      <w:r w:rsidR="009B30E4" w:rsidRPr="009B30E4">
        <w:t>Институт социально-экономических и энергетических проблем Севера Коми научного центра Уральского отделения Российской академии наук</w:t>
      </w:r>
      <w:r w:rsidR="009B30E4">
        <w:t xml:space="preserve"> </w:t>
      </w:r>
      <w:r w:rsidR="009B30E4" w:rsidRPr="009B30E4">
        <w:t xml:space="preserve">(ИСЭ и ЭПС ФИЦ Коми НЦ </w:t>
      </w:r>
      <w:proofErr w:type="spellStart"/>
      <w:r w:rsidR="009B30E4" w:rsidRPr="009B30E4">
        <w:t>УрО</w:t>
      </w:r>
      <w:proofErr w:type="spellEnd"/>
      <w:r w:rsidR="009B30E4" w:rsidRPr="009B30E4">
        <w:t xml:space="preserve"> РАН)</w:t>
      </w:r>
      <w:r w:rsidR="009B30E4">
        <w:t xml:space="preserve">, </w:t>
      </w:r>
      <w:hyperlink r:id="rId10" w:history="1">
        <w:r w:rsidR="00351EF7" w:rsidRPr="00C01904">
          <w:rPr>
            <w:rStyle w:val="a9"/>
            <w:color w:val="auto"/>
            <w:u w:val="none"/>
          </w:rPr>
          <w:t>tikhomirova@iespn.komisc.ru</w:t>
        </w:r>
      </w:hyperlink>
      <w:proofErr w:type="gramEnd"/>
    </w:p>
    <w:p w:rsidR="00351EF7" w:rsidRDefault="00351EF7" w:rsidP="009B30E4">
      <w:pPr>
        <w:pStyle w:val="Default"/>
        <w:tabs>
          <w:tab w:val="left" w:pos="284"/>
        </w:tabs>
        <w:jc w:val="both"/>
      </w:pPr>
    </w:p>
    <w:p w:rsidR="00351EF7" w:rsidRDefault="00351EF7" w:rsidP="009B30E4">
      <w:pPr>
        <w:pStyle w:val="Default"/>
        <w:tabs>
          <w:tab w:val="left" w:pos="284"/>
        </w:tabs>
        <w:jc w:val="both"/>
      </w:pPr>
    </w:p>
    <w:p w:rsidR="00351EF7" w:rsidRPr="00E05A49" w:rsidRDefault="00351EF7" w:rsidP="00351EF7">
      <w:pPr>
        <w:pStyle w:val="Default"/>
        <w:tabs>
          <w:tab w:val="left" w:pos="284"/>
        </w:tabs>
        <w:jc w:val="right"/>
        <w:rPr>
          <w:b/>
        </w:rPr>
      </w:pPr>
      <w:proofErr w:type="spellStart"/>
      <w:r w:rsidRPr="00E05A49">
        <w:rPr>
          <w:b/>
          <w:lang w:val="en-US"/>
        </w:rPr>
        <w:t>Tikhomirova</w:t>
      </w:r>
      <w:proofErr w:type="spellEnd"/>
      <w:r w:rsidRPr="00E05A49">
        <w:rPr>
          <w:b/>
          <w:lang w:val="en-US"/>
        </w:rPr>
        <w:t xml:space="preserve"> V.V.</w:t>
      </w:r>
    </w:p>
    <w:p w:rsidR="00351EF7" w:rsidRPr="00E05A49" w:rsidRDefault="00351EF7" w:rsidP="00351EF7">
      <w:pPr>
        <w:pStyle w:val="Default"/>
        <w:tabs>
          <w:tab w:val="left" w:pos="284"/>
        </w:tabs>
        <w:jc w:val="right"/>
        <w:rPr>
          <w:b/>
        </w:rPr>
      </w:pPr>
    </w:p>
    <w:p w:rsidR="00351EF7" w:rsidRPr="00E05A49" w:rsidRDefault="00351EF7" w:rsidP="00351EF7">
      <w:pPr>
        <w:pStyle w:val="Default"/>
        <w:tabs>
          <w:tab w:val="left" w:pos="284"/>
        </w:tabs>
        <w:jc w:val="right"/>
        <w:rPr>
          <w:b/>
        </w:rPr>
      </w:pPr>
      <w:r w:rsidRPr="00E05A49">
        <w:rPr>
          <w:b/>
          <w:lang w:val="en-US"/>
        </w:rPr>
        <w:t xml:space="preserve">The real sector of the economy: competition in the domestic market of social services </w:t>
      </w:r>
    </w:p>
    <w:p w:rsidR="00351EF7" w:rsidRPr="00E05A49" w:rsidRDefault="00351EF7" w:rsidP="00351EF7">
      <w:pPr>
        <w:pStyle w:val="Default"/>
        <w:tabs>
          <w:tab w:val="left" w:pos="284"/>
        </w:tabs>
        <w:jc w:val="center"/>
        <w:rPr>
          <w:b/>
          <w:lang w:val="en-US"/>
        </w:rPr>
      </w:pPr>
      <w:proofErr w:type="gramStart"/>
      <w:r w:rsidRPr="00E05A49">
        <w:rPr>
          <w:b/>
          <w:lang w:val="en-US"/>
        </w:rPr>
        <w:t>in</w:t>
      </w:r>
      <w:proofErr w:type="gramEnd"/>
      <w:r w:rsidRPr="00E05A49">
        <w:rPr>
          <w:b/>
          <w:lang w:val="en-US"/>
        </w:rPr>
        <w:t xml:space="preserve"> the </w:t>
      </w:r>
      <w:proofErr w:type="spellStart"/>
      <w:r w:rsidRPr="00E05A49">
        <w:rPr>
          <w:b/>
          <w:lang w:val="en-US"/>
        </w:rPr>
        <w:t>Komi</w:t>
      </w:r>
      <w:proofErr w:type="spellEnd"/>
      <w:r w:rsidRPr="00E05A49">
        <w:rPr>
          <w:b/>
          <w:lang w:val="en-US"/>
        </w:rPr>
        <w:t xml:space="preserve"> Republic</w:t>
      </w:r>
    </w:p>
    <w:p w:rsidR="00351EF7" w:rsidRPr="00351EF7" w:rsidRDefault="00351EF7" w:rsidP="00351EF7">
      <w:pPr>
        <w:pStyle w:val="Default"/>
        <w:tabs>
          <w:tab w:val="left" w:pos="284"/>
        </w:tabs>
        <w:jc w:val="both"/>
        <w:rPr>
          <w:lang w:val="en-US"/>
        </w:rPr>
      </w:pPr>
    </w:p>
    <w:p w:rsidR="00351EF7" w:rsidRPr="00E05A49" w:rsidRDefault="00C01904" w:rsidP="00C01904">
      <w:pPr>
        <w:pStyle w:val="Default"/>
        <w:tabs>
          <w:tab w:val="left" w:pos="284"/>
          <w:tab w:val="left" w:pos="567"/>
          <w:tab w:val="left" w:pos="709"/>
        </w:tabs>
        <w:jc w:val="both"/>
        <w:rPr>
          <w:i/>
          <w:lang w:val="en-US"/>
        </w:rPr>
      </w:pPr>
      <w:r>
        <w:tab/>
      </w:r>
      <w:proofErr w:type="gramStart"/>
      <w:r w:rsidR="00351EF7" w:rsidRPr="00E05A49">
        <w:rPr>
          <w:b/>
          <w:i/>
          <w:lang w:val="en-US"/>
        </w:rPr>
        <w:t>Annotation.</w:t>
      </w:r>
      <w:proofErr w:type="gramEnd"/>
      <w:r w:rsidR="00351EF7" w:rsidRPr="00E05A49">
        <w:rPr>
          <w:i/>
          <w:lang w:val="en-US"/>
        </w:rPr>
        <w:t xml:space="preserve"> In this article, the competitiveness of the regional market of social services for the population is considered as an indicator of the competitiveness of the region. The monitoring of satisfaction of the population with the level of prices, quality and choice of social services in this area in dynamics from 2015 to 2020 is analyzed. The presence of positive dynamics in the development of this market is revealed. However, despite this, a large proportion of dissatisfied consumers of the corresponding type of service </w:t>
      </w:r>
      <w:proofErr w:type="gramStart"/>
      <w:r w:rsidR="00351EF7" w:rsidRPr="00E05A49">
        <w:rPr>
          <w:i/>
          <w:lang w:val="en-US"/>
        </w:rPr>
        <w:t>remains</w:t>
      </w:r>
      <w:proofErr w:type="gramEnd"/>
      <w:r w:rsidR="00351EF7" w:rsidRPr="00E05A49">
        <w:rPr>
          <w:i/>
          <w:lang w:val="en-US"/>
        </w:rPr>
        <w:t xml:space="preserve">. It was determined that the inhabitants of </w:t>
      </w:r>
      <w:r w:rsidR="00351EF7" w:rsidRPr="00E05A49">
        <w:rPr>
          <w:i/>
          <w:lang w:val="en-US"/>
        </w:rPr>
        <w:lastRenderedPageBreak/>
        <w:t>the region as a whole are “rather dissatisfied” with the services of the social services market for each of the proposed indicators.</w:t>
      </w:r>
    </w:p>
    <w:p w:rsidR="00351EF7" w:rsidRPr="00E05A49" w:rsidRDefault="00C01904" w:rsidP="00351EF7">
      <w:pPr>
        <w:pStyle w:val="Default"/>
        <w:tabs>
          <w:tab w:val="left" w:pos="284"/>
        </w:tabs>
        <w:jc w:val="both"/>
        <w:rPr>
          <w:i/>
        </w:rPr>
      </w:pPr>
      <w:r w:rsidRPr="00E05A49">
        <w:rPr>
          <w:i/>
        </w:rPr>
        <w:tab/>
      </w:r>
      <w:r w:rsidR="00351EF7" w:rsidRPr="00E05A49">
        <w:rPr>
          <w:b/>
          <w:i/>
          <w:lang w:val="en-US"/>
        </w:rPr>
        <w:t>Key words:</w:t>
      </w:r>
      <w:r w:rsidR="00351EF7" w:rsidRPr="00E05A49">
        <w:rPr>
          <w:i/>
          <w:lang w:val="en-US"/>
        </w:rPr>
        <w:t xml:space="preserve"> real sector of the economy, competition, service market, social services, monitoring.</w:t>
      </w:r>
    </w:p>
    <w:p w:rsidR="005C1F04" w:rsidRPr="00E05A49" w:rsidRDefault="005C1F04" w:rsidP="00351EF7">
      <w:pPr>
        <w:pStyle w:val="Default"/>
        <w:tabs>
          <w:tab w:val="left" w:pos="284"/>
        </w:tabs>
        <w:jc w:val="both"/>
        <w:rPr>
          <w:i/>
        </w:rPr>
      </w:pPr>
    </w:p>
    <w:p w:rsidR="00C01904" w:rsidRPr="00E05A49" w:rsidRDefault="005C1F04" w:rsidP="005C1F04">
      <w:pPr>
        <w:pStyle w:val="Default"/>
        <w:tabs>
          <w:tab w:val="left" w:pos="284"/>
        </w:tabs>
        <w:jc w:val="center"/>
        <w:rPr>
          <w:b/>
        </w:rPr>
      </w:pPr>
      <w:proofErr w:type="spellStart"/>
      <w:r w:rsidRPr="00E05A49">
        <w:rPr>
          <w:b/>
        </w:rPr>
        <w:t>Author</w:t>
      </w:r>
      <w:proofErr w:type="spellEnd"/>
      <w:r w:rsidRPr="00E05A49">
        <w:rPr>
          <w:b/>
        </w:rPr>
        <w:t xml:space="preserve"> </w:t>
      </w:r>
      <w:proofErr w:type="spellStart"/>
      <w:r w:rsidRPr="00E05A49">
        <w:rPr>
          <w:b/>
        </w:rPr>
        <w:t>information</w:t>
      </w:r>
      <w:proofErr w:type="spellEnd"/>
    </w:p>
    <w:p w:rsidR="005C1F04" w:rsidRDefault="005C1F04" w:rsidP="005C1F04">
      <w:pPr>
        <w:pStyle w:val="Default"/>
        <w:tabs>
          <w:tab w:val="left" w:pos="284"/>
        </w:tabs>
        <w:jc w:val="center"/>
      </w:pPr>
    </w:p>
    <w:p w:rsidR="00C01904" w:rsidRDefault="005C1F04" w:rsidP="00351EF7">
      <w:pPr>
        <w:pStyle w:val="Default"/>
        <w:tabs>
          <w:tab w:val="left" w:pos="284"/>
        </w:tabs>
        <w:jc w:val="both"/>
        <w:rPr>
          <w:color w:val="auto"/>
        </w:rPr>
      </w:pPr>
      <w:r>
        <w:tab/>
      </w:r>
      <w:proofErr w:type="spellStart"/>
      <w:r w:rsidRPr="005C1F04">
        <w:rPr>
          <w:lang w:val="en-US"/>
        </w:rPr>
        <w:t>Tikhomirova</w:t>
      </w:r>
      <w:proofErr w:type="spellEnd"/>
      <w:r w:rsidRPr="005C1F04">
        <w:rPr>
          <w:lang w:val="en-US"/>
        </w:rPr>
        <w:t xml:space="preserve"> </w:t>
      </w:r>
      <w:proofErr w:type="spellStart"/>
      <w:r w:rsidRPr="005C1F04">
        <w:rPr>
          <w:lang w:val="en-US"/>
        </w:rPr>
        <w:t>Valentina</w:t>
      </w:r>
      <w:proofErr w:type="spellEnd"/>
      <w:r w:rsidRPr="005C1F04">
        <w:rPr>
          <w:lang w:val="en-US"/>
        </w:rPr>
        <w:t xml:space="preserve"> </w:t>
      </w:r>
      <w:proofErr w:type="spellStart"/>
      <w:r w:rsidRPr="005C1F04">
        <w:rPr>
          <w:lang w:val="en-US"/>
        </w:rPr>
        <w:t>Valentinovna</w:t>
      </w:r>
      <w:proofErr w:type="spellEnd"/>
      <w:r w:rsidRPr="005C1F04">
        <w:rPr>
          <w:lang w:val="en-US"/>
        </w:rPr>
        <w:t>, Ph.D., Senior Researcher, Federal State Budgetary Institution of Science Federal Research Center "</w:t>
      </w:r>
      <w:proofErr w:type="spellStart"/>
      <w:r w:rsidRPr="005C1F04">
        <w:rPr>
          <w:lang w:val="en-US"/>
        </w:rPr>
        <w:t>Komi</w:t>
      </w:r>
      <w:proofErr w:type="spellEnd"/>
      <w:r w:rsidRPr="005C1F04">
        <w:rPr>
          <w:lang w:val="en-US"/>
        </w:rPr>
        <w:t xml:space="preserve"> Scientific Center of the Ural Branch of the Russian Academy of Sciences" (FRC </w:t>
      </w:r>
      <w:proofErr w:type="spellStart"/>
      <w:r w:rsidRPr="005C1F04">
        <w:rPr>
          <w:lang w:val="en-US"/>
        </w:rPr>
        <w:t>Komi</w:t>
      </w:r>
      <w:proofErr w:type="spellEnd"/>
      <w:r w:rsidRPr="005C1F04">
        <w:rPr>
          <w:lang w:val="en-US"/>
        </w:rPr>
        <w:t xml:space="preserve"> Scientific Center of the Ural Branch of the Russian Academy of Sciences) Center of the Ural Branch of the Russian Academy of Sciences (ISE and EPS FRC </w:t>
      </w:r>
      <w:proofErr w:type="spellStart"/>
      <w:r w:rsidRPr="005C1F04">
        <w:rPr>
          <w:lang w:val="en-US"/>
        </w:rPr>
        <w:t>Komi</w:t>
      </w:r>
      <w:proofErr w:type="spellEnd"/>
      <w:r w:rsidRPr="005C1F04">
        <w:rPr>
          <w:lang w:val="en-US"/>
        </w:rPr>
        <w:t xml:space="preserve"> Scientific Center of the Ural Branch of the Russian Academy of Sciences), </w:t>
      </w:r>
      <w:hyperlink r:id="rId11" w:history="1">
        <w:r w:rsidR="00E05A49" w:rsidRPr="00E05A49">
          <w:rPr>
            <w:rStyle w:val="a9"/>
            <w:color w:val="auto"/>
            <w:u w:val="none"/>
            <w:lang w:val="en-US"/>
          </w:rPr>
          <w:t>tikhomirova@iespn.komisc.ru</w:t>
        </w:r>
      </w:hyperlink>
    </w:p>
    <w:p w:rsidR="006A0632" w:rsidRDefault="006A0632" w:rsidP="00351EF7">
      <w:pPr>
        <w:pStyle w:val="Default"/>
        <w:tabs>
          <w:tab w:val="left" w:pos="284"/>
        </w:tabs>
        <w:jc w:val="both"/>
        <w:rPr>
          <w:color w:val="auto"/>
        </w:rPr>
      </w:pPr>
    </w:p>
    <w:p w:rsidR="006A0632" w:rsidRPr="006A0632" w:rsidRDefault="006A0632" w:rsidP="006A0632">
      <w:pPr>
        <w:pStyle w:val="Default"/>
        <w:tabs>
          <w:tab w:val="left" w:pos="284"/>
        </w:tabs>
        <w:jc w:val="center"/>
        <w:rPr>
          <w:color w:val="auto"/>
        </w:rPr>
      </w:pPr>
      <w:r w:rsidRPr="006A0632">
        <w:rPr>
          <w:b/>
          <w:color w:val="auto"/>
          <w:lang w:val="en-US"/>
        </w:rPr>
        <w:t>Bibliographic list</w:t>
      </w:r>
    </w:p>
    <w:p w:rsidR="006A0632" w:rsidRPr="006A0632" w:rsidRDefault="006A0632" w:rsidP="006A0632">
      <w:pPr>
        <w:pStyle w:val="Default"/>
        <w:tabs>
          <w:tab w:val="left" w:pos="284"/>
        </w:tabs>
        <w:jc w:val="both"/>
        <w:rPr>
          <w:color w:val="auto"/>
          <w:lang w:val="en-US"/>
        </w:rPr>
      </w:pPr>
      <w:r w:rsidRPr="006A0632">
        <w:rPr>
          <w:color w:val="auto"/>
          <w:lang w:val="en-US"/>
        </w:rPr>
        <w:t xml:space="preserve">1. Analytical report "The state and development of the competitive environment in the markets for goods and services in the </w:t>
      </w:r>
      <w:proofErr w:type="spellStart"/>
      <w:r w:rsidRPr="006A0632">
        <w:rPr>
          <w:color w:val="auto"/>
          <w:lang w:val="en-US"/>
        </w:rPr>
        <w:t>Komi</w:t>
      </w:r>
      <w:proofErr w:type="spellEnd"/>
      <w:r w:rsidRPr="006A0632">
        <w:rPr>
          <w:color w:val="auto"/>
          <w:lang w:val="en-US"/>
        </w:rPr>
        <w:t xml:space="preserve"> Republic", Syktyvkar, 2018. </w:t>
      </w:r>
      <w:proofErr w:type="gramStart"/>
      <w:r w:rsidRPr="006A0632">
        <w:rPr>
          <w:color w:val="auto"/>
          <w:lang w:val="en-US"/>
        </w:rPr>
        <w:t>212 p.</w:t>
      </w:r>
      <w:proofErr w:type="gramEnd"/>
    </w:p>
    <w:p w:rsidR="006A0632" w:rsidRPr="006A0632" w:rsidRDefault="006A0632" w:rsidP="006A0632">
      <w:pPr>
        <w:pStyle w:val="Default"/>
        <w:tabs>
          <w:tab w:val="left" w:pos="284"/>
        </w:tabs>
        <w:jc w:val="both"/>
        <w:rPr>
          <w:color w:val="auto"/>
          <w:lang w:val="en-US"/>
        </w:rPr>
      </w:pPr>
      <w:r w:rsidRPr="006A0632">
        <w:rPr>
          <w:color w:val="auto"/>
          <w:lang w:val="en-US"/>
        </w:rPr>
        <w:t xml:space="preserve">2. Analytical report "The state and development of the competitive environment in the markets for goods and services in the </w:t>
      </w:r>
      <w:proofErr w:type="spellStart"/>
      <w:r w:rsidRPr="006A0632">
        <w:rPr>
          <w:color w:val="auto"/>
          <w:lang w:val="en-US"/>
        </w:rPr>
        <w:t>Komi</w:t>
      </w:r>
      <w:proofErr w:type="spellEnd"/>
      <w:r w:rsidRPr="006A0632">
        <w:rPr>
          <w:color w:val="auto"/>
          <w:lang w:val="en-US"/>
        </w:rPr>
        <w:t xml:space="preserve"> Republic", Syktyvkar, 2020. 502p.</w:t>
      </w:r>
    </w:p>
    <w:p w:rsidR="006A0632" w:rsidRPr="006A0632" w:rsidRDefault="006A0632" w:rsidP="006A0632">
      <w:pPr>
        <w:pStyle w:val="Default"/>
        <w:tabs>
          <w:tab w:val="left" w:pos="284"/>
        </w:tabs>
        <w:jc w:val="both"/>
        <w:rPr>
          <w:color w:val="auto"/>
          <w:lang w:val="en-US"/>
        </w:rPr>
      </w:pPr>
      <w:r w:rsidRPr="006A0632">
        <w:rPr>
          <w:color w:val="auto"/>
          <w:lang w:val="en-US"/>
        </w:rPr>
        <w:t xml:space="preserve">3. Report "The state and development of competition in the commodity markets of the </w:t>
      </w:r>
      <w:proofErr w:type="spellStart"/>
      <w:r w:rsidRPr="006A0632">
        <w:rPr>
          <w:color w:val="auto"/>
          <w:lang w:val="en-US"/>
        </w:rPr>
        <w:t>Komi</w:t>
      </w:r>
      <w:proofErr w:type="spellEnd"/>
      <w:r w:rsidRPr="006A0632">
        <w:rPr>
          <w:color w:val="auto"/>
          <w:lang w:val="en-US"/>
        </w:rPr>
        <w:t xml:space="preserve"> Republic in 2020": Ministry of Economic Development and Industry of the </w:t>
      </w:r>
      <w:proofErr w:type="spellStart"/>
      <w:r w:rsidRPr="006A0632">
        <w:rPr>
          <w:color w:val="auto"/>
          <w:lang w:val="en-US"/>
        </w:rPr>
        <w:t>Komi</w:t>
      </w:r>
      <w:proofErr w:type="spellEnd"/>
      <w:r w:rsidRPr="006A0632">
        <w:rPr>
          <w:color w:val="auto"/>
          <w:lang w:val="en-US"/>
        </w:rPr>
        <w:t xml:space="preserve"> Republic. Syktyvkar 2021.</w:t>
      </w:r>
    </w:p>
    <w:p w:rsidR="006A0632" w:rsidRPr="006A0632" w:rsidRDefault="006A0632" w:rsidP="006A0632">
      <w:pPr>
        <w:pStyle w:val="Default"/>
        <w:tabs>
          <w:tab w:val="left" w:pos="284"/>
        </w:tabs>
        <w:jc w:val="both"/>
        <w:rPr>
          <w:color w:val="auto"/>
          <w:lang w:val="en-US"/>
        </w:rPr>
      </w:pPr>
      <w:r w:rsidRPr="006A0632">
        <w:rPr>
          <w:color w:val="auto"/>
          <w:lang w:val="en-US"/>
        </w:rPr>
        <w:t xml:space="preserve">4. Law of the Republic of </w:t>
      </w:r>
      <w:proofErr w:type="spellStart"/>
      <w:r w:rsidRPr="006A0632">
        <w:rPr>
          <w:color w:val="auto"/>
          <w:lang w:val="en-US"/>
        </w:rPr>
        <w:t>Komi</w:t>
      </w:r>
      <w:proofErr w:type="spellEnd"/>
      <w:r w:rsidRPr="006A0632">
        <w:rPr>
          <w:color w:val="auto"/>
          <w:lang w:val="en-US"/>
        </w:rPr>
        <w:t xml:space="preserve"> of October 31, 1994 N 8-RZ "On executive authorities in the Republic of </w:t>
      </w:r>
      <w:proofErr w:type="spellStart"/>
      <w:r w:rsidRPr="006A0632">
        <w:rPr>
          <w:color w:val="auto"/>
          <w:lang w:val="en-US"/>
        </w:rPr>
        <w:t>Komi</w:t>
      </w:r>
      <w:proofErr w:type="spellEnd"/>
      <w:r w:rsidRPr="006A0632">
        <w:rPr>
          <w:color w:val="auto"/>
          <w:lang w:val="en-US"/>
        </w:rPr>
        <w:t>". https://law.rkomi.ru/</w:t>
      </w:r>
    </w:p>
    <w:p w:rsidR="006A0632" w:rsidRPr="006A0632" w:rsidRDefault="006A0632" w:rsidP="006A0632">
      <w:pPr>
        <w:pStyle w:val="Default"/>
        <w:tabs>
          <w:tab w:val="left" w:pos="284"/>
        </w:tabs>
        <w:jc w:val="both"/>
        <w:rPr>
          <w:color w:val="auto"/>
          <w:lang w:val="en-US"/>
        </w:rPr>
      </w:pPr>
      <w:r w:rsidRPr="006A0632">
        <w:rPr>
          <w:color w:val="auto"/>
          <w:lang w:val="en-US"/>
        </w:rPr>
        <w:t xml:space="preserve">5. Ministry of Economic Development of the Russian Federation dated March 11, 2020 No. 130. </w:t>
      </w:r>
      <w:proofErr w:type="gramStart"/>
      <w:r w:rsidRPr="006A0632">
        <w:rPr>
          <w:color w:val="auto"/>
          <w:lang w:val="en-US"/>
        </w:rPr>
        <w:t>Guidelines “On approval of a unified methodology for monitoring the state and development of competition in the commodity markets of a constituent entity of the Russian Federation”.</w:t>
      </w:r>
      <w:proofErr w:type="gramEnd"/>
    </w:p>
    <w:p w:rsidR="006A0632" w:rsidRPr="006A0632" w:rsidRDefault="006A0632" w:rsidP="006A0632">
      <w:pPr>
        <w:pStyle w:val="Default"/>
        <w:tabs>
          <w:tab w:val="left" w:pos="284"/>
        </w:tabs>
        <w:jc w:val="both"/>
        <w:rPr>
          <w:color w:val="auto"/>
          <w:lang w:val="en-US"/>
        </w:rPr>
      </w:pPr>
      <w:r w:rsidRPr="006A0632">
        <w:rPr>
          <w:color w:val="auto"/>
          <w:lang w:val="en-US"/>
        </w:rPr>
        <w:t xml:space="preserve">6. On approval of the List of priority and socially significant markets for the promotion of competition in the </w:t>
      </w:r>
      <w:proofErr w:type="spellStart"/>
      <w:r w:rsidRPr="006A0632">
        <w:rPr>
          <w:color w:val="auto"/>
          <w:lang w:val="en-US"/>
        </w:rPr>
        <w:t>Komi</w:t>
      </w:r>
      <w:proofErr w:type="spellEnd"/>
      <w:r w:rsidRPr="006A0632">
        <w:rPr>
          <w:color w:val="auto"/>
          <w:lang w:val="en-US"/>
        </w:rPr>
        <w:t xml:space="preserve"> Republic dated December 14, 2015 N 360-r (as amended on July 17, 2018). http://docs.cntd.ru/</w:t>
      </w:r>
    </w:p>
    <w:p w:rsidR="006A0632" w:rsidRPr="006A0632" w:rsidRDefault="006A0632" w:rsidP="006A0632">
      <w:pPr>
        <w:pStyle w:val="Default"/>
        <w:tabs>
          <w:tab w:val="left" w:pos="284"/>
        </w:tabs>
        <w:jc w:val="both"/>
        <w:rPr>
          <w:color w:val="auto"/>
          <w:lang w:val="en-US"/>
        </w:rPr>
      </w:pPr>
      <w:r w:rsidRPr="006A0632">
        <w:rPr>
          <w:color w:val="auto"/>
          <w:lang w:val="en-US"/>
        </w:rPr>
        <w:t>7. Decree of the Government of the Russian Federation No. 1738-r "Standard for the development of competition in the constituent entities of the Russian Federation". http://www.consultant.ru/</w:t>
      </w:r>
    </w:p>
    <w:p w:rsidR="006A0632" w:rsidRPr="006A0632" w:rsidRDefault="006A0632" w:rsidP="006A0632">
      <w:pPr>
        <w:pStyle w:val="Default"/>
        <w:tabs>
          <w:tab w:val="left" w:pos="284"/>
        </w:tabs>
        <w:jc w:val="both"/>
        <w:rPr>
          <w:color w:val="auto"/>
          <w:lang w:val="en-US"/>
        </w:rPr>
      </w:pPr>
      <w:r w:rsidRPr="006A0632">
        <w:rPr>
          <w:color w:val="auto"/>
          <w:lang w:val="en-US"/>
        </w:rPr>
        <w:t xml:space="preserve">8. The real sector of the Russian economy: management strategies, investments and innovations. – M.: </w:t>
      </w:r>
      <w:proofErr w:type="spellStart"/>
      <w:r w:rsidRPr="006A0632">
        <w:rPr>
          <w:color w:val="auto"/>
          <w:lang w:val="en-US"/>
        </w:rPr>
        <w:t>Pero</w:t>
      </w:r>
      <w:proofErr w:type="spellEnd"/>
      <w:r w:rsidRPr="006A0632">
        <w:rPr>
          <w:color w:val="auto"/>
          <w:lang w:val="en-US"/>
        </w:rPr>
        <w:t xml:space="preserve"> Publishing House, 2016. – P. 8.</w:t>
      </w:r>
    </w:p>
    <w:p w:rsidR="00E05A49" w:rsidRPr="006A0632" w:rsidRDefault="00E05A49" w:rsidP="00351EF7">
      <w:pPr>
        <w:pStyle w:val="Default"/>
        <w:tabs>
          <w:tab w:val="left" w:pos="284"/>
        </w:tabs>
        <w:jc w:val="both"/>
        <w:rPr>
          <w:color w:val="auto"/>
          <w:lang w:val="en-US"/>
        </w:rPr>
      </w:pPr>
    </w:p>
    <w:p w:rsidR="00C758E9" w:rsidRPr="006A0632" w:rsidRDefault="00C758E9" w:rsidP="00351EF7">
      <w:pPr>
        <w:pStyle w:val="Default"/>
        <w:tabs>
          <w:tab w:val="left" w:pos="284"/>
        </w:tabs>
        <w:jc w:val="both"/>
        <w:rPr>
          <w:color w:val="auto"/>
          <w:lang w:val="en-US"/>
        </w:rPr>
      </w:pPr>
    </w:p>
    <w:p w:rsidR="00E05A49" w:rsidRPr="00E05A49" w:rsidRDefault="00E05A49" w:rsidP="00351EF7">
      <w:pPr>
        <w:pStyle w:val="Default"/>
        <w:tabs>
          <w:tab w:val="left" w:pos="284"/>
        </w:tabs>
        <w:jc w:val="both"/>
        <w:rPr>
          <w:lang w:val="en-US"/>
        </w:rPr>
      </w:pPr>
    </w:p>
    <w:sectPr w:rsidR="00E05A49" w:rsidRPr="00E05A49" w:rsidSect="00A9399E">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6258" w:rsidRDefault="00346258" w:rsidP="003E2559">
      <w:pPr>
        <w:spacing w:after="0" w:line="240" w:lineRule="auto"/>
      </w:pPr>
      <w:r>
        <w:separator/>
      </w:r>
    </w:p>
  </w:endnote>
  <w:endnote w:type="continuationSeparator" w:id="0">
    <w:p w:rsidR="00346258" w:rsidRDefault="00346258" w:rsidP="003E25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6258" w:rsidRDefault="00346258" w:rsidP="003E2559">
      <w:pPr>
        <w:spacing w:after="0" w:line="240" w:lineRule="auto"/>
      </w:pPr>
      <w:r>
        <w:separator/>
      </w:r>
    </w:p>
  </w:footnote>
  <w:footnote w:type="continuationSeparator" w:id="0">
    <w:p w:rsidR="00346258" w:rsidRDefault="00346258" w:rsidP="003E255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141AD1"/>
    <w:multiLevelType w:val="hybridMultilevel"/>
    <w:tmpl w:val="868876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94B3C76"/>
    <w:multiLevelType w:val="hybridMultilevel"/>
    <w:tmpl w:val="54327524"/>
    <w:lvl w:ilvl="0" w:tplc="0419000F">
      <w:start w:val="1"/>
      <w:numFmt w:val="decimal"/>
      <w:lvlText w:val="%1."/>
      <w:lvlJc w:val="left"/>
      <w:pPr>
        <w:ind w:left="720" w:hanging="360"/>
      </w:pPr>
      <w:rPr>
        <w:rFonts w:hint="default"/>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9"/>
  <w:characterSpacingControl w:val="doNotCompress"/>
  <w:footnotePr>
    <w:footnote w:id="-1"/>
    <w:footnote w:id="0"/>
  </w:footnotePr>
  <w:endnotePr>
    <w:endnote w:id="-1"/>
    <w:endnote w:id="0"/>
  </w:endnotePr>
  <w:compat/>
  <w:rsids>
    <w:rsidRoot w:val="00CF6B8F"/>
    <w:rsid w:val="0008295D"/>
    <w:rsid w:val="000849BB"/>
    <w:rsid w:val="000D47E5"/>
    <w:rsid w:val="000E5FE1"/>
    <w:rsid w:val="00102F8D"/>
    <w:rsid w:val="001118B9"/>
    <w:rsid w:val="001476D5"/>
    <w:rsid w:val="00164958"/>
    <w:rsid w:val="00267BFA"/>
    <w:rsid w:val="00282803"/>
    <w:rsid w:val="002C0C72"/>
    <w:rsid w:val="0032023F"/>
    <w:rsid w:val="00346258"/>
    <w:rsid w:val="00351EF7"/>
    <w:rsid w:val="003825CA"/>
    <w:rsid w:val="00397E3F"/>
    <w:rsid w:val="003E2559"/>
    <w:rsid w:val="00435848"/>
    <w:rsid w:val="00462FB0"/>
    <w:rsid w:val="004C12A5"/>
    <w:rsid w:val="00532DAC"/>
    <w:rsid w:val="00543CE5"/>
    <w:rsid w:val="0057193E"/>
    <w:rsid w:val="00580376"/>
    <w:rsid w:val="005912F0"/>
    <w:rsid w:val="005C1F04"/>
    <w:rsid w:val="006372D0"/>
    <w:rsid w:val="00641443"/>
    <w:rsid w:val="006A0632"/>
    <w:rsid w:val="006A09AF"/>
    <w:rsid w:val="006F41F9"/>
    <w:rsid w:val="007744C3"/>
    <w:rsid w:val="00855DF2"/>
    <w:rsid w:val="00877B97"/>
    <w:rsid w:val="009659C5"/>
    <w:rsid w:val="0098593B"/>
    <w:rsid w:val="009A24D9"/>
    <w:rsid w:val="009B30E4"/>
    <w:rsid w:val="009C530F"/>
    <w:rsid w:val="00A27FB2"/>
    <w:rsid w:val="00A84A10"/>
    <w:rsid w:val="00A9399E"/>
    <w:rsid w:val="00AA31BB"/>
    <w:rsid w:val="00AC070C"/>
    <w:rsid w:val="00B12C7A"/>
    <w:rsid w:val="00BB04F2"/>
    <w:rsid w:val="00BC5A90"/>
    <w:rsid w:val="00C01904"/>
    <w:rsid w:val="00C03EE0"/>
    <w:rsid w:val="00C758E9"/>
    <w:rsid w:val="00CC0AA6"/>
    <w:rsid w:val="00CF6B8F"/>
    <w:rsid w:val="00D03C1C"/>
    <w:rsid w:val="00D050AA"/>
    <w:rsid w:val="00D402D9"/>
    <w:rsid w:val="00DE2128"/>
    <w:rsid w:val="00DE3161"/>
    <w:rsid w:val="00E05A49"/>
    <w:rsid w:val="00E11752"/>
    <w:rsid w:val="00E120C9"/>
    <w:rsid w:val="00E37513"/>
    <w:rsid w:val="00E73923"/>
    <w:rsid w:val="00E91031"/>
    <w:rsid w:val="00EE588C"/>
    <w:rsid w:val="00F538D9"/>
    <w:rsid w:val="00F546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20C9"/>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Текст"/>
    <w:rsid w:val="00CF6B8F"/>
    <w:pPr>
      <w:suppressLineNumbers/>
      <w:spacing w:before="60" w:after="0" w:line="240" w:lineRule="auto"/>
      <w:ind w:firstLine="851"/>
      <w:jc w:val="both"/>
    </w:pPr>
    <w:rPr>
      <w:rFonts w:ascii="Arial" w:eastAsia="Times New Roman" w:hAnsi="Arial" w:cs="Times New Roman"/>
      <w:sz w:val="24"/>
      <w:szCs w:val="20"/>
      <w:lang w:eastAsia="ru-RU"/>
    </w:rPr>
  </w:style>
  <w:style w:type="paragraph" w:styleId="a3">
    <w:name w:val="Normal (Web)"/>
    <w:basedOn w:val="a"/>
    <w:rsid w:val="00E120C9"/>
    <w:pPr>
      <w:spacing w:before="100" w:beforeAutospacing="1" w:after="100" w:afterAutospacing="1" w:line="240" w:lineRule="auto"/>
    </w:pPr>
    <w:rPr>
      <w:rFonts w:eastAsia="Calibri"/>
      <w:lang w:eastAsia="ru-RU"/>
    </w:rPr>
  </w:style>
  <w:style w:type="paragraph" w:customStyle="1" w:styleId="Default">
    <w:name w:val="Default"/>
    <w:rsid w:val="00E120C9"/>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Balloon Text"/>
    <w:basedOn w:val="a"/>
    <w:link w:val="a5"/>
    <w:uiPriority w:val="99"/>
    <w:semiHidden/>
    <w:unhideWhenUsed/>
    <w:rsid w:val="00E120C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120C9"/>
    <w:rPr>
      <w:rFonts w:ascii="Tahoma" w:eastAsia="Times New Roman" w:hAnsi="Tahoma" w:cs="Tahoma"/>
      <w:sz w:val="16"/>
      <w:szCs w:val="16"/>
    </w:rPr>
  </w:style>
  <w:style w:type="character" w:styleId="a6">
    <w:name w:val="footnote reference"/>
    <w:basedOn w:val="a0"/>
    <w:uiPriority w:val="99"/>
    <w:semiHidden/>
    <w:unhideWhenUsed/>
    <w:rsid w:val="003E2559"/>
    <w:rPr>
      <w:vertAlign w:val="superscript"/>
    </w:rPr>
  </w:style>
  <w:style w:type="character" w:customStyle="1" w:styleId="extended-textshort">
    <w:name w:val="extended-text__short"/>
    <w:basedOn w:val="a0"/>
    <w:rsid w:val="003E2559"/>
    <w:rPr>
      <w:rFonts w:cs="Times New Roman"/>
    </w:rPr>
  </w:style>
  <w:style w:type="paragraph" w:styleId="a7">
    <w:name w:val="footnote text"/>
    <w:basedOn w:val="a"/>
    <w:link w:val="a8"/>
    <w:uiPriority w:val="99"/>
    <w:rsid w:val="003E2559"/>
    <w:pPr>
      <w:spacing w:after="0" w:line="240" w:lineRule="auto"/>
    </w:pPr>
    <w:rPr>
      <w:sz w:val="20"/>
      <w:szCs w:val="20"/>
    </w:rPr>
  </w:style>
  <w:style w:type="character" w:customStyle="1" w:styleId="a8">
    <w:name w:val="Текст сноски Знак"/>
    <w:basedOn w:val="a0"/>
    <w:link w:val="a7"/>
    <w:uiPriority w:val="99"/>
    <w:rsid w:val="003E2559"/>
    <w:rPr>
      <w:rFonts w:ascii="Times New Roman" w:eastAsia="Times New Roman" w:hAnsi="Times New Roman" w:cs="Times New Roman"/>
      <w:sz w:val="20"/>
      <w:szCs w:val="20"/>
    </w:rPr>
  </w:style>
  <w:style w:type="character" w:styleId="a9">
    <w:name w:val="Hyperlink"/>
    <w:basedOn w:val="a0"/>
    <w:uiPriority w:val="99"/>
    <w:unhideWhenUsed/>
    <w:rsid w:val="003E2559"/>
    <w:rPr>
      <w:color w:val="0000FF" w:themeColor="hyperlink"/>
      <w:u w:val="single"/>
    </w:rPr>
  </w:style>
  <w:style w:type="paragraph" w:styleId="aa">
    <w:name w:val="List Paragraph"/>
    <w:basedOn w:val="a"/>
    <w:uiPriority w:val="34"/>
    <w:qFormat/>
    <w:rsid w:val="003825CA"/>
    <w:pPr>
      <w:ind w:left="720"/>
      <w:contextualSpacing/>
    </w:pPr>
  </w:style>
  <w:style w:type="character" w:customStyle="1" w:styleId="tlid-translation">
    <w:name w:val="tlid-translation"/>
    <w:basedOn w:val="a0"/>
    <w:rsid w:val="00855DF2"/>
    <w:rPr>
      <w:rFonts w:cs="Times New Roman"/>
    </w:rPr>
  </w:style>
  <w:style w:type="paragraph" w:styleId="ab">
    <w:name w:val="Body Text"/>
    <w:basedOn w:val="a"/>
    <w:link w:val="ac"/>
    <w:semiHidden/>
    <w:unhideWhenUsed/>
    <w:rsid w:val="009B30E4"/>
    <w:pPr>
      <w:spacing w:after="0" w:line="240" w:lineRule="auto"/>
      <w:jc w:val="center"/>
    </w:pPr>
    <w:rPr>
      <w:b/>
      <w:sz w:val="30"/>
      <w:szCs w:val="20"/>
      <w:lang w:eastAsia="ru-RU"/>
    </w:rPr>
  </w:style>
  <w:style w:type="character" w:customStyle="1" w:styleId="ac">
    <w:name w:val="Основной текст Знак"/>
    <w:basedOn w:val="a0"/>
    <w:link w:val="ab"/>
    <w:semiHidden/>
    <w:rsid w:val="009B30E4"/>
    <w:rPr>
      <w:rFonts w:ascii="Times New Roman" w:eastAsia="Times New Roman" w:hAnsi="Times New Roman" w:cs="Times New Roman"/>
      <w:b/>
      <w:sz w:val="30"/>
      <w:szCs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ocs.cntd.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tikhomirova@iespn.komisc.ru" TargetMode="External"/><Relationship Id="rId5" Type="http://schemas.openxmlformats.org/officeDocument/2006/relationships/footnotes" Target="footnotes.xml"/><Relationship Id="rId10" Type="http://schemas.openxmlformats.org/officeDocument/2006/relationships/hyperlink" Target="mailto:tikhomirova@iespn.komisc.ru" TargetMode="External"/><Relationship Id="rId4" Type="http://schemas.openxmlformats.org/officeDocument/2006/relationships/webSettings" Target="webSettings.xml"/><Relationship Id="rId9" Type="http://schemas.openxmlformats.org/officeDocument/2006/relationships/hyperlink" Target="http://www.consultant.ru/"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ru-RU" sz="1100"/>
              <a:t>Удовлетворенность респондентов характеристиками сферы социального обслуживания населения</a:t>
            </a:r>
            <a:endParaRPr lang="ru-RU" sz="1100" u="sng"/>
          </a:p>
        </c:rich>
      </c:tx>
      <c:spPr>
        <a:noFill/>
        <a:ln>
          <a:noFill/>
        </a:ln>
        <a:effectLst/>
      </c:spPr>
    </c:title>
    <c:plotArea>
      <c:layout>
        <c:manualLayout>
          <c:layoutTarget val="inner"/>
          <c:xMode val="edge"/>
          <c:yMode val="edge"/>
          <c:x val="4.1720559922707998E-2"/>
          <c:y val="0.18631358580177587"/>
          <c:w val="0.93935471145817595"/>
          <c:h val="0.45620953630796152"/>
        </c:manualLayout>
      </c:layout>
      <c:barChart>
        <c:barDir val="col"/>
        <c:grouping val="clustered"/>
        <c:ser>
          <c:idx val="2"/>
          <c:order val="0"/>
          <c:tx>
            <c:strRef>
              <c:f>Лист1!$C$1</c:f>
              <c:strCache>
                <c:ptCount val="1"/>
                <c:pt idx="0">
                  <c:v>Удовлетворен</c:v>
                </c:pt>
              </c:strCache>
            </c:strRef>
          </c:tx>
          <c:spPr>
            <a:solidFill>
              <a:schemeClr val="accent3"/>
            </a:solidFill>
            <a:ln>
              <a:noFill/>
            </a:ln>
            <a:effectLst/>
          </c:spPr>
          <c:cat>
            <c:multiLvlStrRef>
              <c:f>Лист1!$A$2:$B$19</c:f>
              <c:multiLvlStrCache>
                <c:ptCount val="18"/>
                <c:lvl>
                  <c:pt idx="0">
                    <c:v>2015</c:v>
                  </c:pt>
                  <c:pt idx="1">
                    <c:v>2016</c:v>
                  </c:pt>
                  <c:pt idx="2">
                    <c:v>2017</c:v>
                  </c:pt>
                  <c:pt idx="3">
                    <c:v>2018</c:v>
                  </c:pt>
                  <c:pt idx="4">
                    <c:v>2019</c:v>
                  </c:pt>
                  <c:pt idx="5">
                    <c:v>2020</c:v>
                  </c:pt>
                  <c:pt idx="6">
                    <c:v>2015</c:v>
                  </c:pt>
                  <c:pt idx="7">
                    <c:v>2016</c:v>
                  </c:pt>
                  <c:pt idx="8">
                    <c:v>2017</c:v>
                  </c:pt>
                  <c:pt idx="9">
                    <c:v>2018</c:v>
                  </c:pt>
                  <c:pt idx="10">
                    <c:v>2019</c:v>
                  </c:pt>
                  <c:pt idx="11">
                    <c:v>2020</c:v>
                  </c:pt>
                  <c:pt idx="12">
                    <c:v>2015</c:v>
                  </c:pt>
                  <c:pt idx="13">
                    <c:v>2016</c:v>
                  </c:pt>
                  <c:pt idx="14">
                    <c:v>2017</c:v>
                  </c:pt>
                  <c:pt idx="15">
                    <c:v>2018</c:v>
                  </c:pt>
                  <c:pt idx="16">
                    <c:v>2019</c:v>
                  </c:pt>
                  <c:pt idx="17">
                    <c:v>2020</c:v>
                  </c:pt>
                </c:lvl>
                <c:lvl>
                  <c:pt idx="0">
                    <c:v>Уровень цен</c:v>
                  </c:pt>
                  <c:pt idx="6">
                    <c:v>Качество услуг</c:v>
                  </c:pt>
                  <c:pt idx="12">
                    <c:v>Возможность выбора услуг</c:v>
                  </c:pt>
                </c:lvl>
              </c:multiLvlStrCache>
            </c:multiLvlStrRef>
          </c:cat>
          <c:val>
            <c:numRef>
              <c:f>Лист1!$C$2:$C$19</c:f>
              <c:numCache>
                <c:formatCode>General</c:formatCode>
                <c:ptCount val="18"/>
                <c:pt idx="0">
                  <c:v>9.3000000000000007</c:v>
                </c:pt>
                <c:pt idx="1">
                  <c:v>8.6</c:v>
                </c:pt>
                <c:pt idx="2">
                  <c:v>6.9</c:v>
                </c:pt>
                <c:pt idx="3">
                  <c:v>41.1</c:v>
                </c:pt>
                <c:pt idx="4">
                  <c:v>37.800000000000004</c:v>
                </c:pt>
                <c:pt idx="5">
                  <c:v>5.9</c:v>
                </c:pt>
                <c:pt idx="6">
                  <c:v>8.4</c:v>
                </c:pt>
                <c:pt idx="7">
                  <c:v>7.7</c:v>
                </c:pt>
                <c:pt idx="8">
                  <c:v>8</c:v>
                </c:pt>
                <c:pt idx="9">
                  <c:v>59.2</c:v>
                </c:pt>
                <c:pt idx="10">
                  <c:v>46.3</c:v>
                </c:pt>
                <c:pt idx="11">
                  <c:v>5.7</c:v>
                </c:pt>
                <c:pt idx="12">
                  <c:v>8.8000000000000007</c:v>
                </c:pt>
                <c:pt idx="13">
                  <c:v>8</c:v>
                </c:pt>
                <c:pt idx="14">
                  <c:v>7.5</c:v>
                </c:pt>
                <c:pt idx="15">
                  <c:v>46.9</c:v>
                </c:pt>
                <c:pt idx="16">
                  <c:v>44.3</c:v>
                </c:pt>
                <c:pt idx="17">
                  <c:v>5.7</c:v>
                </c:pt>
              </c:numCache>
            </c:numRef>
          </c:val>
          <c:extLst xmlns:c16r2="http://schemas.microsoft.com/office/drawing/2015/06/chart">
            <c:ext xmlns:c16="http://schemas.microsoft.com/office/drawing/2014/chart" uri="{C3380CC4-5D6E-409C-BE32-E72D297353CC}">
              <c16:uniqueId val="{00000000-597A-457C-8DFC-10310175BF9D}"/>
            </c:ext>
          </c:extLst>
        </c:ser>
        <c:ser>
          <c:idx val="3"/>
          <c:order val="1"/>
          <c:tx>
            <c:strRef>
              <c:f>Лист1!$D$1</c:f>
              <c:strCache>
                <c:ptCount val="1"/>
                <c:pt idx="0">
                  <c:v>Скорее удовлетворен</c:v>
                </c:pt>
              </c:strCache>
            </c:strRef>
          </c:tx>
          <c:spPr>
            <a:solidFill>
              <a:schemeClr val="accent4"/>
            </a:solidFill>
            <a:ln>
              <a:noFill/>
            </a:ln>
            <a:effectLst/>
          </c:spPr>
          <c:cat>
            <c:multiLvlStrRef>
              <c:f>Лист1!$A$2:$B$19</c:f>
              <c:multiLvlStrCache>
                <c:ptCount val="18"/>
                <c:lvl>
                  <c:pt idx="0">
                    <c:v>2015</c:v>
                  </c:pt>
                  <c:pt idx="1">
                    <c:v>2016</c:v>
                  </c:pt>
                  <c:pt idx="2">
                    <c:v>2017</c:v>
                  </c:pt>
                  <c:pt idx="3">
                    <c:v>2018</c:v>
                  </c:pt>
                  <c:pt idx="4">
                    <c:v>2019</c:v>
                  </c:pt>
                  <c:pt idx="5">
                    <c:v>2020</c:v>
                  </c:pt>
                  <c:pt idx="6">
                    <c:v>2015</c:v>
                  </c:pt>
                  <c:pt idx="7">
                    <c:v>2016</c:v>
                  </c:pt>
                  <c:pt idx="8">
                    <c:v>2017</c:v>
                  </c:pt>
                  <c:pt idx="9">
                    <c:v>2018</c:v>
                  </c:pt>
                  <c:pt idx="10">
                    <c:v>2019</c:v>
                  </c:pt>
                  <c:pt idx="11">
                    <c:v>2020</c:v>
                  </c:pt>
                  <c:pt idx="12">
                    <c:v>2015</c:v>
                  </c:pt>
                  <c:pt idx="13">
                    <c:v>2016</c:v>
                  </c:pt>
                  <c:pt idx="14">
                    <c:v>2017</c:v>
                  </c:pt>
                  <c:pt idx="15">
                    <c:v>2018</c:v>
                  </c:pt>
                  <c:pt idx="16">
                    <c:v>2019</c:v>
                  </c:pt>
                  <c:pt idx="17">
                    <c:v>2020</c:v>
                  </c:pt>
                </c:lvl>
                <c:lvl>
                  <c:pt idx="0">
                    <c:v>Уровень цен</c:v>
                  </c:pt>
                  <c:pt idx="6">
                    <c:v>Качество услуг</c:v>
                  </c:pt>
                  <c:pt idx="12">
                    <c:v>Возможность выбора услуг</c:v>
                  </c:pt>
                </c:lvl>
              </c:multiLvlStrCache>
            </c:multiLvlStrRef>
          </c:cat>
          <c:val>
            <c:numRef>
              <c:f>Лист1!$D$2:$D$19</c:f>
              <c:numCache>
                <c:formatCode>General</c:formatCode>
                <c:ptCount val="18"/>
                <c:pt idx="0">
                  <c:v>23.8</c:v>
                </c:pt>
                <c:pt idx="1">
                  <c:v>29.1</c:v>
                </c:pt>
                <c:pt idx="2">
                  <c:v>29.7</c:v>
                </c:pt>
                <c:pt idx="3">
                  <c:v>28.2</c:v>
                </c:pt>
                <c:pt idx="4">
                  <c:v>26.7</c:v>
                </c:pt>
                <c:pt idx="5">
                  <c:v>30.2</c:v>
                </c:pt>
                <c:pt idx="6">
                  <c:v>23.6</c:v>
                </c:pt>
                <c:pt idx="7">
                  <c:v>31.8</c:v>
                </c:pt>
                <c:pt idx="8">
                  <c:v>33.6</c:v>
                </c:pt>
                <c:pt idx="9">
                  <c:v>29.9</c:v>
                </c:pt>
                <c:pt idx="10">
                  <c:v>30.5</c:v>
                </c:pt>
                <c:pt idx="11">
                  <c:v>36.5</c:v>
                </c:pt>
                <c:pt idx="12">
                  <c:v>20.399999999999999</c:v>
                </c:pt>
                <c:pt idx="13">
                  <c:v>22.2</c:v>
                </c:pt>
                <c:pt idx="14">
                  <c:v>29.1</c:v>
                </c:pt>
                <c:pt idx="15">
                  <c:v>31.6</c:v>
                </c:pt>
                <c:pt idx="16">
                  <c:v>27.2</c:v>
                </c:pt>
                <c:pt idx="17">
                  <c:v>37</c:v>
                </c:pt>
              </c:numCache>
            </c:numRef>
          </c:val>
          <c:extLst xmlns:c16r2="http://schemas.microsoft.com/office/drawing/2015/06/chart">
            <c:ext xmlns:c16="http://schemas.microsoft.com/office/drawing/2014/chart" uri="{C3380CC4-5D6E-409C-BE32-E72D297353CC}">
              <c16:uniqueId val="{00000001-597A-457C-8DFC-10310175BF9D}"/>
            </c:ext>
          </c:extLst>
        </c:ser>
        <c:ser>
          <c:idx val="4"/>
          <c:order val="2"/>
          <c:tx>
            <c:strRef>
              <c:f>Лист1!$E$1</c:f>
              <c:strCache>
                <c:ptCount val="1"/>
                <c:pt idx="0">
                  <c:v>Скорее не удовлетворен</c:v>
                </c:pt>
              </c:strCache>
            </c:strRef>
          </c:tx>
          <c:spPr>
            <a:solidFill>
              <a:schemeClr val="accent5"/>
            </a:solidFill>
            <a:ln>
              <a:noFill/>
            </a:ln>
            <a:effectLst/>
          </c:spPr>
          <c:cat>
            <c:multiLvlStrRef>
              <c:f>Лист1!$A$2:$B$19</c:f>
              <c:multiLvlStrCache>
                <c:ptCount val="18"/>
                <c:lvl>
                  <c:pt idx="0">
                    <c:v>2015</c:v>
                  </c:pt>
                  <c:pt idx="1">
                    <c:v>2016</c:v>
                  </c:pt>
                  <c:pt idx="2">
                    <c:v>2017</c:v>
                  </c:pt>
                  <c:pt idx="3">
                    <c:v>2018</c:v>
                  </c:pt>
                  <c:pt idx="4">
                    <c:v>2019</c:v>
                  </c:pt>
                  <c:pt idx="5">
                    <c:v>2020</c:v>
                  </c:pt>
                  <c:pt idx="6">
                    <c:v>2015</c:v>
                  </c:pt>
                  <c:pt idx="7">
                    <c:v>2016</c:v>
                  </c:pt>
                  <c:pt idx="8">
                    <c:v>2017</c:v>
                  </c:pt>
                  <c:pt idx="9">
                    <c:v>2018</c:v>
                  </c:pt>
                  <c:pt idx="10">
                    <c:v>2019</c:v>
                  </c:pt>
                  <c:pt idx="11">
                    <c:v>2020</c:v>
                  </c:pt>
                  <c:pt idx="12">
                    <c:v>2015</c:v>
                  </c:pt>
                  <c:pt idx="13">
                    <c:v>2016</c:v>
                  </c:pt>
                  <c:pt idx="14">
                    <c:v>2017</c:v>
                  </c:pt>
                  <c:pt idx="15">
                    <c:v>2018</c:v>
                  </c:pt>
                  <c:pt idx="16">
                    <c:v>2019</c:v>
                  </c:pt>
                  <c:pt idx="17">
                    <c:v>2020</c:v>
                  </c:pt>
                </c:lvl>
                <c:lvl>
                  <c:pt idx="0">
                    <c:v>Уровень цен</c:v>
                  </c:pt>
                  <c:pt idx="6">
                    <c:v>Качество услуг</c:v>
                  </c:pt>
                  <c:pt idx="12">
                    <c:v>Возможность выбора услуг</c:v>
                  </c:pt>
                </c:lvl>
              </c:multiLvlStrCache>
            </c:multiLvlStrRef>
          </c:cat>
          <c:val>
            <c:numRef>
              <c:f>Лист1!$E$2:$E$19</c:f>
              <c:numCache>
                <c:formatCode>General</c:formatCode>
                <c:ptCount val="18"/>
                <c:pt idx="0">
                  <c:v>24.6</c:v>
                </c:pt>
                <c:pt idx="1">
                  <c:v>18.100000000000001</c:v>
                </c:pt>
                <c:pt idx="2">
                  <c:v>27.1</c:v>
                </c:pt>
                <c:pt idx="3">
                  <c:v>11.9</c:v>
                </c:pt>
                <c:pt idx="4">
                  <c:v>6</c:v>
                </c:pt>
                <c:pt idx="5">
                  <c:v>43.8</c:v>
                </c:pt>
                <c:pt idx="6">
                  <c:v>25.1</c:v>
                </c:pt>
                <c:pt idx="7">
                  <c:v>19.399999999999999</c:v>
                </c:pt>
                <c:pt idx="8">
                  <c:v>27.2</c:v>
                </c:pt>
                <c:pt idx="9">
                  <c:v>3.6</c:v>
                </c:pt>
                <c:pt idx="10">
                  <c:v>4.7</c:v>
                </c:pt>
                <c:pt idx="11">
                  <c:v>38.4</c:v>
                </c:pt>
                <c:pt idx="12">
                  <c:v>23.8</c:v>
                </c:pt>
                <c:pt idx="13">
                  <c:v>18.2</c:v>
                </c:pt>
                <c:pt idx="14">
                  <c:v>25.7</c:v>
                </c:pt>
                <c:pt idx="15">
                  <c:v>7.1</c:v>
                </c:pt>
                <c:pt idx="16">
                  <c:v>6.5</c:v>
                </c:pt>
                <c:pt idx="17">
                  <c:v>41</c:v>
                </c:pt>
              </c:numCache>
            </c:numRef>
          </c:val>
          <c:extLst xmlns:c16r2="http://schemas.microsoft.com/office/drawing/2015/06/chart">
            <c:ext xmlns:c16="http://schemas.microsoft.com/office/drawing/2014/chart" uri="{C3380CC4-5D6E-409C-BE32-E72D297353CC}">
              <c16:uniqueId val="{00000002-597A-457C-8DFC-10310175BF9D}"/>
            </c:ext>
          </c:extLst>
        </c:ser>
        <c:ser>
          <c:idx val="5"/>
          <c:order val="3"/>
          <c:tx>
            <c:strRef>
              <c:f>Лист1!$F$1</c:f>
              <c:strCache>
                <c:ptCount val="1"/>
                <c:pt idx="0">
                  <c:v>Не удовлетворен</c:v>
                </c:pt>
              </c:strCache>
            </c:strRef>
          </c:tx>
          <c:spPr>
            <a:solidFill>
              <a:schemeClr val="accent6"/>
            </a:solidFill>
            <a:ln>
              <a:noFill/>
            </a:ln>
            <a:effectLst/>
          </c:spPr>
          <c:cat>
            <c:multiLvlStrRef>
              <c:f>Лист1!$A$2:$B$19</c:f>
              <c:multiLvlStrCache>
                <c:ptCount val="18"/>
                <c:lvl>
                  <c:pt idx="0">
                    <c:v>2015</c:v>
                  </c:pt>
                  <c:pt idx="1">
                    <c:v>2016</c:v>
                  </c:pt>
                  <c:pt idx="2">
                    <c:v>2017</c:v>
                  </c:pt>
                  <c:pt idx="3">
                    <c:v>2018</c:v>
                  </c:pt>
                  <c:pt idx="4">
                    <c:v>2019</c:v>
                  </c:pt>
                  <c:pt idx="5">
                    <c:v>2020</c:v>
                  </c:pt>
                  <c:pt idx="6">
                    <c:v>2015</c:v>
                  </c:pt>
                  <c:pt idx="7">
                    <c:v>2016</c:v>
                  </c:pt>
                  <c:pt idx="8">
                    <c:v>2017</c:v>
                  </c:pt>
                  <c:pt idx="9">
                    <c:v>2018</c:v>
                  </c:pt>
                  <c:pt idx="10">
                    <c:v>2019</c:v>
                  </c:pt>
                  <c:pt idx="11">
                    <c:v>2020</c:v>
                  </c:pt>
                  <c:pt idx="12">
                    <c:v>2015</c:v>
                  </c:pt>
                  <c:pt idx="13">
                    <c:v>2016</c:v>
                  </c:pt>
                  <c:pt idx="14">
                    <c:v>2017</c:v>
                  </c:pt>
                  <c:pt idx="15">
                    <c:v>2018</c:v>
                  </c:pt>
                  <c:pt idx="16">
                    <c:v>2019</c:v>
                  </c:pt>
                  <c:pt idx="17">
                    <c:v>2020</c:v>
                  </c:pt>
                </c:lvl>
                <c:lvl>
                  <c:pt idx="0">
                    <c:v>Уровень цен</c:v>
                  </c:pt>
                  <c:pt idx="6">
                    <c:v>Качество услуг</c:v>
                  </c:pt>
                  <c:pt idx="12">
                    <c:v>Возможность выбора услуг</c:v>
                  </c:pt>
                </c:lvl>
              </c:multiLvlStrCache>
            </c:multiLvlStrRef>
          </c:cat>
          <c:val>
            <c:numRef>
              <c:f>Лист1!$F$2:$F$19</c:f>
              <c:numCache>
                <c:formatCode>General</c:formatCode>
                <c:ptCount val="18"/>
                <c:pt idx="0">
                  <c:v>16.7</c:v>
                </c:pt>
                <c:pt idx="1">
                  <c:v>17.7</c:v>
                </c:pt>
                <c:pt idx="2">
                  <c:v>18.3</c:v>
                </c:pt>
                <c:pt idx="3">
                  <c:v>7.1</c:v>
                </c:pt>
                <c:pt idx="4">
                  <c:v>3.9</c:v>
                </c:pt>
                <c:pt idx="5">
                  <c:v>20</c:v>
                </c:pt>
                <c:pt idx="6">
                  <c:v>16.8</c:v>
                </c:pt>
                <c:pt idx="7">
                  <c:v>13.4</c:v>
                </c:pt>
                <c:pt idx="8">
                  <c:v>16.100000000000001</c:v>
                </c:pt>
                <c:pt idx="9">
                  <c:v>1.1000000000000001</c:v>
                </c:pt>
                <c:pt idx="10">
                  <c:v>1.9000000000000001</c:v>
                </c:pt>
                <c:pt idx="11">
                  <c:v>19.5</c:v>
                </c:pt>
                <c:pt idx="12">
                  <c:v>17.2</c:v>
                </c:pt>
                <c:pt idx="13">
                  <c:v>22.2</c:v>
                </c:pt>
                <c:pt idx="14">
                  <c:v>20.3</c:v>
                </c:pt>
                <c:pt idx="15">
                  <c:v>2.2000000000000002</c:v>
                </c:pt>
                <c:pt idx="16">
                  <c:v>2.8</c:v>
                </c:pt>
                <c:pt idx="17">
                  <c:v>16.3</c:v>
                </c:pt>
              </c:numCache>
            </c:numRef>
          </c:val>
          <c:extLst xmlns:c16r2="http://schemas.microsoft.com/office/drawing/2015/06/chart">
            <c:ext xmlns:c16="http://schemas.microsoft.com/office/drawing/2014/chart" uri="{C3380CC4-5D6E-409C-BE32-E72D297353CC}">
              <c16:uniqueId val="{00000003-597A-457C-8DFC-10310175BF9D}"/>
            </c:ext>
          </c:extLst>
        </c:ser>
        <c:ser>
          <c:idx val="6"/>
          <c:order val="4"/>
          <c:tx>
            <c:strRef>
              <c:f>Лист1!$G$1</c:f>
              <c:strCache>
                <c:ptCount val="1"/>
                <c:pt idx="0">
                  <c:v>Затрудняюсь ответить</c:v>
                </c:pt>
              </c:strCache>
            </c:strRef>
          </c:tx>
          <c:spPr>
            <a:solidFill>
              <a:schemeClr val="accent1">
                <a:lumMod val="60000"/>
              </a:schemeClr>
            </a:solidFill>
            <a:ln>
              <a:noFill/>
            </a:ln>
            <a:effectLst/>
          </c:spPr>
          <c:cat>
            <c:multiLvlStrRef>
              <c:f>Лист1!$A$2:$B$19</c:f>
              <c:multiLvlStrCache>
                <c:ptCount val="18"/>
                <c:lvl>
                  <c:pt idx="0">
                    <c:v>2015</c:v>
                  </c:pt>
                  <c:pt idx="1">
                    <c:v>2016</c:v>
                  </c:pt>
                  <c:pt idx="2">
                    <c:v>2017</c:v>
                  </c:pt>
                  <c:pt idx="3">
                    <c:v>2018</c:v>
                  </c:pt>
                  <c:pt idx="4">
                    <c:v>2019</c:v>
                  </c:pt>
                  <c:pt idx="5">
                    <c:v>2020</c:v>
                  </c:pt>
                  <c:pt idx="6">
                    <c:v>2015</c:v>
                  </c:pt>
                  <c:pt idx="7">
                    <c:v>2016</c:v>
                  </c:pt>
                  <c:pt idx="8">
                    <c:v>2017</c:v>
                  </c:pt>
                  <c:pt idx="9">
                    <c:v>2018</c:v>
                  </c:pt>
                  <c:pt idx="10">
                    <c:v>2019</c:v>
                  </c:pt>
                  <c:pt idx="11">
                    <c:v>2020</c:v>
                  </c:pt>
                  <c:pt idx="12">
                    <c:v>2015</c:v>
                  </c:pt>
                  <c:pt idx="13">
                    <c:v>2016</c:v>
                  </c:pt>
                  <c:pt idx="14">
                    <c:v>2017</c:v>
                  </c:pt>
                  <c:pt idx="15">
                    <c:v>2018</c:v>
                  </c:pt>
                  <c:pt idx="16">
                    <c:v>2019</c:v>
                  </c:pt>
                  <c:pt idx="17">
                    <c:v>2020</c:v>
                  </c:pt>
                </c:lvl>
                <c:lvl>
                  <c:pt idx="0">
                    <c:v>Уровень цен</c:v>
                  </c:pt>
                  <c:pt idx="6">
                    <c:v>Качество услуг</c:v>
                  </c:pt>
                  <c:pt idx="12">
                    <c:v>Возможность выбора услуг</c:v>
                  </c:pt>
                </c:lvl>
              </c:multiLvlStrCache>
            </c:multiLvlStrRef>
          </c:cat>
          <c:val>
            <c:numRef>
              <c:f>Лист1!$G$2:$G$19</c:f>
              <c:numCache>
                <c:formatCode>General</c:formatCode>
                <c:ptCount val="18"/>
                <c:pt idx="0">
                  <c:v>25.7</c:v>
                </c:pt>
                <c:pt idx="1">
                  <c:v>26.5</c:v>
                </c:pt>
                <c:pt idx="2">
                  <c:v>18</c:v>
                </c:pt>
                <c:pt idx="3">
                  <c:v>0</c:v>
                </c:pt>
                <c:pt idx="4">
                  <c:v>25.5</c:v>
                </c:pt>
                <c:pt idx="5">
                  <c:v>0</c:v>
                </c:pt>
                <c:pt idx="6">
                  <c:v>26.2</c:v>
                </c:pt>
                <c:pt idx="7">
                  <c:v>27.7</c:v>
                </c:pt>
                <c:pt idx="8">
                  <c:v>15.1</c:v>
                </c:pt>
                <c:pt idx="9">
                  <c:v>6.2</c:v>
                </c:pt>
                <c:pt idx="10">
                  <c:v>16.7</c:v>
                </c:pt>
                <c:pt idx="11">
                  <c:v>0</c:v>
                </c:pt>
                <c:pt idx="12">
                  <c:v>29.7</c:v>
                </c:pt>
                <c:pt idx="13">
                  <c:v>29.4</c:v>
                </c:pt>
                <c:pt idx="14">
                  <c:v>17.399999999999999</c:v>
                </c:pt>
                <c:pt idx="15">
                  <c:v>12.2</c:v>
                </c:pt>
                <c:pt idx="16">
                  <c:v>19.2</c:v>
                </c:pt>
                <c:pt idx="17">
                  <c:v>0</c:v>
                </c:pt>
              </c:numCache>
            </c:numRef>
          </c:val>
          <c:extLst xmlns:c16r2="http://schemas.microsoft.com/office/drawing/2015/06/chart">
            <c:ext xmlns:c16="http://schemas.microsoft.com/office/drawing/2014/chart" uri="{C3380CC4-5D6E-409C-BE32-E72D297353CC}">
              <c16:uniqueId val="{00000004-597A-457C-8DFC-10310175BF9D}"/>
            </c:ext>
          </c:extLst>
        </c:ser>
        <c:ser>
          <c:idx val="0"/>
          <c:order val="5"/>
          <c:tx>
            <c:strRef>
              <c:f>Лист1!$H$1</c:f>
              <c:strCache>
                <c:ptCount val="1"/>
                <c:pt idx="0">
                  <c:v>Разница положительных и отрицательных ответов</c:v>
                </c:pt>
              </c:strCache>
            </c:strRef>
          </c:tx>
          <c:spPr>
            <a:solidFill>
              <a:schemeClr val="accent1"/>
            </a:solidFill>
            <a:ln>
              <a:noFill/>
            </a:ln>
            <a:effectLst/>
          </c:spPr>
          <c:cat>
            <c:multiLvlStrRef>
              <c:f>Лист1!$A$2:$B$19</c:f>
              <c:multiLvlStrCache>
                <c:ptCount val="18"/>
                <c:lvl>
                  <c:pt idx="0">
                    <c:v>2015</c:v>
                  </c:pt>
                  <c:pt idx="1">
                    <c:v>2016</c:v>
                  </c:pt>
                  <c:pt idx="2">
                    <c:v>2017</c:v>
                  </c:pt>
                  <c:pt idx="3">
                    <c:v>2018</c:v>
                  </c:pt>
                  <c:pt idx="4">
                    <c:v>2019</c:v>
                  </c:pt>
                  <c:pt idx="5">
                    <c:v>2020</c:v>
                  </c:pt>
                  <c:pt idx="6">
                    <c:v>2015</c:v>
                  </c:pt>
                  <c:pt idx="7">
                    <c:v>2016</c:v>
                  </c:pt>
                  <c:pt idx="8">
                    <c:v>2017</c:v>
                  </c:pt>
                  <c:pt idx="9">
                    <c:v>2018</c:v>
                  </c:pt>
                  <c:pt idx="10">
                    <c:v>2019</c:v>
                  </c:pt>
                  <c:pt idx="11">
                    <c:v>2020</c:v>
                  </c:pt>
                  <c:pt idx="12">
                    <c:v>2015</c:v>
                  </c:pt>
                  <c:pt idx="13">
                    <c:v>2016</c:v>
                  </c:pt>
                  <c:pt idx="14">
                    <c:v>2017</c:v>
                  </c:pt>
                  <c:pt idx="15">
                    <c:v>2018</c:v>
                  </c:pt>
                  <c:pt idx="16">
                    <c:v>2019</c:v>
                  </c:pt>
                  <c:pt idx="17">
                    <c:v>2020</c:v>
                  </c:pt>
                </c:lvl>
                <c:lvl>
                  <c:pt idx="0">
                    <c:v>Уровень цен</c:v>
                  </c:pt>
                  <c:pt idx="6">
                    <c:v>Качество услуг</c:v>
                  </c:pt>
                  <c:pt idx="12">
                    <c:v>Возможность выбора услуг</c:v>
                  </c:pt>
                </c:lvl>
              </c:multiLvlStrCache>
            </c:multiLvlStrRef>
          </c:cat>
          <c:val>
            <c:numRef>
              <c:f>Лист1!$H$2:$H$19</c:f>
              <c:numCache>
                <c:formatCode>General</c:formatCode>
                <c:ptCount val="18"/>
                <c:pt idx="0">
                  <c:v>-8.2000000000000011</c:v>
                </c:pt>
                <c:pt idx="1">
                  <c:v>1.9000000000000001</c:v>
                </c:pt>
                <c:pt idx="2">
                  <c:v>-8.8000000000000007</c:v>
                </c:pt>
                <c:pt idx="3">
                  <c:v>50.3</c:v>
                </c:pt>
                <c:pt idx="4">
                  <c:v>54.6</c:v>
                </c:pt>
                <c:pt idx="5">
                  <c:v>-27.8</c:v>
                </c:pt>
                <c:pt idx="6">
                  <c:v>-9.9</c:v>
                </c:pt>
                <c:pt idx="7">
                  <c:v>6.7</c:v>
                </c:pt>
                <c:pt idx="8">
                  <c:v>-1.7000000000000002</c:v>
                </c:pt>
                <c:pt idx="9">
                  <c:v>84.4</c:v>
                </c:pt>
                <c:pt idx="10">
                  <c:v>70.2</c:v>
                </c:pt>
                <c:pt idx="11">
                  <c:v>-15.7</c:v>
                </c:pt>
                <c:pt idx="12">
                  <c:v>-11.8</c:v>
                </c:pt>
                <c:pt idx="13">
                  <c:v>-10.200000000000001</c:v>
                </c:pt>
                <c:pt idx="14">
                  <c:v>-9.4</c:v>
                </c:pt>
                <c:pt idx="15">
                  <c:v>69.2</c:v>
                </c:pt>
                <c:pt idx="16">
                  <c:v>62.2</c:v>
                </c:pt>
                <c:pt idx="17">
                  <c:v>-14.6</c:v>
                </c:pt>
              </c:numCache>
            </c:numRef>
          </c:val>
          <c:extLst xmlns:c16r2="http://schemas.microsoft.com/office/drawing/2015/06/chart">
            <c:ext xmlns:c16="http://schemas.microsoft.com/office/drawing/2014/chart" uri="{C3380CC4-5D6E-409C-BE32-E72D297353CC}">
              <c16:uniqueId val="{00000005-597A-457C-8DFC-10310175BF9D}"/>
            </c:ext>
          </c:extLst>
        </c:ser>
        <c:gapWidth val="219"/>
        <c:overlap val="-27"/>
        <c:axId val="99724288"/>
        <c:axId val="99730944"/>
      </c:barChart>
      <c:catAx>
        <c:axId val="99724288"/>
        <c:scaling>
          <c:orientation val="minMax"/>
        </c:scaling>
        <c:axPos val="b"/>
        <c:numFmt formatCode="General" sourceLinked="1"/>
        <c:maj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ru-RU"/>
          </a:p>
        </c:txPr>
        <c:crossAx val="99730944"/>
        <c:crosses val="autoZero"/>
        <c:auto val="1"/>
        <c:lblAlgn val="ctr"/>
        <c:lblOffset val="100"/>
      </c:catAx>
      <c:valAx>
        <c:axId val="997309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ru-RU"/>
          </a:p>
        </c:txPr>
        <c:crossAx val="99724288"/>
        <c:crosses val="autoZero"/>
        <c:crossBetween val="between"/>
      </c:valAx>
      <c:spPr>
        <a:noFill/>
        <a:ln>
          <a:noFill/>
        </a:ln>
        <a:effectLst/>
      </c:spPr>
    </c:plotArea>
    <c:legend>
      <c:legendPos val="b"/>
      <c:layout>
        <c:manualLayout>
          <c:xMode val="edge"/>
          <c:yMode val="edge"/>
          <c:x val="5.9824258669793955E-2"/>
          <c:y val="0.77534276965379656"/>
          <c:w val="0.94017574133020609"/>
          <c:h val="0.22465723034620691"/>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1338</TotalTime>
  <Pages>5</Pages>
  <Words>2129</Words>
  <Characters>12137</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TihomirovaV</dc:creator>
  <cp:lastModifiedBy>TihomirovaV</cp:lastModifiedBy>
  <cp:revision>63</cp:revision>
  <dcterms:created xsi:type="dcterms:W3CDTF">2022-03-22T09:48:00Z</dcterms:created>
  <dcterms:modified xsi:type="dcterms:W3CDTF">2022-03-23T10:05:00Z</dcterms:modified>
</cp:coreProperties>
</file>