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25BA" w:rsidRPr="00F83F32" w:rsidRDefault="007F25BA" w:rsidP="00F83F32">
      <w:pPr>
        <w:spacing w:after="0" w:line="360" w:lineRule="auto"/>
        <w:ind w:firstLine="425"/>
        <w:jc w:val="both"/>
        <w:rPr>
          <w:b/>
          <w:sz w:val="22"/>
        </w:rPr>
      </w:pPr>
      <w:bookmarkStart w:id="0" w:name="_GoBack"/>
      <w:bookmarkEnd w:id="0"/>
      <w:r w:rsidRPr="00F83F32">
        <w:rPr>
          <w:b/>
          <w:sz w:val="22"/>
        </w:rPr>
        <w:t xml:space="preserve">УДК  </w:t>
      </w:r>
      <w:r w:rsidR="00E037E4" w:rsidRPr="00F83F32">
        <w:rPr>
          <w:b/>
          <w:sz w:val="22"/>
        </w:rPr>
        <w:t>336</w:t>
      </w:r>
    </w:p>
    <w:p w:rsidR="00E037E4" w:rsidRPr="00F83F32" w:rsidRDefault="00E037E4" w:rsidP="00F83F32">
      <w:pPr>
        <w:spacing w:after="0" w:line="360" w:lineRule="auto"/>
        <w:ind w:firstLine="425"/>
        <w:jc w:val="right"/>
        <w:rPr>
          <w:b/>
          <w:sz w:val="22"/>
        </w:rPr>
      </w:pPr>
      <w:r w:rsidRPr="00F83F32">
        <w:rPr>
          <w:b/>
          <w:sz w:val="22"/>
        </w:rPr>
        <w:t>Иванова Д.Д.</w:t>
      </w:r>
    </w:p>
    <w:p w:rsidR="00E037E4" w:rsidRPr="00F83F32" w:rsidRDefault="00E037E4" w:rsidP="00F83F32">
      <w:pPr>
        <w:spacing w:after="0" w:line="360" w:lineRule="auto"/>
        <w:ind w:firstLine="425"/>
        <w:jc w:val="both"/>
        <w:rPr>
          <w:b/>
          <w:i/>
          <w:sz w:val="22"/>
        </w:rPr>
      </w:pPr>
    </w:p>
    <w:p w:rsidR="00180B7C" w:rsidRPr="00F83F32" w:rsidRDefault="00180B7C" w:rsidP="00F83F32">
      <w:pPr>
        <w:spacing w:after="0" w:line="360" w:lineRule="auto"/>
        <w:ind w:firstLine="425"/>
        <w:jc w:val="both"/>
        <w:rPr>
          <w:sz w:val="22"/>
        </w:rPr>
      </w:pPr>
      <w:r w:rsidRPr="00F83F32">
        <w:rPr>
          <w:sz w:val="22"/>
        </w:rPr>
        <w:t>АНАЛИЗЭФФЕКТИВНОСТИ ДИСТАНЦИОННОГО БАНКОВСКОГООБСЛУЖИВАНИЯ</w:t>
      </w:r>
    </w:p>
    <w:p w:rsidR="00807E79" w:rsidRPr="00F83F32" w:rsidRDefault="00807E79" w:rsidP="00F83F32">
      <w:pPr>
        <w:spacing w:after="0" w:line="360" w:lineRule="auto"/>
        <w:ind w:firstLine="425"/>
        <w:jc w:val="both"/>
        <w:rPr>
          <w:b/>
          <w:i/>
          <w:sz w:val="22"/>
        </w:rPr>
      </w:pPr>
    </w:p>
    <w:p w:rsidR="00E037E4" w:rsidRPr="00F83F32" w:rsidRDefault="00021254" w:rsidP="00F83F32">
      <w:pPr>
        <w:tabs>
          <w:tab w:val="left" w:pos="2805"/>
        </w:tabs>
        <w:spacing w:after="0" w:line="360" w:lineRule="auto"/>
        <w:ind w:firstLine="425"/>
        <w:jc w:val="both"/>
        <w:rPr>
          <w:rFonts w:eastAsia="Times New Roman"/>
          <w:b/>
          <w:bCs/>
          <w:iCs/>
          <w:sz w:val="22"/>
          <w:lang w:eastAsia="ru-RU"/>
        </w:rPr>
      </w:pPr>
      <w:r w:rsidRPr="00F83F32">
        <w:rPr>
          <w:rFonts w:eastAsia="Times New Roman"/>
          <w:b/>
          <w:bCs/>
          <w:iCs/>
          <w:sz w:val="22"/>
          <w:lang w:eastAsia="ru-RU"/>
        </w:rPr>
        <w:tab/>
      </w:r>
    </w:p>
    <w:p w:rsidR="007F25BA" w:rsidRPr="00F83F32" w:rsidRDefault="00E36F93" w:rsidP="00F83F32">
      <w:pPr>
        <w:spacing w:after="0" w:line="360" w:lineRule="auto"/>
        <w:ind w:firstLine="425"/>
        <w:jc w:val="both"/>
        <w:rPr>
          <w:rFonts w:eastAsia="Calibri"/>
          <w:i/>
          <w:sz w:val="22"/>
        </w:rPr>
      </w:pPr>
      <w:r w:rsidRPr="00F83F32">
        <w:rPr>
          <w:b/>
          <w:i/>
          <w:sz w:val="22"/>
        </w:rPr>
        <w:t>Аннотация:</w:t>
      </w:r>
      <w:r w:rsidRPr="00F83F32">
        <w:rPr>
          <w:i/>
          <w:sz w:val="22"/>
        </w:rPr>
        <w:t xml:space="preserve"> </w:t>
      </w:r>
      <w:r w:rsidR="00180B7C" w:rsidRPr="00F83F32">
        <w:rPr>
          <w:rFonts w:eastAsia="Times New Roman"/>
          <w:i/>
          <w:iCs/>
          <w:sz w:val="22"/>
          <w:lang w:eastAsia="ru-RU"/>
        </w:rPr>
        <w:t xml:space="preserve">В данной статье  анализируется дистанционное банковское обслуживание </w:t>
      </w:r>
      <w:r w:rsidR="00E037E4" w:rsidRPr="00F83F32">
        <w:rPr>
          <w:rFonts w:eastAsia="Times New Roman"/>
          <w:i/>
          <w:iCs/>
          <w:sz w:val="22"/>
          <w:lang w:eastAsia="ru-RU"/>
        </w:rPr>
        <w:t xml:space="preserve"> в Российской Феде</w:t>
      </w:r>
      <w:r w:rsidR="00180B7C" w:rsidRPr="00F83F32">
        <w:rPr>
          <w:rFonts w:eastAsia="Times New Roman"/>
          <w:i/>
          <w:iCs/>
          <w:sz w:val="22"/>
          <w:lang w:eastAsia="ru-RU"/>
        </w:rPr>
        <w:t>рации.</w:t>
      </w:r>
      <w:r w:rsidR="00E037E4" w:rsidRPr="00F83F32">
        <w:rPr>
          <w:rFonts w:eastAsia="Times New Roman"/>
          <w:i/>
          <w:iCs/>
          <w:sz w:val="22"/>
          <w:lang w:eastAsia="ru-RU"/>
        </w:rPr>
        <w:t xml:space="preserve"> </w:t>
      </w:r>
      <w:r w:rsidR="00180B7C" w:rsidRPr="00F83F32">
        <w:rPr>
          <w:rFonts w:eastAsia="Calibri"/>
          <w:i/>
          <w:sz w:val="22"/>
        </w:rPr>
        <w:t>Рассматриваются  наиболее известные и пользующиеся популярностью способы без</w:t>
      </w:r>
      <w:r w:rsidR="00021254" w:rsidRPr="00F83F32">
        <w:rPr>
          <w:rFonts w:eastAsia="Calibri"/>
          <w:i/>
          <w:sz w:val="22"/>
        </w:rPr>
        <w:t>наличной оплаты в ПАО «Сбербанк».</w:t>
      </w:r>
    </w:p>
    <w:p w:rsidR="007F25BA" w:rsidRPr="003C404C" w:rsidRDefault="007F25BA" w:rsidP="00F83F32">
      <w:pPr>
        <w:spacing w:after="0" w:line="360" w:lineRule="auto"/>
        <w:ind w:firstLine="425"/>
        <w:jc w:val="both"/>
        <w:rPr>
          <w:rFonts w:eastAsia="Times New Roman"/>
          <w:i/>
          <w:iCs/>
          <w:sz w:val="22"/>
          <w:lang w:eastAsia="ru-RU"/>
        </w:rPr>
      </w:pPr>
      <w:r w:rsidRPr="00F83F32">
        <w:rPr>
          <w:i/>
          <w:sz w:val="22"/>
        </w:rPr>
        <w:t>Ключевые слова</w:t>
      </w:r>
      <w:r w:rsidR="00E36F93" w:rsidRPr="00F83F32">
        <w:rPr>
          <w:i/>
          <w:sz w:val="22"/>
        </w:rPr>
        <w:t xml:space="preserve">: </w:t>
      </w:r>
      <w:r w:rsidR="003C404C">
        <w:rPr>
          <w:rFonts w:eastAsia="Times New Roman"/>
          <w:i/>
          <w:iCs/>
          <w:sz w:val="22"/>
          <w:lang w:eastAsia="ru-RU"/>
        </w:rPr>
        <w:t>ДБО, тенденции, развитие ДБО</w:t>
      </w:r>
      <w:r w:rsidR="003C404C" w:rsidRPr="003C404C">
        <w:rPr>
          <w:rFonts w:eastAsia="Times New Roman"/>
          <w:i/>
          <w:iCs/>
          <w:sz w:val="22"/>
          <w:lang w:eastAsia="ru-RU"/>
        </w:rPr>
        <w:t xml:space="preserve">, </w:t>
      </w:r>
      <w:r w:rsidR="003C404C">
        <w:rPr>
          <w:rFonts w:eastAsia="Times New Roman"/>
          <w:i/>
          <w:iCs/>
          <w:sz w:val="22"/>
          <w:lang w:val="en-US" w:eastAsia="ru-RU"/>
        </w:rPr>
        <w:t>POS</w:t>
      </w:r>
      <w:r w:rsidR="003C404C" w:rsidRPr="003C404C">
        <w:rPr>
          <w:rFonts w:eastAsia="Times New Roman"/>
          <w:i/>
          <w:iCs/>
          <w:sz w:val="22"/>
          <w:lang w:eastAsia="ru-RU"/>
        </w:rPr>
        <w:t>-</w:t>
      </w:r>
      <w:r w:rsidR="003C404C">
        <w:rPr>
          <w:rFonts w:eastAsia="Times New Roman"/>
          <w:i/>
          <w:iCs/>
          <w:sz w:val="22"/>
          <w:lang w:eastAsia="ru-RU"/>
        </w:rPr>
        <w:t>кредитование,эквайринг.</w:t>
      </w:r>
    </w:p>
    <w:p w:rsidR="00290C60" w:rsidRPr="00F83F32" w:rsidRDefault="00290C60" w:rsidP="00F83F32">
      <w:pPr>
        <w:spacing w:after="0" w:line="360" w:lineRule="auto"/>
        <w:ind w:firstLine="425"/>
        <w:jc w:val="both"/>
        <w:rPr>
          <w:b/>
          <w:color w:val="FF0000"/>
          <w:sz w:val="22"/>
        </w:rPr>
      </w:pPr>
    </w:p>
    <w:p w:rsidR="00F83F32" w:rsidRPr="00F83F32" w:rsidRDefault="00F83F32" w:rsidP="00F83F32">
      <w:pPr>
        <w:spacing w:after="0" w:line="360" w:lineRule="auto"/>
        <w:ind w:firstLine="425"/>
        <w:jc w:val="both"/>
        <w:rPr>
          <w:b/>
          <w:color w:val="FF0000"/>
          <w:sz w:val="22"/>
        </w:rPr>
      </w:pPr>
    </w:p>
    <w:p w:rsidR="00021254" w:rsidRPr="00F83F32" w:rsidRDefault="00021254" w:rsidP="00F83F32">
      <w:pPr>
        <w:spacing w:after="0" w:line="360" w:lineRule="auto"/>
        <w:ind w:firstLine="425"/>
        <w:contextualSpacing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 xml:space="preserve">Дистанционное банковское обслуживание является одним из важнейших условий конкурентоспособности банка. Доступность услуг, их надежность и удобство получения необходимой информации становятся ключевыми факторами для клиентов банка. Актуальность использования новых цифровых инструментов обуславливается тем, что повышается доступность банковских ресурсов, кроме того российский банковский рынок становится более конкурентоспособным. </w:t>
      </w:r>
    </w:p>
    <w:p w:rsidR="00021254" w:rsidRPr="00F83F32" w:rsidRDefault="00021254" w:rsidP="00F83F32">
      <w:pPr>
        <w:spacing w:after="0" w:line="360" w:lineRule="auto"/>
        <w:ind w:firstLine="425"/>
        <w:contextualSpacing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>Цель любого коммерческого банка, особенно в современных условиях цифровизации экономики, заключается в том, чтобы при наименьших затратах содействовать наиболее полному удовлетворению потребностей клиентов в банковском обслуживании, улучшению качества банковского обслуживания юридических лиц и расширению спектра банковских услуг, а также предугадыванию их желаний и потребности.</w:t>
      </w: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>Анализ сферы дистанционного банковского обслуживания позволил выявить основные тенденции дальнейшего развития ДБО в России:</w:t>
      </w: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>– Создание и развитие цифровых экосистем;</w:t>
      </w: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>– Увеличение количества бесконтактных платежей;</w:t>
      </w: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>– Информирование и обучение граждан цифровым операциям в финансовой сфере;</w:t>
      </w: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>– Обеспечение персонализированного подхода к каждому клиенту, использование нейросетей для сбора информации о клиенте и его финансовом поведении с целью разработки уникальных индивидуальных банковских продуктов и услуг.</w:t>
      </w: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>– Организация мероприятий по борьбе с киберпреступлениями в финансовой сфере[2].</w:t>
      </w: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 xml:space="preserve">Рассмотрим развитие безналичного мира в Российской системе на примере ПАО «Сбербанк».  По таблице 1  можно увидеть, что доля оборота значительно возрастает и имеет огромную популярность среди населения страны. Уже на 2021 год по сравнению с 2020 рост составил 7%  [3]. </w:t>
      </w:r>
    </w:p>
    <w:p w:rsidR="00F83F32" w:rsidRDefault="00F83F32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b/>
          <w:sz w:val="22"/>
        </w:rPr>
      </w:pPr>
      <w:r w:rsidRPr="00F83F32">
        <w:rPr>
          <w:rFonts w:eastAsia="Calibri"/>
          <w:sz w:val="22"/>
        </w:rPr>
        <w:t>Таблица</w:t>
      </w:r>
      <w:r w:rsidR="00F83F32" w:rsidRPr="00F83F32">
        <w:rPr>
          <w:rFonts w:eastAsia="Calibri"/>
          <w:b/>
          <w:sz w:val="22"/>
        </w:rPr>
        <w:t xml:space="preserve"> </w:t>
      </w:r>
      <w:r w:rsidR="00F83F32" w:rsidRPr="00F83F32">
        <w:rPr>
          <w:rFonts w:eastAsia="Calibri"/>
          <w:sz w:val="22"/>
        </w:rPr>
        <w:t>1</w:t>
      </w:r>
      <w:r w:rsidR="00F83F32" w:rsidRPr="00F83F32">
        <w:rPr>
          <w:rFonts w:eastAsia="Calibri"/>
          <w:b/>
          <w:sz w:val="22"/>
        </w:rPr>
        <w:t xml:space="preserve"> – Развитие безналичного мира</w:t>
      </w:r>
    </w:p>
    <w:tbl>
      <w:tblPr>
        <w:tblStyle w:val="3"/>
        <w:tblW w:w="0" w:type="auto"/>
        <w:tblLook w:val="04A0" w:firstRow="1" w:lastRow="0" w:firstColumn="1" w:lastColumn="0" w:noHBand="0" w:noVBand="1"/>
      </w:tblPr>
      <w:tblGrid>
        <w:gridCol w:w="4632"/>
        <w:gridCol w:w="1402"/>
        <w:gridCol w:w="1537"/>
        <w:gridCol w:w="1774"/>
      </w:tblGrid>
      <w:tr w:rsidR="00021254" w:rsidRPr="00F83F32" w:rsidTr="00D56875">
        <w:tc>
          <w:tcPr>
            <w:tcW w:w="4786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</w:p>
        </w:tc>
        <w:tc>
          <w:tcPr>
            <w:tcW w:w="1418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2018</w:t>
            </w:r>
          </w:p>
        </w:tc>
        <w:tc>
          <w:tcPr>
            <w:tcW w:w="1559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2019</w:t>
            </w:r>
          </w:p>
        </w:tc>
        <w:tc>
          <w:tcPr>
            <w:tcW w:w="1808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2020</w:t>
            </w:r>
          </w:p>
        </w:tc>
      </w:tr>
      <w:tr w:rsidR="00021254" w:rsidRPr="00F83F32" w:rsidTr="00D56875">
        <w:tc>
          <w:tcPr>
            <w:tcW w:w="4786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Доля безналичного оборота по розничным операциям в Сбербанке</w:t>
            </w:r>
          </w:p>
        </w:tc>
        <w:tc>
          <w:tcPr>
            <w:tcW w:w="1418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64,0</w:t>
            </w:r>
          </w:p>
        </w:tc>
        <w:tc>
          <w:tcPr>
            <w:tcW w:w="1559" w:type="dxa"/>
          </w:tcPr>
          <w:p w:rsidR="00021254" w:rsidRPr="00F83F32" w:rsidRDefault="00021254" w:rsidP="00F83F32">
            <w:pPr>
              <w:tabs>
                <w:tab w:val="left" w:pos="180"/>
              </w:tabs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68,0</w:t>
            </w:r>
          </w:p>
        </w:tc>
        <w:tc>
          <w:tcPr>
            <w:tcW w:w="1808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71,0</w:t>
            </w:r>
          </w:p>
        </w:tc>
      </w:tr>
    </w:tbl>
    <w:p w:rsidR="00021254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</w:p>
    <w:p w:rsidR="00F83F32" w:rsidRPr="00F83F32" w:rsidRDefault="00F83F32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>Сбербанк не отставая и идя в ногу со временем активно проводит свою деятельность в развитии стратегии безналичных платежей, активно реализовывая проекты в данной сфере.</w:t>
      </w: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>Рассмотрим наиболее известные и пользующиеся популярностью способы безналичной оплаты в ПАО «Сбербанк»:</w:t>
      </w: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 xml:space="preserve">1) </w:t>
      </w:r>
      <w:r w:rsidRPr="00F83F32">
        <w:rPr>
          <w:rFonts w:eastAsia="Calibri"/>
          <w:sz w:val="22"/>
          <w:lang w:val="en-US"/>
        </w:rPr>
        <w:t>POS</w:t>
      </w:r>
      <w:r w:rsidRPr="00F83F32">
        <w:rPr>
          <w:rFonts w:eastAsia="Calibri"/>
          <w:sz w:val="22"/>
        </w:rPr>
        <w:t>-кредитование;</w:t>
      </w: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 xml:space="preserve">Банк активно развивает POS-кредитование через сервис «Покупай со Сбером». В период ограничительных мер 2020 года был запущен инновационный процесс кредитования покупок через терминалы торгового эквайринга, к которому уже подключились более 10 тыс. партнеров. </w:t>
      </w: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>2) Автокредитование;</w:t>
      </w: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>И эту сферу конечно же не обошло стороной пандемическая коронавирусная ситуация. В период карантина, Сбербанк активно развивал продажу автокредитов дистанционным образом, одним из введенных новшеств, являлись специальные ссылки, размещенные на сайтах дилеров и автопроизводителей, «Автокредит СберБанк онлайн».</w:t>
      </w: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>3) Конверсионные операции;</w:t>
      </w: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>Доля безналичных конверсионных операций в 2020 году составляет 85%. В мобильном приложении СберБанк Онлайн доработано применение пакетных курсов конверсии при переводе с карты на карту, а также клиентам предложены более выгодные курсы относительно наличных операций в офисах [1];</w:t>
      </w: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>4) Переводы;</w:t>
      </w:r>
    </w:p>
    <w:p w:rsidR="00021254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>5) Эквайринг;</w:t>
      </w:r>
    </w:p>
    <w:p w:rsidR="00F83F32" w:rsidRDefault="00F83F32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</w:p>
    <w:p w:rsidR="00F83F32" w:rsidRPr="00F83F32" w:rsidRDefault="00F83F32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b/>
          <w:sz w:val="22"/>
        </w:rPr>
      </w:pPr>
      <w:r w:rsidRPr="00F83F32">
        <w:rPr>
          <w:rFonts w:eastAsia="Calibri"/>
          <w:sz w:val="22"/>
        </w:rPr>
        <w:t>Таблиц</w:t>
      </w:r>
      <w:r w:rsidR="00F83F32" w:rsidRPr="00F83F32">
        <w:rPr>
          <w:rFonts w:eastAsia="Calibri"/>
          <w:sz w:val="22"/>
        </w:rPr>
        <w:t>а</w:t>
      </w:r>
      <w:r w:rsidR="00F83F32" w:rsidRPr="00F83F32">
        <w:rPr>
          <w:rFonts w:eastAsia="Calibri"/>
          <w:b/>
          <w:sz w:val="22"/>
        </w:rPr>
        <w:t xml:space="preserve"> </w:t>
      </w:r>
      <w:r w:rsidR="00F83F32" w:rsidRPr="00F83F32">
        <w:rPr>
          <w:rFonts w:eastAsia="Calibri"/>
          <w:sz w:val="22"/>
        </w:rPr>
        <w:t>2</w:t>
      </w:r>
      <w:r w:rsidR="00F83F32">
        <w:rPr>
          <w:rFonts w:eastAsia="Calibri"/>
          <w:b/>
          <w:sz w:val="22"/>
        </w:rPr>
        <w:t xml:space="preserve"> – Т</w:t>
      </w:r>
      <w:r w:rsidR="00F83F32" w:rsidRPr="00F83F32">
        <w:rPr>
          <w:rFonts w:eastAsia="Calibri"/>
          <w:b/>
          <w:sz w:val="22"/>
        </w:rPr>
        <w:t>орговые точки эквайринга</w:t>
      </w:r>
    </w:p>
    <w:tbl>
      <w:tblPr>
        <w:tblStyle w:val="3"/>
        <w:tblW w:w="0" w:type="auto"/>
        <w:tblInd w:w="108" w:type="dxa"/>
        <w:tblLook w:val="04A0" w:firstRow="1" w:lastRow="0" w:firstColumn="1" w:lastColumn="0" w:noHBand="0" w:noVBand="1"/>
      </w:tblPr>
      <w:tblGrid>
        <w:gridCol w:w="3993"/>
        <w:gridCol w:w="1669"/>
        <w:gridCol w:w="1939"/>
        <w:gridCol w:w="1636"/>
      </w:tblGrid>
      <w:tr w:rsidR="00021254" w:rsidRPr="00F83F32" w:rsidTr="00D56875">
        <w:tc>
          <w:tcPr>
            <w:tcW w:w="4111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</w:p>
        </w:tc>
        <w:tc>
          <w:tcPr>
            <w:tcW w:w="1701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2018</w:t>
            </w:r>
          </w:p>
        </w:tc>
        <w:tc>
          <w:tcPr>
            <w:tcW w:w="1985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2019</w:t>
            </w:r>
          </w:p>
        </w:tc>
        <w:tc>
          <w:tcPr>
            <w:tcW w:w="1666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2020</w:t>
            </w:r>
          </w:p>
        </w:tc>
      </w:tr>
      <w:tr w:rsidR="00021254" w:rsidRPr="00F83F32" w:rsidTr="00D56875">
        <w:tc>
          <w:tcPr>
            <w:tcW w:w="4111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Количество активных торгово-сервисных точек, тыс. шт.</w:t>
            </w:r>
          </w:p>
        </w:tc>
        <w:tc>
          <w:tcPr>
            <w:tcW w:w="1701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1162</w:t>
            </w:r>
          </w:p>
        </w:tc>
        <w:tc>
          <w:tcPr>
            <w:tcW w:w="1985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1339</w:t>
            </w:r>
          </w:p>
        </w:tc>
        <w:tc>
          <w:tcPr>
            <w:tcW w:w="1666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1425</w:t>
            </w:r>
          </w:p>
        </w:tc>
      </w:tr>
      <w:tr w:rsidR="00021254" w:rsidRPr="00F83F32" w:rsidTr="00D56875">
        <w:trPr>
          <w:trHeight w:val="70"/>
        </w:trPr>
        <w:tc>
          <w:tcPr>
            <w:tcW w:w="4111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Количество POS-терминалов в эквайринговой сети, тыс. шт.</w:t>
            </w:r>
          </w:p>
        </w:tc>
        <w:tc>
          <w:tcPr>
            <w:tcW w:w="1701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1683</w:t>
            </w:r>
          </w:p>
        </w:tc>
        <w:tc>
          <w:tcPr>
            <w:tcW w:w="1985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1956</w:t>
            </w:r>
          </w:p>
        </w:tc>
        <w:tc>
          <w:tcPr>
            <w:tcW w:w="1666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2187</w:t>
            </w:r>
          </w:p>
        </w:tc>
      </w:tr>
    </w:tbl>
    <w:p w:rsidR="00021254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</w:p>
    <w:p w:rsidR="00F83F32" w:rsidRPr="00F83F32" w:rsidRDefault="00F83F32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>При этом клиенту не нужно вводить номер своей карты и код из СМС, а также проверять, хватит ли денег на покупку — остаток на карте и сумму покупки видно при оплате прямо в приложении. Там же можно выбрать карту, на которой достаточно средств или бонусов для данной покупки. Все это позволяет упростить процесс оплаты для пользователя и улучшить клиентский опыт. Большинство компаний экосистемы Сбера уже принимают оплату с помощью SberPay. </w:t>
      </w: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lastRenderedPageBreak/>
        <w:t xml:space="preserve">6) Дебетовые карты [5] . </w:t>
      </w:r>
    </w:p>
    <w:p w:rsidR="00F83F32" w:rsidRDefault="00F83F32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</w:p>
    <w:p w:rsidR="00F83F32" w:rsidRDefault="00F83F32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</w:p>
    <w:p w:rsidR="00021254" w:rsidRPr="00F83F32" w:rsidRDefault="00F83F32" w:rsidP="00F83F32">
      <w:pPr>
        <w:spacing w:after="0" w:line="360" w:lineRule="auto"/>
        <w:ind w:firstLine="425"/>
        <w:jc w:val="both"/>
        <w:rPr>
          <w:rFonts w:eastAsia="Calibri"/>
          <w:b/>
          <w:sz w:val="22"/>
        </w:rPr>
      </w:pPr>
      <w:r w:rsidRPr="00F83F32">
        <w:rPr>
          <w:rFonts w:eastAsia="Calibri"/>
          <w:sz w:val="22"/>
        </w:rPr>
        <w:t>Таблица</w:t>
      </w:r>
      <w:r w:rsidRPr="00F83F32">
        <w:rPr>
          <w:rFonts w:eastAsia="Calibri"/>
          <w:b/>
          <w:sz w:val="22"/>
        </w:rPr>
        <w:t xml:space="preserve"> </w:t>
      </w:r>
      <w:r w:rsidRPr="00F83F32">
        <w:rPr>
          <w:rFonts w:eastAsia="Calibri"/>
          <w:sz w:val="22"/>
        </w:rPr>
        <w:t>3</w:t>
      </w:r>
      <w:r w:rsidR="00021254" w:rsidRPr="00F83F32">
        <w:rPr>
          <w:rFonts w:eastAsia="Calibri"/>
          <w:b/>
          <w:sz w:val="22"/>
        </w:rPr>
        <w:t xml:space="preserve"> – Доля дебетовых карт ПАО «Сбербанк»</w:t>
      </w:r>
    </w:p>
    <w:tbl>
      <w:tblPr>
        <w:tblStyle w:val="3"/>
        <w:tblW w:w="0" w:type="auto"/>
        <w:tblLook w:val="04A0" w:firstRow="1" w:lastRow="0" w:firstColumn="1" w:lastColumn="0" w:noHBand="0" w:noVBand="1"/>
      </w:tblPr>
      <w:tblGrid>
        <w:gridCol w:w="2340"/>
        <w:gridCol w:w="2335"/>
        <w:gridCol w:w="2335"/>
        <w:gridCol w:w="2335"/>
      </w:tblGrid>
      <w:tr w:rsidR="00021254" w:rsidRPr="00F83F32" w:rsidTr="00D56875">
        <w:tc>
          <w:tcPr>
            <w:tcW w:w="2392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</w:p>
        </w:tc>
        <w:tc>
          <w:tcPr>
            <w:tcW w:w="2393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2018</w:t>
            </w:r>
          </w:p>
        </w:tc>
        <w:tc>
          <w:tcPr>
            <w:tcW w:w="2393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2019</w:t>
            </w:r>
          </w:p>
        </w:tc>
        <w:tc>
          <w:tcPr>
            <w:tcW w:w="2393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2020</w:t>
            </w:r>
          </w:p>
        </w:tc>
      </w:tr>
      <w:tr w:rsidR="00021254" w:rsidRPr="00F83F32" w:rsidTr="00D56875">
        <w:tc>
          <w:tcPr>
            <w:tcW w:w="2392" w:type="dxa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Доля продаж дебетовых карт в цифровых каналах, %</w:t>
            </w:r>
          </w:p>
        </w:tc>
        <w:tc>
          <w:tcPr>
            <w:tcW w:w="2393" w:type="dxa"/>
            <w:vAlign w:val="center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21,0</w:t>
            </w:r>
          </w:p>
        </w:tc>
        <w:tc>
          <w:tcPr>
            <w:tcW w:w="2393" w:type="dxa"/>
            <w:vAlign w:val="center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22,0</w:t>
            </w:r>
          </w:p>
        </w:tc>
        <w:tc>
          <w:tcPr>
            <w:tcW w:w="2393" w:type="dxa"/>
            <w:vAlign w:val="center"/>
          </w:tcPr>
          <w:p w:rsidR="00021254" w:rsidRPr="00F83F32" w:rsidRDefault="00021254" w:rsidP="00F83F32">
            <w:pPr>
              <w:spacing w:after="0" w:line="240" w:lineRule="auto"/>
              <w:ind w:firstLine="425"/>
              <w:jc w:val="both"/>
              <w:rPr>
                <w:rFonts w:eastAsia="Calibri"/>
                <w:sz w:val="22"/>
              </w:rPr>
            </w:pPr>
            <w:r w:rsidRPr="00F83F32">
              <w:rPr>
                <w:rFonts w:eastAsia="Calibri"/>
                <w:sz w:val="22"/>
              </w:rPr>
              <w:t>40,0</w:t>
            </w:r>
          </w:p>
        </w:tc>
      </w:tr>
    </w:tbl>
    <w:p w:rsidR="00021254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</w:p>
    <w:p w:rsidR="00F83F32" w:rsidRPr="00F83F32" w:rsidRDefault="00F83F32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 xml:space="preserve">Продолжается развитие продаж СберКарты — нового карточного продукта с динамической тарификацией. Тариф карты зависит от сегмента клиента, его транзакций или баланса. </w:t>
      </w:r>
    </w:p>
    <w:p w:rsidR="00021254" w:rsidRP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 xml:space="preserve">Для успешного развития любого банка, следует создавать широко востребованные продукты для населения. Но все же в данной стратегии присутствует и риск возникновения каких-либо неудач, поэтому процесс создания и внедрения является «болезненным» для организации. Возможность расчета эффективности практически недостижим, так как одновременно обладает неизвестностью будущего. </w:t>
      </w:r>
    </w:p>
    <w:p w:rsid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 xml:space="preserve">Время заставляет любые компании вводить и придумывать различного рода инновации, создавать что-либо новое для потребителей и успевать совмещать их потребности, какие-либо внешние оказывающие факторы, а так же и внутреннюю систему самой организации. </w:t>
      </w:r>
      <w:bookmarkStart w:id="1" w:name="_Toc100596925"/>
    </w:p>
    <w:p w:rsidR="00F83F32" w:rsidRDefault="00021254" w:rsidP="00F83F32">
      <w:pPr>
        <w:spacing w:after="0" w:line="360" w:lineRule="auto"/>
        <w:ind w:firstLine="425"/>
        <w:jc w:val="both"/>
        <w:rPr>
          <w:rFonts w:eastAsia="Calibri"/>
          <w:sz w:val="22"/>
        </w:rPr>
      </w:pPr>
      <w:r w:rsidRPr="00021254">
        <w:rPr>
          <w:rFonts w:ascii="Calibri" w:eastAsia="Calibri" w:hAnsi="Calibri"/>
          <w:sz w:val="22"/>
        </w:rPr>
        <w:tab/>
      </w:r>
      <w:bookmarkEnd w:id="1"/>
    </w:p>
    <w:p w:rsidR="00021254" w:rsidRPr="00F83F32" w:rsidRDefault="00F83F32" w:rsidP="00F83F32">
      <w:pPr>
        <w:spacing w:after="0" w:line="360" w:lineRule="auto"/>
        <w:ind w:firstLine="425"/>
        <w:jc w:val="center"/>
        <w:rPr>
          <w:rFonts w:eastAsia="Calibri"/>
          <w:sz w:val="22"/>
        </w:rPr>
      </w:pPr>
      <w:r>
        <w:rPr>
          <w:rFonts w:eastAsia="Times New Roman"/>
          <w:bCs/>
          <w:sz w:val="22"/>
        </w:rPr>
        <w:t>ЛИТЕРАТУРА</w:t>
      </w:r>
    </w:p>
    <w:p w:rsidR="00021254" w:rsidRPr="00F83F32" w:rsidRDefault="00021254" w:rsidP="00021254">
      <w:pPr>
        <w:spacing w:after="0" w:line="360" w:lineRule="auto"/>
        <w:ind w:firstLine="709"/>
        <w:contextualSpacing/>
        <w:jc w:val="center"/>
        <w:rPr>
          <w:rFonts w:eastAsia="Calibri"/>
          <w:sz w:val="22"/>
        </w:rPr>
      </w:pPr>
    </w:p>
    <w:p w:rsidR="00021254" w:rsidRPr="00F83F32" w:rsidRDefault="00021254" w:rsidP="0002125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 xml:space="preserve"> Владимирова. М. П. Деньги, кредит, банки: учеб. пособие / М. П. Владимирова. Москва: КНОРУС.2017. - 245 с.</w:t>
      </w:r>
    </w:p>
    <w:p w:rsidR="00021254" w:rsidRPr="00F83F32" w:rsidRDefault="00021254" w:rsidP="0002125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 xml:space="preserve"> Вахнюк С.В. Перспективы дистанционного обслуживания клиентов в режиме реального времени для банков России /// Проблемы и перспективы развития банковской системы России: МОСКВА: ВВП «Мечта1» ЛТД, 2014. - 188 с. </w:t>
      </w:r>
    </w:p>
    <w:p w:rsidR="00021254" w:rsidRPr="00F83F32" w:rsidRDefault="00021254" w:rsidP="0002125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 xml:space="preserve">Официальный сайт ПАО «Сбербанк» / [Электронный ресурс].- </w:t>
      </w:r>
      <w:hyperlink r:id="rId8" w:history="1">
        <w:r w:rsidRPr="00F83F32">
          <w:rPr>
            <w:rFonts w:eastAsia="Calibri"/>
            <w:color w:val="0000FF"/>
            <w:sz w:val="22"/>
            <w:u w:val="single"/>
          </w:rPr>
          <w:t>https://www.sberbank.ru/ru/person</w:t>
        </w:r>
      </w:hyperlink>
    </w:p>
    <w:p w:rsidR="00021254" w:rsidRPr="00F83F32" w:rsidRDefault="00021254" w:rsidP="0002125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>Панкова И.В., Фатхутдинова Э.И., Касимова Д.Ф. Значение развития финансовых технологий в банковской сфере // В сборнике: Современные аспекты трансформации финансово-кредитной системы. Материалы II Всероссийской научно-практической конференции. Отв. редактор Г.А. Галимова. 2020. С. 214-217.</w:t>
      </w:r>
    </w:p>
    <w:p w:rsidR="00021254" w:rsidRPr="00F83F32" w:rsidRDefault="00021254" w:rsidP="00021254">
      <w:pPr>
        <w:numPr>
          <w:ilvl w:val="0"/>
          <w:numId w:val="2"/>
        </w:numPr>
        <w:spacing w:after="0" w:line="360" w:lineRule="auto"/>
        <w:ind w:left="567" w:hanging="567"/>
        <w:contextualSpacing/>
        <w:jc w:val="both"/>
        <w:rPr>
          <w:rFonts w:eastAsia="Calibri"/>
          <w:sz w:val="22"/>
        </w:rPr>
      </w:pPr>
      <w:r w:rsidRPr="00F83F32">
        <w:rPr>
          <w:rFonts w:eastAsia="Calibri"/>
          <w:sz w:val="22"/>
        </w:rPr>
        <w:t>Смагина Е.С., Габдуллина Л.И., Касимова Д.Ф. Банковская система России: проблемы и способы их решения // В сборнике: Современные аспекты трансформации финансово-кредитной системы. Материалы II Всероссийской научно-практической конференции. Отв. редактор Г.А. Галимова. 2020. С. 249-253.</w:t>
      </w:r>
    </w:p>
    <w:p w:rsidR="00021254" w:rsidRPr="00F83F32" w:rsidRDefault="00021254" w:rsidP="00E36F93">
      <w:pPr>
        <w:spacing w:after="0" w:line="360" w:lineRule="auto"/>
        <w:rPr>
          <w:b/>
          <w:color w:val="FF0000"/>
          <w:sz w:val="22"/>
        </w:rPr>
      </w:pPr>
    </w:p>
    <w:p w:rsidR="00290C60" w:rsidRPr="00F83F32" w:rsidRDefault="00290C60" w:rsidP="00E36F93">
      <w:pPr>
        <w:spacing w:after="0" w:line="360" w:lineRule="auto"/>
        <w:rPr>
          <w:b/>
          <w:color w:val="FF0000"/>
          <w:sz w:val="22"/>
        </w:rPr>
      </w:pPr>
    </w:p>
    <w:p w:rsidR="00021254" w:rsidRPr="00F83F32" w:rsidRDefault="00021254" w:rsidP="00290C60">
      <w:pPr>
        <w:widowControl w:val="0"/>
        <w:tabs>
          <w:tab w:val="left" w:pos="1134"/>
        </w:tabs>
        <w:autoSpaceDE w:val="0"/>
        <w:autoSpaceDN w:val="0"/>
        <w:spacing w:after="0" w:line="360" w:lineRule="auto"/>
        <w:ind w:left="454" w:right="113"/>
        <w:jc w:val="both"/>
        <w:rPr>
          <w:b/>
          <w:color w:val="FF0000"/>
          <w:sz w:val="22"/>
        </w:rPr>
      </w:pPr>
    </w:p>
    <w:p w:rsidR="00290C60" w:rsidRPr="00F83F32" w:rsidRDefault="00290C60" w:rsidP="00F83F32">
      <w:pPr>
        <w:widowControl w:val="0"/>
        <w:tabs>
          <w:tab w:val="left" w:pos="1134"/>
        </w:tabs>
        <w:autoSpaceDE w:val="0"/>
        <w:autoSpaceDN w:val="0"/>
        <w:spacing w:after="0" w:line="360" w:lineRule="auto"/>
        <w:ind w:right="113"/>
        <w:jc w:val="both"/>
        <w:rPr>
          <w:rFonts w:eastAsia="Times New Roman"/>
          <w:sz w:val="22"/>
        </w:rPr>
      </w:pPr>
    </w:p>
    <w:p w:rsidR="00290C60" w:rsidRPr="00F83F32" w:rsidRDefault="00290C60" w:rsidP="00290C60">
      <w:pPr>
        <w:widowControl w:val="0"/>
        <w:tabs>
          <w:tab w:val="left" w:pos="1134"/>
        </w:tabs>
        <w:autoSpaceDE w:val="0"/>
        <w:autoSpaceDN w:val="0"/>
        <w:spacing w:line="360" w:lineRule="auto"/>
        <w:ind w:right="113"/>
        <w:jc w:val="both"/>
        <w:rPr>
          <w:rFonts w:eastAsia="Times New Roman"/>
          <w:sz w:val="22"/>
          <w:lang w:val="en-US"/>
        </w:rPr>
      </w:pPr>
    </w:p>
    <w:p w:rsidR="00290C60" w:rsidRPr="00F83F32" w:rsidRDefault="00290C60" w:rsidP="00E36F93">
      <w:pPr>
        <w:spacing w:after="0" w:line="360" w:lineRule="auto"/>
        <w:rPr>
          <w:b/>
          <w:color w:val="FF0000"/>
          <w:sz w:val="22"/>
          <w:lang w:val="en-US"/>
        </w:rPr>
      </w:pPr>
    </w:p>
    <w:p w:rsidR="00290C60" w:rsidRPr="00F83F32" w:rsidRDefault="00290C60" w:rsidP="00E36F93">
      <w:pPr>
        <w:spacing w:after="0" w:line="360" w:lineRule="auto"/>
        <w:rPr>
          <w:b/>
          <w:color w:val="FF0000"/>
          <w:sz w:val="22"/>
          <w:lang w:val="en-US"/>
        </w:rPr>
      </w:pPr>
    </w:p>
    <w:p w:rsidR="0022238A" w:rsidRPr="00F83F32" w:rsidRDefault="0022238A" w:rsidP="00E36F93">
      <w:pPr>
        <w:spacing w:after="0" w:line="360" w:lineRule="auto"/>
        <w:jc w:val="center"/>
        <w:rPr>
          <w:b/>
          <w:i/>
          <w:sz w:val="22"/>
          <w:lang w:val="en-US"/>
        </w:rPr>
      </w:pPr>
    </w:p>
    <w:sectPr w:rsidR="0022238A" w:rsidRPr="00F83F32" w:rsidSect="00F9548F">
      <w:pgSz w:w="11906" w:h="16838"/>
      <w:pgMar w:top="1134" w:right="850" w:bottom="1134" w:left="1701" w:header="708" w:footer="708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61EC" w:rsidRDefault="004F61EC" w:rsidP="007F25BA">
      <w:pPr>
        <w:spacing w:after="0" w:line="240" w:lineRule="auto"/>
      </w:pPr>
      <w:r>
        <w:separator/>
      </w:r>
    </w:p>
  </w:endnote>
  <w:endnote w:type="continuationSeparator" w:id="0">
    <w:p w:rsidR="004F61EC" w:rsidRDefault="004F61EC" w:rsidP="007F25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61EC" w:rsidRDefault="004F61EC" w:rsidP="007F25BA">
      <w:pPr>
        <w:spacing w:after="0" w:line="240" w:lineRule="auto"/>
      </w:pPr>
      <w:r>
        <w:separator/>
      </w:r>
    </w:p>
  </w:footnote>
  <w:footnote w:type="continuationSeparator" w:id="0">
    <w:p w:rsidR="004F61EC" w:rsidRDefault="004F61EC" w:rsidP="007F25B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8376DC"/>
    <w:multiLevelType w:val="hybridMultilevel"/>
    <w:tmpl w:val="474C7F5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>
      <w:start w:val="1"/>
      <w:numFmt w:val="lowerLetter"/>
      <w:lvlText w:val="%2."/>
      <w:lvlJc w:val="left"/>
      <w:pPr>
        <w:ind w:left="2149" w:hanging="360"/>
      </w:pPr>
    </w:lvl>
    <w:lvl w:ilvl="2" w:tplc="0419001B">
      <w:start w:val="1"/>
      <w:numFmt w:val="lowerRoman"/>
      <w:lvlText w:val="%3."/>
      <w:lvlJc w:val="right"/>
      <w:pPr>
        <w:ind w:left="2869" w:hanging="180"/>
      </w:pPr>
    </w:lvl>
    <w:lvl w:ilvl="3" w:tplc="0419000F">
      <w:start w:val="1"/>
      <w:numFmt w:val="decimal"/>
      <w:lvlText w:val="%4."/>
      <w:lvlJc w:val="left"/>
      <w:pPr>
        <w:ind w:left="3589" w:hanging="360"/>
      </w:pPr>
    </w:lvl>
    <w:lvl w:ilvl="4" w:tplc="04190019">
      <w:start w:val="1"/>
      <w:numFmt w:val="lowerLetter"/>
      <w:lvlText w:val="%5."/>
      <w:lvlJc w:val="left"/>
      <w:pPr>
        <w:ind w:left="4309" w:hanging="360"/>
      </w:pPr>
    </w:lvl>
    <w:lvl w:ilvl="5" w:tplc="0419001B">
      <w:start w:val="1"/>
      <w:numFmt w:val="lowerRoman"/>
      <w:lvlText w:val="%6."/>
      <w:lvlJc w:val="right"/>
      <w:pPr>
        <w:ind w:left="5029" w:hanging="180"/>
      </w:pPr>
    </w:lvl>
    <w:lvl w:ilvl="6" w:tplc="0419000F">
      <w:start w:val="1"/>
      <w:numFmt w:val="decimal"/>
      <w:lvlText w:val="%7."/>
      <w:lvlJc w:val="left"/>
      <w:pPr>
        <w:ind w:left="5749" w:hanging="360"/>
      </w:pPr>
    </w:lvl>
    <w:lvl w:ilvl="7" w:tplc="04190019">
      <w:start w:val="1"/>
      <w:numFmt w:val="lowerLetter"/>
      <w:lvlText w:val="%8."/>
      <w:lvlJc w:val="left"/>
      <w:pPr>
        <w:ind w:left="6469" w:hanging="360"/>
      </w:pPr>
    </w:lvl>
    <w:lvl w:ilvl="8" w:tplc="0419001B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4DEA4F63"/>
    <w:multiLevelType w:val="hybridMultilevel"/>
    <w:tmpl w:val="50F05932"/>
    <w:lvl w:ilvl="0" w:tplc="8DE0308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25BA"/>
    <w:rsid w:val="00021254"/>
    <w:rsid w:val="00180B7C"/>
    <w:rsid w:val="001A5017"/>
    <w:rsid w:val="0022238A"/>
    <w:rsid w:val="00224F7A"/>
    <w:rsid w:val="002311FE"/>
    <w:rsid w:val="00290C60"/>
    <w:rsid w:val="0031073A"/>
    <w:rsid w:val="003C404C"/>
    <w:rsid w:val="00490787"/>
    <w:rsid w:val="004F61EC"/>
    <w:rsid w:val="005D3FEB"/>
    <w:rsid w:val="006F2AAA"/>
    <w:rsid w:val="007358A6"/>
    <w:rsid w:val="007F25BA"/>
    <w:rsid w:val="00807E79"/>
    <w:rsid w:val="00972665"/>
    <w:rsid w:val="00AC4441"/>
    <w:rsid w:val="00B148B4"/>
    <w:rsid w:val="00C577D6"/>
    <w:rsid w:val="00C708F1"/>
    <w:rsid w:val="00D23037"/>
    <w:rsid w:val="00D64E46"/>
    <w:rsid w:val="00DB0BFE"/>
    <w:rsid w:val="00E01AE4"/>
    <w:rsid w:val="00E037E4"/>
    <w:rsid w:val="00E36F93"/>
    <w:rsid w:val="00E4463A"/>
    <w:rsid w:val="00EA715E"/>
    <w:rsid w:val="00F83F32"/>
    <w:rsid w:val="00F9548F"/>
    <w:rsid w:val="00FB569D"/>
    <w:rsid w:val="00FC0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4DE26AA-1178-40B1-BCBF-B4FE536E3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F25BA"/>
    <w:pPr>
      <w:spacing w:after="200" w:line="276" w:lineRule="auto"/>
    </w:pPr>
    <w:rPr>
      <w:rFonts w:ascii="Times New Roman" w:hAnsi="Times New Roman" w:cs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F25B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7F25BA"/>
    <w:rPr>
      <w:rFonts w:ascii="Times New Roman" w:hAnsi="Times New Roman" w:cs="Times New Roman"/>
      <w:sz w:val="28"/>
    </w:rPr>
  </w:style>
  <w:style w:type="paragraph" w:styleId="a5">
    <w:name w:val="footer"/>
    <w:basedOn w:val="a"/>
    <w:link w:val="a6"/>
    <w:uiPriority w:val="99"/>
    <w:unhideWhenUsed/>
    <w:rsid w:val="007F25B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7F25BA"/>
    <w:rPr>
      <w:rFonts w:ascii="Times New Roman" w:hAnsi="Times New Roman" w:cs="Times New Roman"/>
      <w:sz w:val="28"/>
    </w:rPr>
  </w:style>
  <w:style w:type="paragraph" w:styleId="a7">
    <w:name w:val="List Paragraph"/>
    <w:basedOn w:val="a"/>
    <w:uiPriority w:val="34"/>
    <w:qFormat/>
    <w:rsid w:val="00E36F93"/>
    <w:pPr>
      <w:ind w:left="720"/>
      <w:contextualSpacing/>
    </w:pPr>
    <w:rPr>
      <w:rFonts w:ascii="Calibri" w:eastAsia="Calibri" w:hAnsi="Calibri"/>
      <w:sz w:val="22"/>
    </w:rPr>
  </w:style>
  <w:style w:type="table" w:styleId="a8">
    <w:name w:val="Table Grid"/>
    <w:basedOn w:val="a1"/>
    <w:uiPriority w:val="59"/>
    <w:rsid w:val="00E36F9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ody Text Indent"/>
    <w:basedOn w:val="a"/>
    <w:link w:val="aa"/>
    <w:rsid w:val="00E36F93"/>
    <w:pPr>
      <w:spacing w:after="0" w:line="240" w:lineRule="auto"/>
      <w:jc w:val="both"/>
    </w:pPr>
    <w:rPr>
      <w:rFonts w:eastAsia="Times New Roman"/>
      <w:szCs w:val="28"/>
      <w:lang w:eastAsia="ru-RU"/>
    </w:rPr>
  </w:style>
  <w:style w:type="character" w:customStyle="1" w:styleId="aa">
    <w:name w:val="Основной текст с отступом Знак"/>
    <w:basedOn w:val="a0"/>
    <w:link w:val="a9"/>
    <w:rsid w:val="00E36F93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styleId="ab">
    <w:name w:val="Hyperlink"/>
    <w:basedOn w:val="a0"/>
    <w:uiPriority w:val="99"/>
    <w:unhideWhenUsed/>
    <w:rsid w:val="00807E79"/>
    <w:rPr>
      <w:color w:val="0563C1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sid w:val="00807E79"/>
    <w:rPr>
      <w:color w:val="954F72" w:themeColor="followedHyperlink"/>
      <w:u w:val="single"/>
    </w:rPr>
  </w:style>
  <w:style w:type="paragraph" w:styleId="ad">
    <w:name w:val="footnote text"/>
    <w:basedOn w:val="a"/>
    <w:link w:val="ae"/>
    <w:uiPriority w:val="99"/>
    <w:semiHidden/>
    <w:unhideWhenUsed/>
    <w:rsid w:val="00AC4441"/>
    <w:pPr>
      <w:spacing w:after="0" w:line="240" w:lineRule="auto"/>
    </w:pPr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AC4441"/>
    <w:rPr>
      <w:rFonts w:ascii="Times New Roman" w:hAnsi="Times New Roman" w:cs="Times New Roman"/>
      <w:sz w:val="20"/>
      <w:szCs w:val="20"/>
    </w:rPr>
  </w:style>
  <w:style w:type="character" w:styleId="af">
    <w:name w:val="footnote reference"/>
    <w:basedOn w:val="a0"/>
    <w:uiPriority w:val="99"/>
    <w:semiHidden/>
    <w:unhideWhenUsed/>
    <w:rsid w:val="00AC4441"/>
    <w:rPr>
      <w:vertAlign w:val="superscript"/>
    </w:rPr>
  </w:style>
  <w:style w:type="paragraph" w:styleId="af0">
    <w:name w:val="Balloon Text"/>
    <w:basedOn w:val="a"/>
    <w:link w:val="af1"/>
    <w:uiPriority w:val="99"/>
    <w:semiHidden/>
    <w:unhideWhenUsed/>
    <w:rsid w:val="00E037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E037E4"/>
    <w:rPr>
      <w:rFonts w:ascii="Tahoma" w:hAnsi="Tahoma" w:cs="Tahoma"/>
      <w:sz w:val="16"/>
      <w:szCs w:val="16"/>
    </w:rPr>
  </w:style>
  <w:style w:type="table" w:customStyle="1" w:styleId="3">
    <w:name w:val="Сетка таблицы3"/>
    <w:basedOn w:val="a1"/>
    <w:next w:val="a8"/>
    <w:uiPriority w:val="39"/>
    <w:rsid w:val="000212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13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berbank.ru/ru/person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6F8C79-ED36-4389-A823-3A63913936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904</Words>
  <Characters>5157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</dc:creator>
  <cp:lastModifiedBy>Екатерина Георгиевна Леонидова</cp:lastModifiedBy>
  <cp:revision>2</cp:revision>
  <dcterms:created xsi:type="dcterms:W3CDTF">2022-04-26T11:39:00Z</dcterms:created>
  <dcterms:modified xsi:type="dcterms:W3CDTF">2022-04-26T11:39:00Z</dcterms:modified>
</cp:coreProperties>
</file>