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E82" w:rsidRDefault="00DB55F3" w:rsidP="00827E82">
      <w:pPr>
        <w:pStyle w:val="12"/>
        <w:rPr>
          <w:rFonts w:asciiTheme="majorHAnsi" w:hAnsiTheme="majorHAnsi"/>
          <w:caps/>
          <w:szCs w:val="24"/>
          <w:vertAlign w:val="superscript"/>
        </w:rPr>
      </w:pPr>
      <w:bookmarkStart w:id="0" w:name="_Toc76714064"/>
      <w:r>
        <w:rPr>
          <w:lang w:eastAsia="ru-RU"/>
        </w:rPr>
        <w:t>Скапенкер О.М.</w:t>
      </w:r>
      <w:r w:rsidR="00827E82"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bookmarkEnd w:id="0"/>
    </w:p>
    <w:p w:rsidR="00DB55F3" w:rsidRDefault="00DB55F3" w:rsidP="00DB55F3">
      <w:pPr>
        <w:pStyle w:val="123"/>
        <w:rPr>
          <w:rFonts w:eastAsia="Times New Roman"/>
        </w:rPr>
      </w:pPr>
    </w:p>
    <w:p w:rsidR="00DB55F3" w:rsidRPr="00DB55F3" w:rsidRDefault="00DB55F3" w:rsidP="00DB55F3">
      <w:pPr>
        <w:pStyle w:val="123"/>
        <w:rPr>
          <w:rFonts w:eastAsia="Times New Roman"/>
        </w:rPr>
      </w:pPr>
      <w:r w:rsidRPr="00DB55F3">
        <w:rPr>
          <w:rFonts w:eastAsia="Times New Roman"/>
        </w:rPr>
        <w:t>Взаимная трансформация заемного и долевого капитала в системе финансирования экономического роста региона</w:t>
      </w:r>
    </w:p>
    <w:p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:rsidR="00827E82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proofErr w:type="gramStart"/>
      <w:r w:rsidRPr="002422EA">
        <w:rPr>
          <w:rFonts w:ascii="Times New Roman" w:hAnsi="Times New Roman" w:cs="Times New Roman"/>
          <w:i/>
        </w:rPr>
        <w:t xml:space="preserve">Аннотация: </w:t>
      </w:r>
      <w:r w:rsidR="000A33BB">
        <w:rPr>
          <w:rFonts w:ascii="Times New Roman" w:hAnsi="Times New Roman" w:cs="Times New Roman"/>
          <w:i/>
        </w:rPr>
        <w:t xml:space="preserve"> В</w:t>
      </w:r>
      <w:proofErr w:type="gramEnd"/>
      <w:r w:rsidR="000A33BB">
        <w:rPr>
          <w:rFonts w:ascii="Times New Roman" w:hAnsi="Times New Roman" w:cs="Times New Roman"/>
          <w:i/>
        </w:rPr>
        <w:t xml:space="preserve"> статье рассматриваются преимущества и особенности взаимной трансформации форм финансирования. Выявлено, что операции трансформации долевого финансирования с долговое очень мало востребованы, тогда как обратные операции достаточно востребованы и даже нашли особое отражение в законодательстве. </w:t>
      </w:r>
    </w:p>
    <w:p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r w:rsidR="000A33BB">
        <w:rPr>
          <w:rFonts w:ascii="Times New Roman" w:hAnsi="Times New Roman" w:cs="Times New Roman"/>
          <w:i/>
        </w:rPr>
        <w:t xml:space="preserve">долевое финансирование, долговое финансирование, акции, доли в уставном капитале, </w:t>
      </w:r>
      <w:proofErr w:type="spellStart"/>
      <w:r w:rsidR="000A33BB">
        <w:rPr>
          <w:rFonts w:ascii="Times New Roman" w:hAnsi="Times New Roman" w:cs="Times New Roman"/>
          <w:i/>
        </w:rPr>
        <w:t>займ</w:t>
      </w:r>
      <w:proofErr w:type="spellEnd"/>
      <w:r>
        <w:rPr>
          <w:rFonts w:ascii="Times New Roman" w:hAnsi="Times New Roman" w:cs="Times New Roman"/>
          <w:i/>
        </w:rPr>
        <w:t>.</w:t>
      </w:r>
    </w:p>
    <w:p w:rsidR="000A33BB" w:rsidRDefault="000A33BB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0A33BB" w:rsidRDefault="000A33BB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>Долевое и долговое финансирование – базовые варианты перераспределения в экономике средств от тех, у кого они являются временно свободными тем, кто нуждается в них в настоящий момент. Преобладание одной или второй формы зависит от множества факторов – экономической формации, распределения капиталов в экономике конкретно</w:t>
      </w:r>
      <w:r w:rsidR="000A33BB">
        <w:rPr>
          <w:rFonts w:ascii="Times New Roman" w:hAnsi="Times New Roman" w:cs="Times New Roman"/>
        </w:rPr>
        <w:t>й территории</w:t>
      </w:r>
      <w:r w:rsidRPr="00DB55F3">
        <w:rPr>
          <w:rFonts w:ascii="Times New Roman" w:hAnsi="Times New Roman" w:cs="Times New Roman"/>
        </w:rPr>
        <w:t>, национальных и религиозных особенностей.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>Долевое финансирование может иметь разные формы – приобретение акций, долей участия в уставном капитале, паев паевых инверсионных фондов, участие в товариществе, кооперативе и т.д. Долговое финансирование в основном осуществляется посредством выдачи кредита или займа, а также выпуска долговых ценных бумаг – векселей, облигаций.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 xml:space="preserve">В общем случае форма финансирования отображает планы инвестора по характеру дальнейшего взаимодействия с объектом финансирования. Так, при выборе долевого финансирования, как правило, предполагается длительное владение активом и управление им. Долговое финансирование </w:t>
      </w:r>
      <w:r w:rsidR="000A33BB" w:rsidRPr="00DB55F3">
        <w:rPr>
          <w:rFonts w:ascii="Times New Roman" w:hAnsi="Times New Roman" w:cs="Times New Roman"/>
        </w:rPr>
        <w:t xml:space="preserve">в </w:t>
      </w:r>
      <w:r w:rsidR="000A33BB">
        <w:rPr>
          <w:rFonts w:ascii="Times New Roman" w:hAnsi="Times New Roman" w:cs="Times New Roman"/>
        </w:rPr>
        <w:t>общем случае</w:t>
      </w:r>
      <w:r w:rsidR="000A33BB" w:rsidRPr="00DB55F3">
        <w:rPr>
          <w:rFonts w:ascii="Times New Roman" w:hAnsi="Times New Roman" w:cs="Times New Roman"/>
        </w:rPr>
        <w:t xml:space="preserve"> </w:t>
      </w:r>
      <w:r w:rsidRPr="00DB55F3">
        <w:rPr>
          <w:rFonts w:ascii="Times New Roman" w:hAnsi="Times New Roman" w:cs="Times New Roman"/>
        </w:rPr>
        <w:t>предполагает закрепленный договором срок взаимодействия, а объем участия в деятельности заемщика – лишь в форме контроля возврата задолженности с причитающимся процентами.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>Однако существуют случаи, когда два этих варианта трансформируются. В первую очередь речь идет о ситуации, когда планы лица, в той или иной форме финансировавшего деятельность предприятия, изменились. Тогда перед инвестором, в зависимости от причины изменения планов, встает выбор между изменением формы инвестиций и изъятием средств вообще.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 xml:space="preserve">Если такое лицо владеет акциями, инвестиционными паями или долями в уставном капитале общества с ограниченной ответственностью, то предъявить их к выкупу/погашению удастся лишь в том случае, если в отношении актива наступили определенные условия. В общем виде их можно обозначить как возникновение права на предъявление их к выкупу в силу принятых на общем собрании акционеров / владельцев паев / участников решений, с которыми рассматриваемый собственник не согласился или </w:t>
      </w:r>
      <w:r w:rsidRPr="00DB55F3">
        <w:rPr>
          <w:rFonts w:ascii="Times New Roman" w:hAnsi="Times New Roman" w:cs="Times New Roman"/>
        </w:rPr>
        <w:lastRenderedPageBreak/>
        <w:t xml:space="preserve">вообще не участвовал в голосовании. Соответствующее право возникает лишь в случае, если голосование проводилось по важным вопросам, значительно затрагивающим права инвестора, таким, как, например, изменение уставного капитала общества, согласование крупных сделок и/или сделок с заинтересованностью. Стоит отметить, что данный вариант выхода из капитала подходит лишь для </w:t>
      </w:r>
      <w:proofErr w:type="spellStart"/>
      <w:r w:rsidRPr="00DB55F3">
        <w:rPr>
          <w:rFonts w:ascii="Times New Roman" w:hAnsi="Times New Roman" w:cs="Times New Roman"/>
        </w:rPr>
        <w:t>миноритариев</w:t>
      </w:r>
      <w:proofErr w:type="spellEnd"/>
      <w:r w:rsidRPr="00DB55F3">
        <w:rPr>
          <w:rFonts w:ascii="Times New Roman" w:hAnsi="Times New Roman" w:cs="Times New Roman"/>
        </w:rPr>
        <w:t xml:space="preserve"> – для того, чтобы при голосовании данного инвестора против (или неучастии в голосовании) положительное решение было принято, основной объем голосов должен быть у иных лиц. А если рассматриваемый инвестор </w:t>
      </w:r>
      <w:proofErr w:type="spellStart"/>
      <w:r w:rsidRPr="00DB55F3">
        <w:rPr>
          <w:rFonts w:ascii="Times New Roman" w:hAnsi="Times New Roman" w:cs="Times New Roman"/>
        </w:rPr>
        <w:t>миноритарий</w:t>
      </w:r>
      <w:proofErr w:type="spellEnd"/>
      <w:r w:rsidRPr="00DB55F3">
        <w:rPr>
          <w:rFonts w:ascii="Times New Roman" w:hAnsi="Times New Roman" w:cs="Times New Roman"/>
        </w:rPr>
        <w:t xml:space="preserve"> – в общем случае он не имеет возможности влиять на принятие решений исполнительными органами общества о заключении той или иной сделки и вынесении вопроса о ее одобрении на рассмотрение коллегиального органа. Значит, единственный постоянно доступный способ выйти из инвестиции – продать имеющийся финансовой актив. Однако и это способ обладает недостатками: активы могут иметь весьма разную ликвидность, а цены их в некоторых ситуациях могут не только не дать возможность зафиксировать какую-либо доходность, но и даже вернуть вложенные средства. В этой связи актуален вопрос об изменении формы инвестиций. В качестве примера рассмотрим акционерное общество.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>Для инвестора замена долевого участия долгом позволяет ограничить срок инвестирования и зафиксир</w:t>
      </w:r>
      <w:r w:rsidR="000A33BB">
        <w:rPr>
          <w:rFonts w:ascii="Times New Roman" w:hAnsi="Times New Roman" w:cs="Times New Roman"/>
        </w:rPr>
        <w:t>овать</w:t>
      </w:r>
      <w:r w:rsidRPr="00DB55F3">
        <w:rPr>
          <w:rFonts w:ascii="Times New Roman" w:hAnsi="Times New Roman" w:cs="Times New Roman"/>
        </w:rPr>
        <w:t xml:space="preserve"> сумму, подлежащую получению в будущем. Однако для самой компании такое изменение означает следующие последствия: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noBreakHyphen/>
        <w:t xml:space="preserve"> уменьшение уставного капитала;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noBreakHyphen/>
        <w:t xml:space="preserve"> рост долговой нагрузки;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noBreakHyphen/>
        <w:t xml:space="preserve"> падение чистых активов.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>Законом не предусмотрен механизм трансформации акций в долг. Однако подобного результат можно достичь путем комбинации ряда сделок, простейшая схема представляется следующим образом: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noBreakHyphen/>
        <w:t xml:space="preserve"> акционерное общество выкупает акции у инициатора трансформации, предусмотрев в соответствующем договоре отсрочку оплаты на период, советующ</w:t>
      </w:r>
      <w:r w:rsidR="000A33BB">
        <w:rPr>
          <w:rFonts w:ascii="Times New Roman" w:hAnsi="Times New Roman" w:cs="Times New Roman"/>
        </w:rPr>
        <w:t>ий</w:t>
      </w:r>
      <w:r w:rsidRPr="00DB55F3">
        <w:rPr>
          <w:rFonts w:ascii="Times New Roman" w:hAnsi="Times New Roman" w:cs="Times New Roman"/>
        </w:rPr>
        <w:t xml:space="preserve"> потребностям инициатора;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noBreakHyphen/>
        <w:t> акционерное общество, предприняв установленную законом попытку реализации акций, уменьшает свой уставный капитал на номинальную стоимость выкупленного пакета.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>Для акционера видится достаточное большое количество причин, по которым он может быть заинтересован в такого рода комбинации сделок: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noBreakHyphen/>
        <w:t> возможность безусловного планирования даты выхода из актива и получаемой суммы;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noBreakHyphen/>
        <w:t> независимость подлежащей получению суммы от результатов финансово-хозяйственной деятельности общества в период после осуществления трансформации;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noBreakHyphen/>
        <w:t xml:space="preserve"> прекращение ответственности, в том числе субсидиарной, за деятельность общества и ее результаты с момента трансформации;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softHyphen/>
      </w:r>
      <w:r w:rsidRPr="00DB55F3">
        <w:rPr>
          <w:rFonts w:ascii="Times New Roman" w:hAnsi="Times New Roman" w:cs="Times New Roman"/>
        </w:rPr>
        <w:noBreakHyphen/>
        <w:t> б</w:t>
      </w:r>
      <w:r w:rsidRPr="000A33BB">
        <w:rPr>
          <w:rFonts w:ascii="Times New Roman" w:hAnsi="Times New Roman" w:cs="Times New Roman"/>
          <w:b/>
        </w:rPr>
        <w:t>о</w:t>
      </w:r>
      <w:r w:rsidRPr="00DB55F3">
        <w:rPr>
          <w:rFonts w:ascii="Times New Roman" w:hAnsi="Times New Roman" w:cs="Times New Roman"/>
        </w:rPr>
        <w:t>льшая ликвидность прав требования по сравнению с миноритарным пакетом акций на случай возникновения потребности более раннего, чем планировалось, выхода из актива.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 xml:space="preserve">Значительно </w:t>
      </w:r>
      <w:r w:rsidR="00A46943" w:rsidRPr="00A46943">
        <w:rPr>
          <w:rFonts w:ascii="Times New Roman" w:hAnsi="Times New Roman" w:cs="Times New Roman"/>
        </w:rPr>
        <w:t>скуднее</w:t>
      </w:r>
      <w:r w:rsidRPr="00DB55F3">
        <w:rPr>
          <w:rFonts w:ascii="Times New Roman" w:hAnsi="Times New Roman" w:cs="Times New Roman"/>
        </w:rPr>
        <w:t xml:space="preserve"> представляется набор ситуаций, при которых рассматриваемая трансформация может быт интересна для акционерного общества: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noBreakHyphen/>
        <w:t> акционер занимает позиции, диаметрально расходящиеся с позициями основного акционера, а на выкуп акций в текущий момент средств нет;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lastRenderedPageBreak/>
        <w:noBreakHyphen/>
        <w:t> деловая репутация акционера может оказать негативное влияние на финансово-хозяйственную деятельность общества, а на выкуп акций, как и в предыдущем варианте, в текущий момент средств нет.</w:t>
      </w:r>
    </w:p>
    <w:p w:rsidR="00DB55F3" w:rsidRPr="00DB55F3" w:rsidRDefault="000A33BB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Таким образом</w:t>
      </w:r>
      <w:r w:rsidR="00DB55F3" w:rsidRPr="00DB55F3">
        <w:rPr>
          <w:rFonts w:ascii="Times New Roman" w:hAnsi="Times New Roman" w:cs="Times New Roman"/>
        </w:rPr>
        <w:t>, трансформация долевого участи</w:t>
      </w:r>
      <w:r>
        <w:rPr>
          <w:rFonts w:ascii="Times New Roman" w:hAnsi="Times New Roman" w:cs="Times New Roman"/>
        </w:rPr>
        <w:t>я</w:t>
      </w:r>
      <w:r w:rsidR="00DB55F3" w:rsidRPr="00DB55F3">
        <w:rPr>
          <w:rFonts w:ascii="Times New Roman" w:hAnsi="Times New Roman" w:cs="Times New Roman"/>
        </w:rPr>
        <w:t xml:space="preserve"> </w:t>
      </w:r>
      <w:r w:rsidR="00296A46">
        <w:rPr>
          <w:rFonts w:ascii="Times New Roman" w:hAnsi="Times New Roman" w:cs="Times New Roman"/>
        </w:rPr>
        <w:t xml:space="preserve">в </w:t>
      </w:r>
      <w:r w:rsidR="00DB55F3" w:rsidRPr="00DB55F3">
        <w:rPr>
          <w:rFonts w:ascii="Times New Roman" w:hAnsi="Times New Roman" w:cs="Times New Roman"/>
        </w:rPr>
        <w:t>задолжен</w:t>
      </w:r>
      <w:r>
        <w:rPr>
          <w:rFonts w:ascii="Times New Roman" w:hAnsi="Times New Roman" w:cs="Times New Roman"/>
        </w:rPr>
        <w:t>ность имеет целесообразность в достаточно</w:t>
      </w:r>
      <w:r w:rsidR="00DB55F3" w:rsidRPr="00DB55F3">
        <w:rPr>
          <w:rFonts w:ascii="Times New Roman" w:hAnsi="Times New Roman" w:cs="Times New Roman"/>
        </w:rPr>
        <w:t xml:space="preserve"> редких случаях. </w:t>
      </w:r>
      <w:r>
        <w:rPr>
          <w:rFonts w:ascii="Times New Roman" w:hAnsi="Times New Roman" w:cs="Times New Roman"/>
        </w:rPr>
        <w:t>Для обществ с ограниченной ответственностью ситуация примерно аналогичная. А вот в отношении инвестиционных паев ситуация иная: брать кредиты и займы за счет средств паевого инвестиционного фонда можно лишь в одном случае – как раз при недостаточности средств для осуществления выплаты лицу, предъявившему инвестиционные паи к погашению. Но в этой ситуации как таковая трансформация не произойдет: лицо, предъявившее требование о погашении, будет отлично от кредитора.</w:t>
      </w:r>
      <w:r w:rsidR="00DB55F3" w:rsidRPr="00DB55F3">
        <w:rPr>
          <w:rFonts w:ascii="Times New Roman" w:hAnsi="Times New Roman" w:cs="Times New Roman"/>
        </w:rPr>
        <w:t xml:space="preserve"> </w:t>
      </w:r>
    </w:p>
    <w:p w:rsidR="00DB55F3" w:rsidRPr="00DB55F3" w:rsidRDefault="00DB55F3" w:rsidP="00DB55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B55F3">
        <w:rPr>
          <w:rFonts w:ascii="Times New Roman" w:hAnsi="Times New Roman" w:cs="Times New Roman"/>
        </w:rPr>
        <w:t>При таких условиях процедуры трансформации долевого участи</w:t>
      </w:r>
      <w:r w:rsidR="000A33BB">
        <w:rPr>
          <w:rFonts w:ascii="Times New Roman" w:hAnsi="Times New Roman" w:cs="Times New Roman"/>
        </w:rPr>
        <w:t>я</w:t>
      </w:r>
      <w:r w:rsidRPr="00DB55F3">
        <w:rPr>
          <w:rFonts w:ascii="Times New Roman" w:hAnsi="Times New Roman" w:cs="Times New Roman"/>
        </w:rPr>
        <w:t xml:space="preserve"> в задолженность являются </w:t>
      </w:r>
      <w:r w:rsidR="000A33BB">
        <w:rPr>
          <w:rFonts w:ascii="Times New Roman" w:hAnsi="Times New Roman" w:cs="Times New Roman"/>
        </w:rPr>
        <w:t>мало востребованными</w:t>
      </w:r>
      <w:r w:rsidRPr="00DB55F3">
        <w:rPr>
          <w:rFonts w:ascii="Times New Roman" w:hAnsi="Times New Roman" w:cs="Times New Roman"/>
        </w:rPr>
        <w:t xml:space="preserve">. А вот </w:t>
      </w:r>
      <w:r w:rsidR="00296A46" w:rsidRPr="00DB55F3">
        <w:rPr>
          <w:rFonts w:ascii="Times New Roman" w:hAnsi="Times New Roman" w:cs="Times New Roman"/>
        </w:rPr>
        <w:t>обратные операции</w:t>
      </w:r>
      <w:r w:rsidRPr="00DB55F3">
        <w:rPr>
          <w:rFonts w:ascii="Times New Roman" w:hAnsi="Times New Roman" w:cs="Times New Roman"/>
        </w:rPr>
        <w:t>, предусматривающие трансформацию прав требования в разные формы долевого участия, широко распространены на практике и частично даже закреплены в действующем законодательстве.</w:t>
      </w:r>
    </w:p>
    <w:p w:rsidR="0089017E" w:rsidRDefault="00DB55F3" w:rsidP="00296A46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 w:rsidRPr="00DB55F3">
        <w:rPr>
          <w:rFonts w:ascii="Times New Roman" w:hAnsi="Times New Roman" w:cs="Times New Roman"/>
          <w:sz w:val="22"/>
        </w:rPr>
        <w:t>Рассмотрим варианты трансформации для каждого вида долевого участия. Начнем с акционерных обществ. Согласно принятым летом 2021 года изменениям в законодательство об акционерных обществах</w:t>
      </w:r>
      <w:r w:rsidR="000A33BB">
        <w:rPr>
          <w:rFonts w:ascii="Times New Roman" w:hAnsi="Times New Roman" w:cs="Times New Roman"/>
          <w:sz w:val="22"/>
        </w:rPr>
        <w:t xml:space="preserve"> и ценных бумагах</w:t>
      </w:r>
      <w:r w:rsidRPr="00DB55F3">
        <w:rPr>
          <w:rFonts w:ascii="Times New Roman" w:hAnsi="Times New Roman" w:cs="Times New Roman"/>
          <w:sz w:val="22"/>
        </w:rPr>
        <w:t>,</w:t>
      </w:r>
      <w:r w:rsidR="0089017E">
        <w:rPr>
          <w:rFonts w:ascii="Times New Roman" w:hAnsi="Times New Roman" w:cs="Times New Roman"/>
          <w:sz w:val="22"/>
        </w:rPr>
        <w:t xml:space="preserve"> установлена особая форма заимствования </w:t>
      </w:r>
      <w:r w:rsidR="0089017E">
        <w:rPr>
          <w:rFonts w:ascii="Times New Roman" w:hAnsi="Times New Roman" w:cs="Times New Roman"/>
          <w:sz w:val="22"/>
        </w:rPr>
        <w:noBreakHyphen/>
        <w:t xml:space="preserve"> к</w:t>
      </w:r>
      <w:r w:rsidR="00296A46" w:rsidRPr="0089017E">
        <w:rPr>
          <w:rFonts w:ascii="Times New Roman" w:hAnsi="Times New Roman" w:cs="Times New Roman"/>
          <w:sz w:val="22"/>
        </w:rPr>
        <w:t>онвертируем</w:t>
      </w:r>
      <w:r w:rsidR="0089017E">
        <w:rPr>
          <w:rFonts w:ascii="Times New Roman" w:hAnsi="Times New Roman" w:cs="Times New Roman"/>
          <w:sz w:val="22"/>
        </w:rPr>
        <w:t>ый</w:t>
      </w:r>
      <w:r w:rsidR="00296A46" w:rsidRPr="0089017E">
        <w:rPr>
          <w:rFonts w:ascii="Times New Roman" w:hAnsi="Times New Roman" w:cs="Times New Roman"/>
          <w:sz w:val="22"/>
        </w:rPr>
        <w:t xml:space="preserve"> </w:t>
      </w:r>
      <w:proofErr w:type="spellStart"/>
      <w:r w:rsidR="00296A46" w:rsidRPr="0089017E">
        <w:rPr>
          <w:rFonts w:ascii="Times New Roman" w:hAnsi="Times New Roman" w:cs="Times New Roman"/>
          <w:sz w:val="22"/>
        </w:rPr>
        <w:t>займ</w:t>
      </w:r>
      <w:proofErr w:type="spellEnd"/>
      <w:r w:rsidR="0089017E">
        <w:rPr>
          <w:rFonts w:ascii="Times New Roman" w:hAnsi="Times New Roman" w:cs="Times New Roman"/>
          <w:sz w:val="22"/>
        </w:rPr>
        <w:t xml:space="preserve">. В погашение задолженности по такому займу кредитор может потребовать </w:t>
      </w:r>
      <w:r w:rsidR="00E21BC4">
        <w:rPr>
          <w:rFonts w:ascii="Times New Roman" w:hAnsi="Times New Roman" w:cs="Times New Roman"/>
          <w:sz w:val="22"/>
        </w:rPr>
        <w:t xml:space="preserve">разместить </w:t>
      </w:r>
      <w:r w:rsidR="0089017E">
        <w:rPr>
          <w:rFonts w:ascii="Times New Roman" w:hAnsi="Times New Roman" w:cs="Times New Roman"/>
          <w:sz w:val="22"/>
        </w:rPr>
        <w:t xml:space="preserve">ему акции компании на </w:t>
      </w:r>
      <w:r w:rsidR="00E21BC4">
        <w:rPr>
          <w:rFonts w:ascii="Times New Roman" w:hAnsi="Times New Roman" w:cs="Times New Roman"/>
          <w:sz w:val="22"/>
        </w:rPr>
        <w:t>соответствующую</w:t>
      </w:r>
      <w:r w:rsidR="0089017E">
        <w:rPr>
          <w:rFonts w:ascii="Times New Roman" w:hAnsi="Times New Roman" w:cs="Times New Roman"/>
          <w:sz w:val="22"/>
        </w:rPr>
        <w:t xml:space="preserve"> сумму. Закон опре</w:t>
      </w:r>
      <w:r w:rsidR="00E21BC4">
        <w:rPr>
          <w:rFonts w:ascii="Times New Roman" w:hAnsi="Times New Roman" w:cs="Times New Roman"/>
          <w:sz w:val="22"/>
        </w:rPr>
        <w:t>де</w:t>
      </w:r>
      <w:r w:rsidR="0089017E">
        <w:rPr>
          <w:rFonts w:ascii="Times New Roman" w:hAnsi="Times New Roman" w:cs="Times New Roman"/>
          <w:sz w:val="22"/>
        </w:rPr>
        <w:t xml:space="preserve">ляет, что такой </w:t>
      </w:r>
      <w:proofErr w:type="spellStart"/>
      <w:r w:rsidR="0089017E">
        <w:rPr>
          <w:rFonts w:ascii="Times New Roman" w:hAnsi="Times New Roman" w:cs="Times New Roman"/>
          <w:sz w:val="22"/>
        </w:rPr>
        <w:t>займ</w:t>
      </w:r>
      <w:proofErr w:type="spellEnd"/>
      <w:r w:rsidR="0089017E">
        <w:rPr>
          <w:rFonts w:ascii="Times New Roman" w:hAnsi="Times New Roman" w:cs="Times New Roman"/>
          <w:sz w:val="22"/>
        </w:rPr>
        <w:t xml:space="preserve"> возмо</w:t>
      </w:r>
      <w:r w:rsidR="00E21BC4">
        <w:rPr>
          <w:rFonts w:ascii="Times New Roman" w:hAnsi="Times New Roman" w:cs="Times New Roman"/>
          <w:sz w:val="22"/>
        </w:rPr>
        <w:t>ж</w:t>
      </w:r>
      <w:r w:rsidR="0089017E">
        <w:rPr>
          <w:rFonts w:ascii="Times New Roman" w:hAnsi="Times New Roman" w:cs="Times New Roman"/>
          <w:sz w:val="22"/>
        </w:rPr>
        <w:t>ен</w:t>
      </w:r>
      <w:r w:rsidR="00E21BC4">
        <w:rPr>
          <w:rFonts w:ascii="Times New Roman" w:hAnsi="Times New Roman" w:cs="Times New Roman"/>
          <w:sz w:val="22"/>
        </w:rPr>
        <w:t xml:space="preserve"> только для непубличных обществ, а также из возможного списка эмитентов таких акций исключаются финансовые и стратегические организации, а также созданные в результате приватизации акционерные общества, где доля государства или муниципалитета в капитале превышает 25%.</w:t>
      </w:r>
      <w:r w:rsidR="0098796C">
        <w:rPr>
          <w:rFonts w:ascii="Times New Roman" w:hAnsi="Times New Roman" w:cs="Times New Roman"/>
          <w:sz w:val="22"/>
        </w:rPr>
        <w:t xml:space="preserve"> Договор может содержать указание на дополнительные основания для возникновения права требования выпус</w:t>
      </w:r>
      <w:r w:rsidR="000A33BB">
        <w:rPr>
          <w:rFonts w:ascii="Times New Roman" w:hAnsi="Times New Roman" w:cs="Times New Roman"/>
          <w:sz w:val="22"/>
        </w:rPr>
        <w:t>тить</w:t>
      </w:r>
      <w:r w:rsidR="0098796C">
        <w:rPr>
          <w:rFonts w:ascii="Times New Roman" w:hAnsi="Times New Roman" w:cs="Times New Roman"/>
          <w:sz w:val="22"/>
        </w:rPr>
        <w:t xml:space="preserve"> акци</w:t>
      </w:r>
      <w:r w:rsidR="000A33BB">
        <w:rPr>
          <w:rFonts w:ascii="Times New Roman" w:hAnsi="Times New Roman" w:cs="Times New Roman"/>
          <w:sz w:val="22"/>
        </w:rPr>
        <w:t>и</w:t>
      </w:r>
      <w:r w:rsidR="0098796C">
        <w:rPr>
          <w:rFonts w:ascii="Times New Roman" w:hAnsi="Times New Roman" w:cs="Times New Roman"/>
          <w:sz w:val="22"/>
        </w:rPr>
        <w:t>.</w:t>
      </w:r>
    </w:p>
    <w:p w:rsidR="00B8075C" w:rsidRDefault="001C4211" w:rsidP="00296A46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Законом предусмотрено, что в общем случае при переходе прав требования по такому договору к новому кредитору, право требовать размещения ему акций у последнего не возникает. Очевидно, это связано с сохранением у текущий бенефициаров организации возможности избирательно подходить к выбору новых партнеров.</w:t>
      </w:r>
      <w:r w:rsidR="00B8075C">
        <w:rPr>
          <w:rFonts w:ascii="Times New Roman" w:hAnsi="Times New Roman" w:cs="Times New Roman"/>
          <w:sz w:val="22"/>
        </w:rPr>
        <w:t xml:space="preserve"> Вообще, заключение такого рода займов, вне зависимости от их размеров, относится к компетенции общего собрания </w:t>
      </w:r>
      <w:r w:rsidR="000A33BB">
        <w:rPr>
          <w:rFonts w:ascii="Times New Roman" w:hAnsi="Times New Roman" w:cs="Times New Roman"/>
          <w:sz w:val="22"/>
        </w:rPr>
        <w:t xml:space="preserve">акционеров </w:t>
      </w:r>
      <w:r w:rsidR="00B8075C">
        <w:rPr>
          <w:rFonts w:ascii="Times New Roman" w:hAnsi="Times New Roman" w:cs="Times New Roman"/>
          <w:sz w:val="22"/>
        </w:rPr>
        <w:t>и требует их единогласного одобрения.</w:t>
      </w:r>
      <w:r w:rsidR="000A33BB">
        <w:rPr>
          <w:rFonts w:ascii="Times New Roman" w:hAnsi="Times New Roman" w:cs="Times New Roman"/>
          <w:sz w:val="22"/>
        </w:rPr>
        <w:t xml:space="preserve"> Также определено, что договор займа должен быть заключен до принятия решения о дополнительной эмиссии – то есть, в некоторой мере, компания защищена законом от </w:t>
      </w:r>
      <w:proofErr w:type="spellStart"/>
      <w:r w:rsidR="000A33BB">
        <w:rPr>
          <w:rFonts w:ascii="Times New Roman" w:hAnsi="Times New Roman" w:cs="Times New Roman"/>
          <w:sz w:val="22"/>
        </w:rPr>
        <w:t>рейдерства</w:t>
      </w:r>
      <w:proofErr w:type="spellEnd"/>
      <w:r w:rsidR="000A33BB">
        <w:rPr>
          <w:rFonts w:ascii="Times New Roman" w:hAnsi="Times New Roman" w:cs="Times New Roman"/>
          <w:sz w:val="22"/>
        </w:rPr>
        <w:t xml:space="preserve"> посредством рассматриваемого механизма.</w:t>
      </w:r>
    </w:p>
    <w:p w:rsidR="000A33BB" w:rsidRDefault="000A33BB" w:rsidP="00296A46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Тем же законом, котором было введено понятие конвертируемого в акции займа, в законодательство об обществах с ограниченной ответственностью введено описание увеличение уставного капитала общества с ограниченной ответственностью во исполнение договора конвертируемого займа. Механизм аналогичен вышеописанному механизму для конвертируемых акций. Соответствующий договор займа должен быть нотариально удостоверен.</w:t>
      </w:r>
    </w:p>
    <w:p w:rsidR="000A33BB" w:rsidRDefault="000A33BB" w:rsidP="00296A46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Кроме того, сведения о заключенных договорах конвертируемого займа вносятся в ЕГРЮЛ для обеспечения возможности контрагентов этих обществ обладать сведениями о предстоящих изменениях в структуре собственников компании, причем в отношении обществ с ограниченной ответственностью раскрывается даже сведения о том, с кем именно заключен соответствующий договор.</w:t>
      </w:r>
    </w:p>
    <w:p w:rsidR="000A33BB" w:rsidRDefault="000A33BB" w:rsidP="00296A46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lastRenderedPageBreak/>
        <w:t xml:space="preserve">А вот в отношении инвестиционных паев паевых инвестиционных фондов ситуация опять совершенно иная: особого механизма для трансформации законом не предусмотрено. С одной стороны, это не является препятствием для совершения такого рода сделок. Но, с другой стороны, закон определяет, что </w:t>
      </w:r>
      <w:proofErr w:type="spellStart"/>
      <w:r>
        <w:rPr>
          <w:rFonts w:ascii="Times New Roman" w:hAnsi="Times New Roman" w:cs="Times New Roman"/>
          <w:sz w:val="22"/>
        </w:rPr>
        <w:t>займ</w:t>
      </w:r>
      <w:proofErr w:type="spellEnd"/>
      <w:r>
        <w:rPr>
          <w:rFonts w:ascii="Times New Roman" w:hAnsi="Times New Roman" w:cs="Times New Roman"/>
          <w:sz w:val="22"/>
        </w:rPr>
        <w:t xml:space="preserve"> можно взять только в случае, если средств не хватает на погашение предъявленных к погашению паев, не более чем на 6 месяцев и на сумму не более, чем пятая часть от чистых активов. Если скомбинировать соблюдение этих условий и требований, определяемых правилами доверительного управления фондом, и приобрести паи в срок, когда истечет договор займа, останется еще вопрос предварительного определения цены паев, ведь при их выпуске она определяется исходя из постоянно изменяющейся стоимости чистых активов паевого инвестиционного фонда.</w:t>
      </w:r>
    </w:p>
    <w:p w:rsidR="000A33BB" w:rsidRDefault="000A33BB" w:rsidP="00296A46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Исходя из вышесказанного, представляется, что широкое распространение взаимной трансформации долевого и долгового капитала невозможно. Однако однонаправленные конвертации займов в акции и доли не только применяются на практике, но и отдельно закреплены в действующем законодательстве. </w:t>
      </w:r>
    </w:p>
    <w:p w:rsidR="000A33BB" w:rsidRDefault="000A33BB" w:rsidP="00296A46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Какое влияние такого рода сделки могут оказать на экономическое развитие региона?</w:t>
      </w:r>
    </w:p>
    <w:p w:rsidR="000A33BB" w:rsidRDefault="000A33BB" w:rsidP="00296A46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Что касается конвертируемых займов, по нашему мнению, их применение может обеспечить дополнительный приток средств в экономику региона. Так, в ситуациях, когда инвестор не в полной мере готов вступить в бизнес и принять на себя риски управления в обмен на перспективную прибыль, применение механизма конвертируемого займа дает ему удобную возможность присмотреться к бизнесу, при этом компания уже в момент начала этих взаимоотношений получает необходимые денежные ресурсы, одновременно получая возможность в случае, если финансовое положение не будет позволять в срок погасить </w:t>
      </w:r>
      <w:proofErr w:type="spellStart"/>
      <w:r>
        <w:rPr>
          <w:rFonts w:ascii="Times New Roman" w:hAnsi="Times New Roman" w:cs="Times New Roman"/>
          <w:sz w:val="22"/>
        </w:rPr>
        <w:t>займ</w:t>
      </w:r>
      <w:proofErr w:type="spellEnd"/>
      <w:r>
        <w:rPr>
          <w:rFonts w:ascii="Times New Roman" w:hAnsi="Times New Roman" w:cs="Times New Roman"/>
          <w:sz w:val="22"/>
        </w:rPr>
        <w:t>, рассчитывать на то, что кредитор пойдет навстречу и инициирует погашение в виде эмиссии ему акций или увеличения уставного капитала общества с ограниченной ответственностью и передачи ему соответствующей доли.</w:t>
      </w:r>
    </w:p>
    <w:p w:rsidR="000A33BB" w:rsidRDefault="000A33BB" w:rsidP="000A33BB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А что может дать региону трансформация по сути бессрочных инвестиций, ранее сделанных в располагающиеся на территории организации, в задолженность, имеющую четкие сроки погашения, да еще и предполагающую обслуживание долга? Представляется, что даже такое на первый взгляд отрицательное для региона явление, связанное с выводов денег из его экономики, в ряде случаев является оптимальным выходом из некоторых сложных ситуаций. Так, инвестор, по тем или иным причинам имеющий потребность выйти из инвестиции, может инициировать активную, публичную продажу своего пакета акций, в том числе с дисконтом к его рыночной стоимости. Для компаний, в которой большое количество акционеров, это может привести к панике среди них и последующей массовой продаже акций. При некоторых обстоятельствах такое поведение акционеров может насторожить и озадачить контрагентов компании, которые, столкнувшись с некоторой нездоровой активностью, могут начать уклоняться от сотрудничества. Иной возможный сценарий поведения акционера – агрессивная реализация своих прав, которая будет выражаться в блокировке корпоративных решений, чрезмерной контрольной активности и иных действий, направленных на максимальное затруднение функционирования общества. Полагаем, что заключение в таких случаях соглашения о трансформации актива и погашение возникшей задолженности в сроки, соответствующие потребностям акционера / учредителя и возможностям общества, является хорошим выходов из сложной ситуации.</w:t>
      </w:r>
    </w:p>
    <w:p w:rsidR="000A33BB" w:rsidRDefault="000A33BB" w:rsidP="000A33BB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Таким образом, рассмотренные механизмы трансформации долевого и долгового капитала вносят свой вклад в финансирование территорий, обогащая инструментарий </w:t>
      </w:r>
      <w:r>
        <w:rPr>
          <w:rFonts w:ascii="Times New Roman" w:hAnsi="Times New Roman" w:cs="Times New Roman"/>
          <w:sz w:val="22"/>
        </w:rPr>
        <w:lastRenderedPageBreak/>
        <w:t>перераспределения финансовых ресурсов между теми, у кого они временно свободны тем, кому они нужны в настоящий момент для осуществления активной финансово-хозяйственной деятельности и, соответственно, стимуляции экономического роста.</w:t>
      </w:r>
    </w:p>
    <w:p w:rsidR="000A33BB" w:rsidRDefault="000A33BB" w:rsidP="000A33BB">
      <w:pPr>
        <w:pStyle w:val="ConsPlusNormal"/>
        <w:ind w:firstLine="540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 </w:t>
      </w:r>
    </w:p>
    <w:p w:rsidR="000A33BB" w:rsidRDefault="000A33BB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</w:p>
    <w:p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:rsidR="00A72C40" w:rsidRPr="00A72C40" w:rsidRDefault="00A72C40" w:rsidP="00A72C4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72C40">
        <w:rPr>
          <w:rFonts w:ascii="Times New Roman" w:eastAsia="Calibri" w:hAnsi="Times New Roman" w:cs="Times New Roman"/>
        </w:rPr>
        <w:t xml:space="preserve">Антонов, В. Д. Альтернативные источники финансирования предпринимательской деятельности / В. Д. Антонов // XXXVII неделя науки </w:t>
      </w:r>
      <w:proofErr w:type="gramStart"/>
      <w:r w:rsidRPr="00A72C40">
        <w:rPr>
          <w:rFonts w:ascii="Times New Roman" w:eastAsia="Calibri" w:hAnsi="Times New Roman" w:cs="Times New Roman"/>
        </w:rPr>
        <w:t>МГТУ :</w:t>
      </w:r>
      <w:proofErr w:type="gramEnd"/>
      <w:r w:rsidRPr="00A72C40">
        <w:rPr>
          <w:rFonts w:ascii="Times New Roman" w:eastAsia="Calibri" w:hAnsi="Times New Roman" w:cs="Times New Roman"/>
        </w:rPr>
        <w:t xml:space="preserve"> Материалы конфер</w:t>
      </w:r>
      <w:bookmarkStart w:id="1" w:name="_GoBack"/>
      <w:bookmarkEnd w:id="1"/>
      <w:r w:rsidRPr="00A72C40">
        <w:rPr>
          <w:rFonts w:ascii="Times New Roman" w:eastAsia="Calibri" w:hAnsi="Times New Roman" w:cs="Times New Roman"/>
        </w:rPr>
        <w:t>енций, Майкоп, 04–08 декабря 2019 года. – Майкоп: Индивидуальный предприниматель Кучеренко Вячеслав Олегович, 2019. – С. 17-21. – EDN LQLDCF.</w:t>
      </w:r>
    </w:p>
    <w:p w:rsidR="00A72C40" w:rsidRPr="00A72C40" w:rsidRDefault="00A72C40" w:rsidP="00A72C4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A72C40">
        <w:rPr>
          <w:rFonts w:ascii="Times New Roman" w:eastAsia="Calibri" w:hAnsi="Times New Roman" w:cs="Times New Roman"/>
        </w:rPr>
        <w:t>Гаримова</w:t>
      </w:r>
      <w:proofErr w:type="spellEnd"/>
      <w:r w:rsidRPr="00A72C40">
        <w:rPr>
          <w:rFonts w:ascii="Times New Roman" w:eastAsia="Calibri" w:hAnsi="Times New Roman" w:cs="Times New Roman"/>
        </w:rPr>
        <w:t xml:space="preserve">, П. А. Долговое и долевое финансирование российских организаций: выбор или замена? / П. А. </w:t>
      </w:r>
      <w:proofErr w:type="spellStart"/>
      <w:r w:rsidRPr="00A72C40">
        <w:rPr>
          <w:rFonts w:ascii="Times New Roman" w:eastAsia="Calibri" w:hAnsi="Times New Roman" w:cs="Times New Roman"/>
        </w:rPr>
        <w:t>Гаримова</w:t>
      </w:r>
      <w:proofErr w:type="spellEnd"/>
      <w:r w:rsidRPr="00A72C40">
        <w:rPr>
          <w:rFonts w:ascii="Times New Roman" w:eastAsia="Calibri" w:hAnsi="Times New Roman" w:cs="Times New Roman"/>
        </w:rPr>
        <w:t xml:space="preserve">, А. В. </w:t>
      </w:r>
      <w:proofErr w:type="spellStart"/>
      <w:r w:rsidRPr="00A72C40">
        <w:rPr>
          <w:rFonts w:ascii="Times New Roman" w:eastAsia="Calibri" w:hAnsi="Times New Roman" w:cs="Times New Roman"/>
        </w:rPr>
        <w:t>Ложникова</w:t>
      </w:r>
      <w:proofErr w:type="spellEnd"/>
      <w:r w:rsidRPr="00A72C40">
        <w:rPr>
          <w:rFonts w:ascii="Times New Roman" w:eastAsia="Calibri" w:hAnsi="Times New Roman" w:cs="Times New Roman"/>
        </w:rPr>
        <w:t xml:space="preserve"> // Велес. – 2016. – № 9-1(39). – С. 131-135. – EDN WYBPWF.</w:t>
      </w:r>
    </w:p>
    <w:p w:rsidR="00A72C40" w:rsidRPr="00A72C40" w:rsidRDefault="00A72C40" w:rsidP="00A72C4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A72C40">
        <w:rPr>
          <w:rFonts w:ascii="Times New Roman" w:eastAsia="Calibri" w:hAnsi="Times New Roman" w:cs="Times New Roman"/>
        </w:rPr>
        <w:t>Запорожан</w:t>
      </w:r>
      <w:proofErr w:type="spellEnd"/>
      <w:r w:rsidRPr="00A72C40">
        <w:rPr>
          <w:rFonts w:ascii="Times New Roman" w:eastAsia="Calibri" w:hAnsi="Times New Roman" w:cs="Times New Roman"/>
        </w:rPr>
        <w:t xml:space="preserve">, А. Я. Конвертация долгов в акции / А. Я. </w:t>
      </w:r>
      <w:proofErr w:type="spellStart"/>
      <w:r w:rsidRPr="00A72C40">
        <w:rPr>
          <w:rFonts w:ascii="Times New Roman" w:eastAsia="Calibri" w:hAnsi="Times New Roman" w:cs="Times New Roman"/>
        </w:rPr>
        <w:t>Запорожан</w:t>
      </w:r>
      <w:proofErr w:type="spellEnd"/>
      <w:r w:rsidRPr="00A72C40">
        <w:rPr>
          <w:rFonts w:ascii="Times New Roman" w:eastAsia="Calibri" w:hAnsi="Times New Roman" w:cs="Times New Roman"/>
        </w:rPr>
        <w:t xml:space="preserve"> // Управленческое консультирование. – 2006. – № 3(23). – С. 131-140. – EDN KVQJBH.</w:t>
      </w:r>
    </w:p>
    <w:p w:rsidR="00A72C40" w:rsidRPr="00A72C40" w:rsidRDefault="00A72C40" w:rsidP="00A72C4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72C40">
        <w:rPr>
          <w:rFonts w:ascii="Times New Roman" w:eastAsia="Calibri" w:hAnsi="Times New Roman" w:cs="Times New Roman"/>
        </w:rPr>
        <w:t xml:space="preserve">Качалова, А. В. Договор конвертируемого займа / А. В. Качалова // Вестник Университета имени О.Е. </w:t>
      </w:r>
      <w:proofErr w:type="spellStart"/>
      <w:r w:rsidRPr="00A72C40">
        <w:rPr>
          <w:rFonts w:ascii="Times New Roman" w:eastAsia="Calibri" w:hAnsi="Times New Roman" w:cs="Times New Roman"/>
        </w:rPr>
        <w:t>Кутафина</w:t>
      </w:r>
      <w:proofErr w:type="spellEnd"/>
      <w:r w:rsidRPr="00A72C40">
        <w:rPr>
          <w:rFonts w:ascii="Times New Roman" w:eastAsia="Calibri" w:hAnsi="Times New Roman" w:cs="Times New Roman"/>
        </w:rPr>
        <w:t xml:space="preserve"> (МГЮА). – 2021. – № 11(87). – С. 206-215. – DOI 10.17803/2311-5998.2021.87.11.206-215. – EDN AZSZVO.</w:t>
      </w:r>
    </w:p>
    <w:p w:rsidR="00A72C40" w:rsidRPr="00A72C40" w:rsidRDefault="00A72C40" w:rsidP="00744B7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72C40">
        <w:rPr>
          <w:rFonts w:ascii="Times New Roman" w:eastAsia="Calibri" w:hAnsi="Times New Roman" w:cs="Times New Roman"/>
        </w:rPr>
        <w:t>Мальчиков, А. С. Правовая природа конвертации облигаций / А. С. Мальчиков // Актуальные проблемы российского права. – 2007. – № 2(5). – С. 178-185. – EDN IIWZPV.</w:t>
      </w:r>
    </w:p>
    <w:sectPr w:rsidR="00A72C40" w:rsidRPr="00A72C40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3E96" w:rsidRDefault="00F33E96" w:rsidP="00827E82">
      <w:pPr>
        <w:spacing w:after="0" w:line="240" w:lineRule="auto"/>
      </w:pPr>
      <w:r>
        <w:separator/>
      </w:r>
    </w:p>
  </w:endnote>
  <w:endnote w:type="continuationSeparator" w:id="0">
    <w:p w:rsidR="00F33E96" w:rsidRDefault="00F33E96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3E96" w:rsidRDefault="00F33E96" w:rsidP="00827E82">
      <w:pPr>
        <w:spacing w:after="0" w:line="240" w:lineRule="auto"/>
      </w:pPr>
      <w:r>
        <w:separator/>
      </w:r>
    </w:p>
  </w:footnote>
  <w:footnote w:type="continuationSeparator" w:id="0">
    <w:p w:rsidR="00F33E96" w:rsidRDefault="00F33E96" w:rsidP="00827E82">
      <w:pPr>
        <w:spacing w:after="0" w:line="240" w:lineRule="auto"/>
      </w:pPr>
      <w:r>
        <w:continuationSeparator/>
      </w:r>
    </w:p>
  </w:footnote>
  <w:footnote w:id="1">
    <w:p w:rsidR="00827E82" w:rsidRPr="00CA7DF7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DB55F3">
        <w:rPr>
          <w:rFonts w:ascii="Times New Roman" w:hAnsi="Times New Roman" w:cs="Times New Roman"/>
          <w:sz w:val="20"/>
          <w:szCs w:val="20"/>
        </w:rPr>
        <w:t>Скапенкер Олег Михайлович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DB55F3">
        <w:rPr>
          <w:rFonts w:ascii="Times New Roman" w:hAnsi="Times New Roman" w:cs="Times New Roman"/>
          <w:sz w:val="20"/>
          <w:szCs w:val="20"/>
        </w:rPr>
        <w:t>кандидат экономических наук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DB55F3">
        <w:rPr>
          <w:rFonts w:ascii="Times New Roman" w:hAnsi="Times New Roman" w:cs="Times New Roman"/>
          <w:sz w:val="20"/>
          <w:szCs w:val="20"/>
        </w:rPr>
        <w:t>главный эксперт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DB55F3">
        <w:rPr>
          <w:rFonts w:ascii="Times New Roman" w:hAnsi="Times New Roman" w:cs="Times New Roman"/>
          <w:sz w:val="20"/>
          <w:szCs w:val="20"/>
        </w:rPr>
        <w:t>ООО «РТ-Капитал»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</w:t>
      </w:r>
      <w:r w:rsidR="00DB55F3">
        <w:rPr>
          <w:rFonts w:ascii="Times New Roman" w:hAnsi="Times New Roman" w:cs="Times New Roman"/>
          <w:sz w:val="20"/>
          <w:szCs w:val="20"/>
        </w:rPr>
        <w:t>а</w:t>
      </w:r>
      <w:r w:rsidRPr="00CA7DF7">
        <w:rPr>
          <w:rFonts w:ascii="Times New Roman" w:hAnsi="Times New Roman" w:cs="Times New Roman"/>
          <w:sz w:val="20"/>
          <w:szCs w:val="20"/>
        </w:rPr>
        <w:t xml:space="preserve">дрес: </w:t>
      </w:r>
      <w:r w:rsidR="00DB55F3">
        <w:rPr>
          <w:rFonts w:ascii="Times New Roman" w:hAnsi="Times New Roman" w:cs="Times New Roman"/>
          <w:sz w:val="20"/>
          <w:szCs w:val="20"/>
        </w:rPr>
        <w:t>111673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DB55F3">
        <w:rPr>
          <w:rFonts w:ascii="Times New Roman" w:hAnsi="Times New Roman" w:cs="Times New Roman"/>
          <w:sz w:val="20"/>
          <w:szCs w:val="20"/>
        </w:rPr>
        <w:t>Россия, Москва,</w:t>
      </w:r>
      <w:r w:rsidRPr="00CA7DF7">
        <w:rPr>
          <w:rFonts w:ascii="Times New Roman" w:hAnsi="Times New Roman" w:cs="Times New Roman"/>
          <w:sz w:val="20"/>
          <w:szCs w:val="20"/>
        </w:rPr>
        <w:t xml:space="preserve"> ул. </w:t>
      </w:r>
      <w:proofErr w:type="spellStart"/>
      <w:r w:rsidR="00DB55F3">
        <w:rPr>
          <w:rFonts w:ascii="Times New Roman" w:hAnsi="Times New Roman" w:cs="Times New Roman"/>
          <w:sz w:val="20"/>
          <w:szCs w:val="20"/>
        </w:rPr>
        <w:t>Новокосинская</w:t>
      </w:r>
      <w:proofErr w:type="spellEnd"/>
      <w:r w:rsidR="00DB55F3">
        <w:rPr>
          <w:rFonts w:ascii="Times New Roman" w:hAnsi="Times New Roman" w:cs="Times New Roman"/>
          <w:sz w:val="20"/>
          <w:szCs w:val="20"/>
        </w:rPr>
        <w:t>, д. 13,</w:t>
      </w:r>
      <w:r w:rsidRPr="00CA7DF7">
        <w:rPr>
          <w:rFonts w:ascii="Times New Roman" w:hAnsi="Times New Roman" w:cs="Times New Roman"/>
          <w:sz w:val="20"/>
          <w:szCs w:val="20"/>
        </w:rPr>
        <w:t xml:space="preserve"> E-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 w:rsidR="00DB55F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B55F3">
        <w:rPr>
          <w:rFonts w:ascii="Times New Roman" w:hAnsi="Times New Roman" w:cs="Times New Roman"/>
          <w:sz w:val="20"/>
          <w:szCs w:val="20"/>
          <w:lang w:val="en-US"/>
        </w:rPr>
        <w:t>o_skapenker</w:t>
      </w:r>
      <w:proofErr w:type="spellEnd"/>
      <w:r w:rsidR="00DB55F3">
        <w:rPr>
          <w:rFonts w:ascii="Times New Roman" w:hAnsi="Times New Roman" w:cs="Times New Roman"/>
          <w:sz w:val="20"/>
          <w:szCs w:val="20"/>
          <w:lang w:val="en-US"/>
        </w:rPr>
        <w:t>@</w:t>
      </w:r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93BEC"/>
    <w:rsid w:val="000A33BB"/>
    <w:rsid w:val="001C4211"/>
    <w:rsid w:val="002928FB"/>
    <w:rsid w:val="00296A46"/>
    <w:rsid w:val="0044325D"/>
    <w:rsid w:val="005F5AF9"/>
    <w:rsid w:val="00787640"/>
    <w:rsid w:val="007D79E0"/>
    <w:rsid w:val="00827E82"/>
    <w:rsid w:val="00854770"/>
    <w:rsid w:val="0089017E"/>
    <w:rsid w:val="00916BF7"/>
    <w:rsid w:val="0098796C"/>
    <w:rsid w:val="00A46943"/>
    <w:rsid w:val="00A72C40"/>
    <w:rsid w:val="00B8075C"/>
    <w:rsid w:val="00BC155A"/>
    <w:rsid w:val="00DB55F3"/>
    <w:rsid w:val="00E16321"/>
    <w:rsid w:val="00E21BC4"/>
    <w:rsid w:val="00EA4672"/>
    <w:rsid w:val="00F33E96"/>
    <w:rsid w:val="00F34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43AED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ConsPlusNormal">
    <w:name w:val="ConsPlusNormal"/>
    <w:rsid w:val="00DB55F3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296A46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bigtext">
    <w:name w:val="bigtext"/>
    <w:basedOn w:val="a"/>
    <w:rsid w:val="00A72C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elp">
    <w:name w:val="help"/>
    <w:basedOn w:val="a0"/>
    <w:rsid w:val="00A72C40"/>
  </w:style>
  <w:style w:type="character" w:customStyle="1" w:styleId="help1">
    <w:name w:val="help1"/>
    <w:basedOn w:val="a0"/>
    <w:rsid w:val="00A72C40"/>
  </w:style>
  <w:style w:type="character" w:styleId="a4">
    <w:name w:val="Hyperlink"/>
    <w:basedOn w:val="a0"/>
    <w:uiPriority w:val="99"/>
    <w:semiHidden/>
    <w:unhideWhenUsed/>
    <w:rsid w:val="00A72C4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63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75070">
          <w:marLeft w:val="30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55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77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26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48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5D4116-E482-48BC-9EB5-4D6DA4668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5</Pages>
  <Words>2047</Words>
  <Characters>11669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Скапенкер Олег Михайлович</cp:lastModifiedBy>
  <cp:revision>3</cp:revision>
  <dcterms:created xsi:type="dcterms:W3CDTF">2022-04-27T08:28:00Z</dcterms:created>
  <dcterms:modified xsi:type="dcterms:W3CDTF">2022-04-27T09:45:00Z</dcterms:modified>
</cp:coreProperties>
</file>