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6D" w:rsidRPr="00C73EB2" w:rsidRDefault="00FF366D" w:rsidP="00FF366D">
      <w:pPr>
        <w:tabs>
          <w:tab w:val="left" w:pos="6946"/>
        </w:tabs>
        <w:spacing w:after="0" w:line="240" w:lineRule="auto"/>
        <w:ind w:right="83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proofErr w:type="spellStart"/>
      <w:r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Румачик</w:t>
      </w:r>
      <w:proofErr w:type="spellEnd"/>
      <w:r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Н. А. </w:t>
      </w:r>
      <w:r w:rsidRPr="00C73EB2">
        <w:rPr>
          <w:rStyle w:val="aa"/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footnoteReference w:id="1"/>
      </w:r>
    </w:p>
    <w:p w:rsidR="007C4BE0" w:rsidRPr="00C73EB2" w:rsidRDefault="007C4BE0" w:rsidP="00292BF9">
      <w:pPr>
        <w:tabs>
          <w:tab w:val="left" w:pos="6946"/>
        </w:tabs>
        <w:spacing w:after="0" w:line="240" w:lineRule="auto"/>
        <w:ind w:right="83"/>
        <w:jc w:val="right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Вальков М. А.</w:t>
      </w:r>
      <w:r w:rsidRPr="00C73EB2">
        <w:rPr>
          <w:rStyle w:val="aa"/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footnoteReference w:id="2"/>
      </w:r>
    </w:p>
    <w:p w:rsidR="00326048" w:rsidRPr="00C73EB2" w:rsidRDefault="00326048" w:rsidP="00292BF9">
      <w:pPr>
        <w:tabs>
          <w:tab w:val="left" w:pos="6946"/>
        </w:tabs>
        <w:spacing w:after="0" w:line="360" w:lineRule="auto"/>
        <w:ind w:right="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</w:p>
    <w:p w:rsidR="00252C85" w:rsidRPr="00C73EB2" w:rsidRDefault="006F79DB" w:rsidP="00292BF9">
      <w:pPr>
        <w:tabs>
          <w:tab w:val="left" w:pos="6946"/>
        </w:tabs>
        <w:spacing w:after="0" w:line="360" w:lineRule="auto"/>
        <w:ind w:right="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Передислокация крупных государственных корпораций</w:t>
      </w:r>
      <w:r w:rsidR="00F07681"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как способ экономического </w:t>
      </w:r>
      <w:r w:rsidR="00252C85"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развития </w:t>
      </w:r>
      <w:r w:rsidR="00B143ED"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малых и средних городов</w:t>
      </w:r>
    </w:p>
    <w:p w:rsidR="00B20805" w:rsidRPr="00C73EB2" w:rsidRDefault="00B20805" w:rsidP="00292BF9">
      <w:pPr>
        <w:tabs>
          <w:tab w:val="left" w:pos="6946"/>
        </w:tabs>
        <w:spacing w:after="0" w:line="360" w:lineRule="auto"/>
        <w:ind w:right="83" w:firstLine="426"/>
        <w:jc w:val="center"/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  <w:lang w:eastAsia="ru-RU"/>
        </w:rPr>
      </w:pPr>
    </w:p>
    <w:p w:rsidR="003E6B40" w:rsidRPr="00C73EB2" w:rsidRDefault="00B20805" w:rsidP="00292BF9">
      <w:pPr>
        <w:tabs>
          <w:tab w:val="left" w:pos="6946"/>
        </w:tabs>
        <w:spacing w:after="0" w:line="247" w:lineRule="auto"/>
        <w:ind w:right="83" w:firstLine="426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Аннотация: 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в данной статье рассматривается вопрос </w:t>
      </w:r>
      <w:r w:rsidR="006F79DB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развития 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малых и средних городов России </w:t>
      </w:r>
      <w:r w:rsidR="000D57B7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при помощи </w:t>
      </w:r>
      <w:r w:rsidR="006F79DB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передислокации крупных государственных компаний.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 Анализируются основные </w:t>
      </w:r>
      <w:r w:rsidR="006F79DB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проблемы 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и предлагаются пути повышения экономической эффективности</w:t>
      </w:r>
      <w:r w:rsidR="006F79DB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 данных территорий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, которые могут быть реализованы в</w:t>
      </w:r>
      <w:r w:rsidR="006F79DB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о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 </w:t>
      </w:r>
      <w:r w:rsidR="006F79DB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всех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 </w:t>
      </w:r>
      <w:r w:rsidR="0068056E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субъектах</w:t>
      </w:r>
      <w:r w:rsidR="007F18B9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 Российской Федерации.  </w:t>
      </w:r>
    </w:p>
    <w:p w:rsidR="00B20805" w:rsidRPr="00C73EB2" w:rsidRDefault="00E43FFA" w:rsidP="00292BF9">
      <w:pPr>
        <w:tabs>
          <w:tab w:val="left" w:pos="6946"/>
        </w:tabs>
        <w:spacing w:after="0" w:line="247" w:lineRule="auto"/>
        <w:ind w:right="83" w:firstLine="426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>Ключевые слова:</w:t>
      </w:r>
      <w:r w:rsidR="000D57B7" w:rsidRPr="00C73EB2"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  <w:t xml:space="preserve"> модернизация, налоги, государственные корпорации, децентрализация, Москва. </w:t>
      </w:r>
    </w:p>
    <w:p w:rsidR="0068056E" w:rsidRPr="00C73EB2" w:rsidRDefault="0068056E" w:rsidP="00292BF9">
      <w:pPr>
        <w:tabs>
          <w:tab w:val="left" w:pos="6946"/>
        </w:tabs>
        <w:spacing w:after="0" w:line="247" w:lineRule="auto"/>
        <w:ind w:right="83" w:firstLine="426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</w:pPr>
    </w:p>
    <w:p w:rsidR="0068056E" w:rsidRPr="00C73EB2" w:rsidRDefault="0068056E" w:rsidP="00292BF9">
      <w:pPr>
        <w:tabs>
          <w:tab w:val="left" w:pos="6946"/>
        </w:tabs>
        <w:spacing w:after="0" w:line="252" w:lineRule="auto"/>
        <w:ind w:right="83" w:firstLine="425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kern w:val="1"/>
          <w:lang w:eastAsia="ru-RU"/>
        </w:rPr>
      </w:pPr>
    </w:p>
    <w:p w:rsidR="00C66878" w:rsidRPr="00C73EB2" w:rsidRDefault="003E6B40" w:rsidP="00292BF9">
      <w:pPr>
        <w:tabs>
          <w:tab w:val="left" w:pos="6946"/>
        </w:tabs>
        <w:spacing w:after="0" w:line="252" w:lineRule="auto"/>
        <w:ind w:right="83"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Наша страна является самым большим государством в мире. Площадь Российской Федерации составляет 17,1 млн. квадратных километров. Вполне логично, что чем больше территория, тем сложнее ею управлять. Для более совершенного способа у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правления все страны применяют метод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дифференциации – разделение целого на составные части. Государства делятся на области, штаты, края. Те</w:t>
      </w:r>
      <w:r w:rsidR="00321040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,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в свою очередь</w:t>
      </w:r>
      <w:r w:rsidR="00321040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,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подразделяются на города, районы, улицы. Но есть ли у данного способа недостатки? Очевидно, что да. В связи с разделением территории на части, возникает проблема разного экономического развития среди отдельных территорий. В Российской Федерации 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данный вопрос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стоит особенно остро</w:t>
      </w:r>
      <w:r w:rsidR="00C668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. Перечислим несколько фактов для подтверждения</w:t>
      </w:r>
      <w:r w:rsidR="001A37A9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предыдущего высказывания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, взяв для примера столицу </w:t>
      </w:r>
      <w:r w:rsidR="007276C5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нашего государства и сравним ее 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основные показ</w:t>
      </w:r>
      <w:r w:rsidR="007276C5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атели с городом</w:t>
      </w:r>
      <w:r w:rsidR="005E5F2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Буденновск</w:t>
      </w:r>
      <w:r w:rsidR="00C668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:</w:t>
      </w:r>
    </w:p>
    <w:p w:rsidR="00C66878" w:rsidRPr="00C73EB2" w:rsidRDefault="007276C5" w:rsidP="000F3AF3">
      <w:pPr>
        <w:pStyle w:val="ab"/>
        <w:numPr>
          <w:ilvl w:val="0"/>
          <w:numId w:val="7"/>
        </w:numPr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о</w:t>
      </w:r>
      <w:r w:rsidR="00C668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бщий объем доходов бюджета Москвы за 2021 год 2 642,7 млрд. руб.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="00C668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(</w:t>
      </w:r>
      <w:r w:rsidR="005E5F2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Буденновского муниципального округа – 4,4 млрд. руб.</w:t>
      </w:r>
      <w:r w:rsidR="00C668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)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[</w:t>
      </w:r>
      <w:r w:rsidR="003A29AD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5,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2]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; </w:t>
      </w:r>
    </w:p>
    <w:p w:rsidR="00BD5D12" w:rsidRPr="00C73EB2" w:rsidRDefault="007276C5" w:rsidP="000F3AF3">
      <w:pPr>
        <w:pStyle w:val="ab"/>
        <w:numPr>
          <w:ilvl w:val="0"/>
          <w:numId w:val="7"/>
        </w:numPr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ч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исленность Москвы на 2021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год – 12,6 млн. человек</w:t>
      </w:r>
      <w:r w:rsidR="00791E61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(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Буденновск</w:t>
      </w:r>
      <w:r w:rsidR="0002334F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–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60,5</w:t>
      </w:r>
      <w:r w:rsidR="0002334F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тыс. человек</w:t>
      </w:r>
      <w:r w:rsidR="00BD5D1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)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[</w:t>
      </w:r>
      <w:r w:rsidR="003A29AD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1,6</w:t>
      </w:r>
      <w:r w:rsidR="006A1E7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]</w:t>
      </w:r>
      <w:r w:rsidR="007966C0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;</w:t>
      </w:r>
    </w:p>
    <w:p w:rsidR="007966C0" w:rsidRPr="00C73EB2" w:rsidRDefault="007966C0" w:rsidP="000F3AF3">
      <w:pPr>
        <w:pStyle w:val="ab"/>
        <w:numPr>
          <w:ilvl w:val="0"/>
          <w:numId w:val="7"/>
        </w:numPr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количество зарегистрированных юридических лиц в Москве на 01.01.2021 – 426,</w:t>
      </w:r>
      <w:r w:rsidR="007F18B9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5 тыс. (</w:t>
      </w:r>
      <w:r w:rsidR="00AB5811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Буденновск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– </w:t>
      </w:r>
      <w:r w:rsidR="00AB5811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978</w:t>
      </w:r>
      <w:r w:rsidR="00AA41D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.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)</w:t>
      </w:r>
      <w:r w:rsidR="00AB5811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[</w:t>
      </w:r>
      <w:r w:rsidR="003A29AD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3, 4</w:t>
      </w:r>
      <w:r w:rsidR="00AB5811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]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.</w:t>
      </w:r>
    </w:p>
    <w:p w:rsidR="00FE29E6" w:rsidRPr="00C73EB2" w:rsidRDefault="00C73EB2" w:rsidP="000F3AF3">
      <w:pPr>
        <w:pStyle w:val="ab"/>
        <w:tabs>
          <w:tab w:val="left" w:pos="426"/>
        </w:tabs>
        <w:spacing w:after="0" w:line="252" w:lineRule="auto"/>
        <w:ind w:left="0" w:right="83"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Итоги данного анализа</w:t>
      </w:r>
      <w:r w:rsidR="00FE29E6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: доход бюджета столицы </w:t>
      </w:r>
      <w:r w:rsidR="00DC2AA5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в 600 </w:t>
      </w:r>
      <w:r w:rsidR="00FE29E6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раз превышает доход бюджета </w:t>
      </w:r>
      <w:r w:rsidR="00DC2AA5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Буденновска, в Москве проживает людей в 208</w:t>
      </w:r>
      <w:r w:rsidR="00FE29E6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раз больше, количество </w:t>
      </w:r>
      <w:r w:rsidR="00DC2AA5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юридических лиц сопоставимо с 436 городами Буденновск</w:t>
      </w:r>
      <w:r w:rsidR="00FE29E6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. </w:t>
      </w:r>
    </w:p>
    <w:p w:rsidR="00FE29E6" w:rsidRPr="00C73EB2" w:rsidRDefault="00FE29E6" w:rsidP="000F3AF3">
      <w:pPr>
        <w:pStyle w:val="ab"/>
        <w:tabs>
          <w:tab w:val="left" w:pos="426"/>
        </w:tabs>
        <w:spacing w:after="0" w:line="252" w:lineRule="auto"/>
        <w:ind w:left="0" w:right="83"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Может показаться, что это </w:t>
      </w:r>
      <w:r w:rsidR="00DC2AA5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Буденновск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имеет такие низкие показатели, но это не так. Москва производит 22 % ВВП Российской Федерации. Давайте перефразируем, один город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lastRenderedPageBreak/>
        <w:t>производит 1/5 ВВП всего государства (городов в нашей стране более 1000)</w:t>
      </w:r>
      <w:r w:rsidR="00AB5811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[7]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.</w:t>
      </w:r>
      <w:r w:rsidR="005E5F2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Для удобства классифицируем города по численности населения:</w:t>
      </w:r>
    </w:p>
    <w:p w:rsidR="005E5F28" w:rsidRPr="00C73EB2" w:rsidRDefault="005E5F28" w:rsidP="000F3AF3">
      <w:pPr>
        <w:pStyle w:val="ab"/>
        <w:numPr>
          <w:ilvl w:val="0"/>
          <w:numId w:val="3"/>
        </w:numPr>
        <w:tabs>
          <w:tab w:val="left" w:pos="0"/>
        </w:tabs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города-миллионеры – численность более 1 млн.;</w:t>
      </w:r>
    </w:p>
    <w:p w:rsidR="005E5F28" w:rsidRPr="00C73EB2" w:rsidRDefault="005E5F28" w:rsidP="000F3AF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right="83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 xml:space="preserve">крупнейшие города – от 500 тыс. до 1 млн.; </w:t>
      </w:r>
    </w:p>
    <w:p w:rsidR="005E5F28" w:rsidRPr="00C73EB2" w:rsidRDefault="005E5F28" w:rsidP="000F3AF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right="83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3EB2">
        <w:rPr>
          <w:rFonts w:ascii="Times New Roman" w:eastAsia="Times New Roman" w:hAnsi="Times New Roman" w:cs="Times New Roman"/>
          <w:lang w:eastAsia="ru-RU"/>
        </w:rPr>
        <w:t>крупные города – 200-500 тыс.;</w:t>
      </w:r>
    </w:p>
    <w:p w:rsidR="005E5F28" w:rsidRPr="00C73EB2" w:rsidRDefault="005E5F28" w:rsidP="000F3AF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right="83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3EB2">
        <w:rPr>
          <w:rFonts w:ascii="Times New Roman" w:eastAsia="Times New Roman" w:hAnsi="Times New Roman" w:cs="Times New Roman"/>
          <w:lang w:eastAsia="ru-RU"/>
        </w:rPr>
        <w:t>большие города – 100-200 тыс.;</w:t>
      </w:r>
    </w:p>
    <w:p w:rsidR="005E5F28" w:rsidRPr="00C73EB2" w:rsidRDefault="005E5F28" w:rsidP="000F3AF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right="83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3EB2">
        <w:rPr>
          <w:rFonts w:ascii="Times New Roman" w:eastAsia="Times New Roman" w:hAnsi="Times New Roman" w:cs="Times New Roman"/>
          <w:lang w:eastAsia="ru-RU"/>
        </w:rPr>
        <w:t>средние города – 50-100 тыс.;</w:t>
      </w:r>
    </w:p>
    <w:p w:rsidR="005E5F28" w:rsidRPr="00C73EB2" w:rsidRDefault="005E5F28" w:rsidP="000F3AF3">
      <w:pPr>
        <w:pStyle w:val="ab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right="83" w:firstLine="42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3EB2">
        <w:rPr>
          <w:rFonts w:ascii="Times New Roman" w:eastAsia="Times New Roman" w:hAnsi="Times New Roman" w:cs="Times New Roman"/>
          <w:lang w:eastAsia="ru-RU"/>
        </w:rPr>
        <w:t>малые города – менее 50 тыс.</w:t>
      </w:r>
    </w:p>
    <w:p w:rsidR="005E5F28" w:rsidRPr="00C73EB2" w:rsidRDefault="005E5F28" w:rsidP="000F3AF3">
      <w:pPr>
        <w:shd w:val="clear" w:color="auto" w:fill="FFFFFF"/>
        <w:tabs>
          <w:tab w:val="left" w:pos="0"/>
        </w:tabs>
        <w:spacing w:after="0" w:line="240" w:lineRule="auto"/>
        <w:ind w:right="83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3EB2">
        <w:rPr>
          <w:rFonts w:ascii="Times New Roman" w:eastAsia="Times New Roman" w:hAnsi="Times New Roman" w:cs="Times New Roman"/>
          <w:lang w:eastAsia="ru-RU"/>
        </w:rPr>
        <w:t>В рамках данной статьи мы рас</w:t>
      </w:r>
      <w:r w:rsidR="00DC2AA5" w:rsidRPr="00C73EB2">
        <w:rPr>
          <w:rFonts w:ascii="Times New Roman" w:eastAsia="Times New Roman" w:hAnsi="Times New Roman" w:cs="Times New Roman"/>
          <w:lang w:eastAsia="ru-RU"/>
        </w:rPr>
        <w:t>смотрим средние и малые города, по причине того, что в больших и крупных городах экономическая ситуация стабильнее и они являются более модернизированными по сравнению с малыми и средними.</w:t>
      </w:r>
    </w:p>
    <w:p w:rsidR="001E2259" w:rsidRPr="00C73EB2" w:rsidRDefault="001E2259" w:rsidP="000F3AF3">
      <w:pPr>
        <w:pStyle w:val="ab"/>
        <w:tabs>
          <w:tab w:val="left" w:pos="0"/>
        </w:tabs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Почему же получился такой большой экономический разрыв между Москвой и другими малыми и средними городами</w:t>
      </w:r>
      <w:r w:rsid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в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нашей ст</w:t>
      </w:r>
      <w:r w:rsid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ране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? Это происходит по ряду причин, </w:t>
      </w:r>
      <w:r w:rsid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но о</w:t>
      </w:r>
      <w:r w:rsidR="00925DCC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сновная </w:t>
      </w:r>
      <w:r w:rsid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из них -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налоговая система. </w:t>
      </w:r>
      <w:r w:rsidR="00925DCC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Рассмотри ее в разрезе.</w:t>
      </w:r>
    </w:p>
    <w:p w:rsidR="001E2259" w:rsidRPr="00C73EB2" w:rsidRDefault="001E2259" w:rsidP="000F3AF3">
      <w:pPr>
        <w:pStyle w:val="ab"/>
        <w:tabs>
          <w:tab w:val="left" w:pos="0"/>
        </w:tabs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А) НДФЛ. Малые и средние города должны платить не только городской налог</w:t>
      </w:r>
      <w:r w:rsid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, но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и региональный. В городскую казну при этом поступает 15% НДФЛ, в региональную 85%.   В Москве нет регионального налога, следовательно, 100% НДФЛ поступает в бюджет города. </w:t>
      </w:r>
    </w:p>
    <w:p w:rsidR="005E5F28" w:rsidRPr="00C73EB2" w:rsidRDefault="0098486F" w:rsidP="000F3AF3">
      <w:pPr>
        <w:pStyle w:val="ab"/>
        <w:tabs>
          <w:tab w:val="left" w:pos="0"/>
        </w:tabs>
        <w:spacing w:after="0" w:line="252" w:lineRule="auto"/>
        <w:ind w:left="0" w:right="83" w:firstLine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Б) Налог на прибыль организаций. Согласно Налоговому кодексу Российской Федерации, организации платят налоги по месту своей регистрации. Обратимся к данным РБК и отметим, что 8 из 10 крупнейших компании Российской Федерации зарегистрированы</w:t>
      </w:r>
      <w:r w:rsidR="00CD5782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в Москве (таблица 1).</w:t>
      </w:r>
    </w:p>
    <w:p w:rsidR="00CD5782" w:rsidRPr="00C73EB2" w:rsidRDefault="00CD5782" w:rsidP="00292BF9">
      <w:pPr>
        <w:pStyle w:val="ab"/>
        <w:tabs>
          <w:tab w:val="left" w:pos="6946"/>
        </w:tabs>
        <w:spacing w:after="0" w:line="252" w:lineRule="auto"/>
        <w:ind w:left="0" w:right="-1" w:firstLine="426"/>
        <w:jc w:val="center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</w:p>
    <w:p w:rsidR="00CD5782" w:rsidRPr="00C73EB2" w:rsidRDefault="00CD5782" w:rsidP="00292BF9">
      <w:pPr>
        <w:pStyle w:val="ab"/>
        <w:tabs>
          <w:tab w:val="left" w:pos="6946"/>
        </w:tabs>
        <w:spacing w:after="0" w:line="252" w:lineRule="auto"/>
        <w:ind w:left="0" w:right="-1" w:firstLine="426"/>
        <w:jc w:val="center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</w:p>
    <w:p w:rsidR="00CD5782" w:rsidRPr="00C73EB2" w:rsidRDefault="00CD5782" w:rsidP="00F07681">
      <w:pPr>
        <w:pStyle w:val="ab"/>
        <w:tabs>
          <w:tab w:val="left" w:pos="6946"/>
        </w:tabs>
        <w:spacing w:after="0" w:line="252" w:lineRule="auto"/>
        <w:ind w:left="0" w:right="-1"/>
        <w:jc w:val="center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Таблица 1. </w:t>
      </w:r>
      <w:r w:rsidRPr="00C73EB2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lang w:eastAsia="ru-RU"/>
        </w:rPr>
        <w:t>Рейтинг крупнейших по выручке компаний России</w:t>
      </w:r>
    </w:p>
    <w:tbl>
      <w:tblPr>
        <w:tblStyle w:val="ad"/>
        <w:tblW w:w="8217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913"/>
        <w:gridCol w:w="1914"/>
      </w:tblGrid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1913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Выручка</w:t>
            </w:r>
            <w:r w:rsidR="00CD5782"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, млрд. руб.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Прибыль, млрд. руб.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«Газпром»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6 322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135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«Роснефть»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5 423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147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«Лукойл»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5 195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15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«Сбербанк России»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3 413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761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«Российский железные дороги»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2 279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-54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</w:t>
            </w: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val="en-US" w:eastAsia="ru-RU"/>
              </w:rPr>
              <w:t>X5 Retail Group</w:t>
            </w: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1 978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28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</w:t>
            </w:r>
            <w:proofErr w:type="spellStart"/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Ростех</w:t>
            </w:r>
            <w:proofErr w:type="spellEnd"/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1 878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111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«Магнит»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1 554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33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«ВТБ»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1 369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81</w:t>
            </w:r>
          </w:p>
        </w:tc>
      </w:tr>
      <w:tr w:rsidR="0098486F" w:rsidRPr="00C73EB2" w:rsidTr="000F3AF3">
        <w:tc>
          <w:tcPr>
            <w:tcW w:w="846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«</w:t>
            </w:r>
            <w:proofErr w:type="spellStart"/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Росатом</w:t>
            </w:r>
            <w:proofErr w:type="spellEnd"/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98486F" w:rsidRPr="00C73EB2" w:rsidRDefault="0098486F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13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1914" w:type="dxa"/>
            <w:vAlign w:val="center"/>
          </w:tcPr>
          <w:p w:rsidR="0098486F" w:rsidRPr="00C73EB2" w:rsidRDefault="00CD5782" w:rsidP="00292BF9">
            <w:pPr>
              <w:pStyle w:val="ab"/>
              <w:tabs>
                <w:tab w:val="left" w:pos="6946"/>
              </w:tabs>
              <w:spacing w:line="252" w:lineRule="auto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</w:pPr>
            <w:r w:rsidRPr="00C73EB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kern w:val="1"/>
                <w:sz w:val="20"/>
                <w:szCs w:val="20"/>
                <w:lang w:eastAsia="ru-RU"/>
              </w:rPr>
              <w:t>-</w:t>
            </w:r>
          </w:p>
        </w:tc>
      </w:tr>
    </w:tbl>
    <w:p w:rsidR="001A37A9" w:rsidRPr="00C73EB2" w:rsidRDefault="00CD5782" w:rsidP="00F07681">
      <w:pPr>
        <w:tabs>
          <w:tab w:val="left" w:pos="0"/>
        </w:tabs>
        <w:spacing w:after="0" w:line="252" w:lineRule="auto"/>
        <w:ind w:right="83"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4"/>
          <w:szCs w:val="24"/>
          <w:lang w:eastAsia="ru-RU"/>
        </w:rPr>
        <w:t>*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eastAsia="ru-RU"/>
        </w:rPr>
        <w:t xml:space="preserve">Источник: Интернет-журнал РБК. Рейтинг крупнейших по выручке компаний России за 2021 год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val="en-US" w:eastAsia="ru-RU"/>
        </w:rPr>
        <w:t>URL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eastAsia="ru-RU"/>
        </w:rPr>
        <w:t>:</w:t>
      </w:r>
      <w:r w:rsidRPr="00C73EB2">
        <w:rPr>
          <w:sz w:val="20"/>
          <w:szCs w:val="20"/>
        </w:rPr>
        <w:t xml:space="preserve"> </w:t>
      </w:r>
      <w:r w:rsidR="009A2E6E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eastAsia="ru-RU"/>
        </w:rPr>
        <w:t>https://pro.rbc.ru/rbc500</w:t>
      </w:r>
    </w:p>
    <w:p w:rsidR="009A2E6E" w:rsidRPr="00C73EB2" w:rsidRDefault="009A2E6E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eastAsia="ru-RU"/>
        </w:rPr>
      </w:pPr>
    </w:p>
    <w:p w:rsidR="009A2E6E" w:rsidRPr="00C73EB2" w:rsidRDefault="009A2E6E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sz w:val="20"/>
          <w:szCs w:val="20"/>
          <w:lang w:eastAsia="ru-RU"/>
        </w:rPr>
      </w:pPr>
    </w:p>
    <w:p w:rsidR="00B143ED" w:rsidRPr="00C73EB2" w:rsidRDefault="009A2E6E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К примеру, компания «Роснефть» обрабатывает месторождения в Сибири, строит заправки по всей стране, но при этом зарегистрирована компания в Москве и именно в этот город поступает налог на прибыль. Данная схема распространяется на все компании, местом регистрации которых является Москва. Если взять полный список 500 крупнейших компаний, то на </w:t>
      </w:r>
      <w:r w:rsidR="00292BF9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территории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Москвы </w:t>
      </w:r>
      <w:r w:rsidR="00292BF9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зарегистрировано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296</w:t>
      </w:r>
      <w:r w:rsidR="00292BF9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организаций, в остальных городах </w:t>
      </w:r>
      <w:r w:rsidR="00292BF9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lastRenderedPageBreak/>
        <w:t xml:space="preserve">соответственно 204. Данный вопрос уже около 9 лет обсуждается политиками нашего государства. Так, в 2013 году Председатель Совета Федерации Валентина Мотвиенко предложила перенести компании с государственным участием по всей стране. </w:t>
      </w:r>
      <w:r w:rsidR="00797B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«Газпром» перенести в Тюмень, «</w:t>
      </w:r>
      <w:proofErr w:type="spellStart"/>
      <w:r w:rsidR="00797B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Башнефть</w:t>
      </w:r>
      <w:proofErr w:type="spellEnd"/>
      <w:r w:rsidR="00797B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» в Уфу, Роснефть в Сибирь, РЖД на Урал. </w:t>
      </w:r>
    </w:p>
    <w:p w:rsidR="00C73EB2" w:rsidRDefault="00B143ED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Также в 2019 году Минэкономразвития подготовило проект пространственного развития регионов. В одном из 118 предложений предлагается чиновникам вместе с государственными корпорациями подумать о перерегистрации их штаб-квартир в другие крупные города.  </w:t>
      </w:r>
    </w:p>
    <w:p w:rsidR="009A2E6E" w:rsidRPr="00C73EB2" w:rsidRDefault="00B143ED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Но</w:t>
      </w:r>
      <w:r w:rsidR="00797B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спустя 9 лет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и 2 года соответственно, </w:t>
      </w:r>
      <w:r w:rsidR="00797B7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ситуация не изменилась, децентра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лизация не происходит. Может показаться, что данная мера поможет только крупным городам, но это не совсем так. Налог будет поступать в региональный бюджет и уже после этого в малые и средние города региона, что увеличит экономику не только всего края или области, но и каждого отдельно взятого города. </w:t>
      </w:r>
    </w:p>
    <w:p w:rsidR="00C60B28" w:rsidRPr="00C73EB2" w:rsidRDefault="00F43481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В нашей стране с</w:t>
      </w:r>
      <w:r w:rsidR="00C60B2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кладывается с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ледующая ситуация</w:t>
      </w:r>
      <w:r w:rsidR="00C60B2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, с одной сто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роны город Москва, имеющий</w:t>
      </w:r>
      <w:r w:rsidR="00C60B28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особый статус города-региона, который спонсируют самые крупные государственные компании, работающие по всей территории Российской Федерации, но зарегистрированные в Москве. Это является причиной более высокооплачиваемой работы в столице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, что стимулирует</w:t>
      </w:r>
      <w:r w:rsidR="000B6D5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отток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человеческого капитала с других регионов. С другой стороны, огромное количество городов, в которых происходит </w:t>
      </w:r>
      <w:r w:rsidR="000B6D5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уменьшение 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работающего населения и как следствие ухудшение экономической ситуации в городе.   </w:t>
      </w:r>
    </w:p>
    <w:p w:rsidR="00EC4EFA" w:rsidRDefault="00F43481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Вспомним город Буденновск, на который мы ссылались в самом начале статьи. Градообразующим предприятием в нем является ООО «</w:t>
      </w:r>
      <w:proofErr w:type="spellStart"/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Ставролен</w:t>
      </w:r>
      <w:proofErr w:type="spellEnd"/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» - второй по величине в России производитель полиэт</w:t>
      </w:r>
      <w:r w:rsidR="00321040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илена низкого давления и третий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по объемам производства полипропилена. </w:t>
      </w:r>
      <w:r w:rsidR="000D57B7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Данная организация входит в состав Группы «Лукойл». Смотрим в таблицу 1 и видим, что Компания «Лукойл» зарегистрирована в Москве.</w:t>
      </w:r>
      <w:r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="000D57B7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Следовательно, налог на прибыль этой организации (3 064 млн. руб. в 2021 году) п</w:t>
      </w:r>
      <w:r w:rsidR="006A3BE4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оступает в бюджет столицы</w:t>
      </w:r>
      <w:r w:rsidR="000D57B7" w:rsidRPr="00C73EB2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.</w:t>
      </w:r>
      <w:r w:rsidR="00586986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Если эти деньги направлялись бы в бюджет города, то в нем смогли бы улучшить системы </w:t>
      </w:r>
      <w:r w:rsidR="00910D45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образования и </w:t>
      </w:r>
      <w:proofErr w:type="spellStart"/>
      <w:r w:rsidR="00910D45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з</w:t>
      </w:r>
      <w:r w:rsidR="00586986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дравоохрения</w:t>
      </w:r>
      <w:proofErr w:type="spellEnd"/>
      <w:r w:rsidR="00586986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.</w:t>
      </w:r>
    </w:p>
    <w:p w:rsidR="008B7E8F" w:rsidRDefault="00321040" w:rsidP="00292BF9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Кажется, что все просто – можно взять крупные компании и передислоцировать их головной офис в другой регион. Но есть ряд причин, почему это до сих пор не сделано.</w:t>
      </w:r>
      <w:r w:rsidR="00B71D5E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Первая, как бы это странно не звучало - территориальная. Многие крупные компании оказывают услуги в сегменте </w:t>
      </w:r>
      <w:r w:rsidR="00B71D5E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val="en-US" w:eastAsia="ru-RU"/>
        </w:rPr>
        <w:t>B</w:t>
      </w:r>
      <w:r w:rsidR="00B71D5E" w:rsidRPr="00B71D5E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2</w:t>
      </w:r>
      <w:r w:rsidR="00B71D5E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val="en-US" w:eastAsia="ru-RU"/>
        </w:rPr>
        <w:t>B</w:t>
      </w:r>
      <w:r w:rsidR="00B71D5E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и тесно взаимодействуют с государственными органами. Поэтому </w:t>
      </w:r>
      <w:r w:rsidR="00961A81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организациям</w:t>
      </w:r>
      <w:r w:rsidR="00B71D5E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выгоднее находится в одном месте для более тесного взаимодействия и лоббирования своих интересов. </w:t>
      </w:r>
      <w:r w:rsidR="003C2774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Вторая причина, являющейся основной – резкое сокращение бюджета Москвы в связи с передислокацией крупнейших компаний. </w:t>
      </w:r>
    </w:p>
    <w:p w:rsidR="00292BF9" w:rsidRPr="006A7737" w:rsidRDefault="00961A81" w:rsidP="002B5E9C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Поэтому наиболее </w:t>
      </w:r>
      <w:r w:rsidR="008B7E8F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оптимальное решение -</w:t>
      </w: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постепенный перенос головных офисов компаний в другие регионы. Но как это можно осуществить на практике? </w:t>
      </w:r>
      <w:r w:rsidR="008B7E8F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Данный способ следует реализовывать</w:t>
      </w: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пропорционально, постепенно снижая зависимость от Москвы. К примеру, можно открыть еще один офис «Газпрома» в той же Тюмени и 10% налога на прибыль направлять в этот город. Мы получаем пропорцию 90/10, которая с течением времени должна постепенно увеличиваться в сторону знаменателя. Проблема лоббизма и сегмента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val="en-US" w:eastAsia="ru-RU"/>
        </w:rPr>
        <w:t>B</w:t>
      </w:r>
      <w:r w:rsidRPr="00961A81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постепенно решается при помощи цифровых технологий, которые позволяют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коммуницировать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компаниям между собой и органами власти находясь на большом удалении друг от друга. </w:t>
      </w:r>
      <w:r w:rsidR="008B7E8F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Вследствие этого, по прошествии определенного промежутка времени, постепенно будет уменьшаться расслоение между регионами Российской Федерации. Малые и средние города получат доступ к дополнительным финансам, что позволит </w:t>
      </w:r>
      <w:r w:rsidR="002B5E9C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условия проживания в них. Этот процесс будет долгим, но важно предпринимать постепенные шаги к </w:t>
      </w:r>
      <w:bookmarkStart w:id="0" w:name="_GoBack"/>
      <w:r w:rsidR="002B5E9C"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lastRenderedPageBreak/>
        <w:t>его осуществлению</w:t>
      </w:r>
      <w:r w:rsidR="002B1D95"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, иначе «расслоение» между Москвой и остальной Россией будет только увеличиваться.  </w:t>
      </w:r>
    </w:p>
    <w:p w:rsidR="002B5E9C" w:rsidRPr="006A7737" w:rsidRDefault="002B5E9C" w:rsidP="002B5E9C">
      <w:pPr>
        <w:tabs>
          <w:tab w:val="left" w:pos="6946"/>
        </w:tabs>
        <w:spacing w:after="0" w:line="252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</w:p>
    <w:p w:rsidR="00DC762E" w:rsidRPr="006A7737" w:rsidRDefault="00DC762E" w:rsidP="002B1D9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lang w:eastAsia="ru-RU"/>
        </w:rPr>
        <w:t xml:space="preserve">ЛИТЕРАТУРА 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hAnsi="Times New Roman" w:cs="Times New Roman"/>
          <w:shd w:val="clear" w:color="auto" w:fill="FFFFFF"/>
        </w:rPr>
        <w:t>Федеральная служба государственной статистики. Управление Федеральной службы государственной статистики по г. Москве и Московской области (МОССТАТ). Электронныйресурс.</w:t>
      </w: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https://mosstat.gks.ru/storage/mediabank/l8yYprEH/%D0%9C%D0%BE%D1%81%D0%BA%D0%B2%D0%B0%20%D0%B2%20%D1%86%D0%B8%D1%84%D1%80%D0%B0%D1%</w:t>
      </w:r>
      <w:proofErr w:type="gramStart"/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85,%202021.pdf</w:t>
      </w:r>
      <w:proofErr w:type="gramEnd"/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Pr="006A7737">
        <w:rPr>
          <w:rFonts w:ascii="Times New Roman" w:hAnsi="Times New Roman" w:cs="Times New Roman"/>
          <w:shd w:val="clear" w:color="auto" w:fill="FFFFFF"/>
        </w:rPr>
        <w:t>(дата обращения 29.04.2022).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Решение о внесение изменений в решение думы Буденновского муниципального округа Ставропольского края от 21 декабря 2020 г. №6/92-</w:t>
      </w: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val="en-US" w:eastAsia="ru-RU"/>
        </w:rPr>
        <w:t>I</w:t>
      </w: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«О бюджете Буденновского муниципального округа Ставропольского края на 2021 год и плановый период 2022 и 2023 годов. </w:t>
      </w:r>
      <w:r w:rsidRPr="006A7737">
        <w:rPr>
          <w:rFonts w:ascii="Times New Roman" w:hAnsi="Times New Roman" w:cs="Times New Roman"/>
          <w:shd w:val="clear" w:color="auto" w:fill="FFFFFF"/>
        </w:rPr>
        <w:t>Электронный ресурс. https://abmosk.ru/content/file/menu-2/byudzhet-okruga/byudzhet/byudzhet/byudzhet-2021/resh-dumi-abmosk-20-12-2021-N-15-309-I.pdf (дата обращения 27.04.2022).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Единый реестр субъектов малого и среднего предпринимательства. 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предпринимательства. Эл. ресурс. </w:t>
      </w:r>
      <w:hyperlink r:id="rId8" w:history="1"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https</w:t>
        </w:r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://</w:t>
        </w:r>
        <w:proofErr w:type="spellStart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ofd</w:t>
        </w:r>
        <w:proofErr w:type="spellEnd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.</w:t>
        </w:r>
        <w:proofErr w:type="spellStart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nalog</w:t>
        </w:r>
        <w:proofErr w:type="spellEnd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.</w:t>
        </w:r>
        <w:proofErr w:type="spellStart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ru</w:t>
        </w:r>
        <w:proofErr w:type="spellEnd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/</w:t>
        </w:r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statistics</w:t>
        </w:r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.</w:t>
        </w:r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html</w:t>
        </w:r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?</w:t>
        </w:r>
        <w:proofErr w:type="spellStart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val="en-US" w:eastAsia="ru-RU"/>
          </w:rPr>
          <w:t>statDate</w:t>
        </w:r>
        <w:proofErr w:type="spellEnd"/>
        <w:r w:rsidRPr="006A7737">
          <w:rPr>
            <w:rStyle w:val="a3"/>
            <w:rFonts w:ascii="Times New Roman" w:eastAsia="Times New Roman" w:hAnsi="Times New Roman" w:cs="Times New Roman"/>
            <w:bCs/>
            <w:color w:val="auto"/>
            <w:spacing w:val="-4"/>
            <w:kern w:val="1"/>
            <w:u w:val="none"/>
            <w:lang w:eastAsia="ru-RU"/>
          </w:rPr>
          <w:t>=10.12.2021</w:t>
        </w:r>
      </w:hyperlink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&amp;</w:t>
      </w:r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val="en-US" w:eastAsia="ru-RU"/>
        </w:rPr>
        <w:t>level</w:t>
      </w:r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=0&amp;</w:t>
      </w:r>
      <w:proofErr w:type="spellStart"/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val="en-US" w:eastAsia="ru-RU"/>
        </w:rPr>
        <w:t>fo</w:t>
      </w:r>
      <w:proofErr w:type="spellEnd"/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=1&amp;</w:t>
      </w:r>
      <w:proofErr w:type="spellStart"/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val="en-US" w:eastAsia="ru-RU"/>
        </w:rPr>
        <w:t>ssrf</w:t>
      </w:r>
      <w:proofErr w:type="spellEnd"/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=77&amp;</w:t>
      </w:r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val="en-US" w:eastAsia="ru-RU"/>
        </w:rPr>
        <w:t>t</w:t>
      </w:r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=1651330975092&amp;</w:t>
      </w:r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val="en-US" w:eastAsia="ru-RU"/>
        </w:rPr>
        <w:t>t</w:t>
      </w:r>
      <w:r w:rsidRPr="006A7737">
        <w:rPr>
          <w:rFonts w:ascii="Times New Roman" w:eastAsia="Times New Roman" w:hAnsi="Times New Roman" w:cs="Times New Roman"/>
          <w:bCs/>
          <w:spacing w:val="-4"/>
          <w:kern w:val="1"/>
          <w:lang w:eastAsia="ru-RU"/>
        </w:rPr>
        <w:t>=1651330975092</w:t>
      </w: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  <w:r w:rsidRPr="006A7737">
        <w:rPr>
          <w:rFonts w:ascii="Times New Roman" w:hAnsi="Times New Roman" w:cs="Times New Roman"/>
          <w:shd w:val="clear" w:color="auto" w:fill="FFFFFF"/>
        </w:rPr>
        <w:t>(дата обращения 30.04.2022).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Количество хозяйствующих субъектов, учтенных в </w:t>
      </w:r>
      <w:proofErr w:type="spellStart"/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>Статрегистре</w:t>
      </w:r>
      <w:proofErr w:type="spellEnd"/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Ставропольского края по состоянию на 01.01.2021г., в разрезе муниципальных образований. Электронный ресурс.https://stavstat.gks.ru/storage/mediabank/nyvG3yBE/%D0%9E%D0%9A%D0%A2% D0%9C%D0%9E_%D0%A2%D0%B0%D0%B1%D0%BB%D0%B8%D1%86%D0%B0%206_01.01.2021_%D0%A1%D1%82%D0%B0%D0%B2%D1%80%D0%BE%D0%BF%D0%BE%D0%BB%D1%8C%D1%81%D0%BA%D0%B8%D0%B9%20%D0%BA%D1%80%D0%B0%D0%B9.pdf </w:t>
      </w:r>
      <w:r w:rsidRPr="006A7737">
        <w:rPr>
          <w:rFonts w:ascii="Times New Roman" w:hAnsi="Times New Roman" w:cs="Times New Roman"/>
          <w:shd w:val="clear" w:color="auto" w:fill="FFFFFF"/>
        </w:rPr>
        <w:t>(дата обращения 30.04.2022).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Открытый бюджет города Москвы. </w:t>
      </w:r>
      <w:r w:rsidRPr="006A7737">
        <w:rPr>
          <w:rFonts w:ascii="Times New Roman" w:hAnsi="Times New Roman" w:cs="Times New Roman"/>
          <w:shd w:val="clear" w:color="auto" w:fill="FFFFFF"/>
        </w:rPr>
        <w:t xml:space="preserve">Электронный ресурс. </w:t>
      </w: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https://budget.mos.ru/budget/income?analityc_year=2021 </w:t>
      </w:r>
      <w:r w:rsidRPr="006A7737">
        <w:rPr>
          <w:rFonts w:ascii="Times New Roman" w:hAnsi="Times New Roman" w:cs="Times New Roman"/>
          <w:shd w:val="clear" w:color="auto" w:fill="FFFFFF"/>
        </w:rPr>
        <w:t>(дата обращения 27.04.2022).</w:t>
      </w:r>
      <w:r w:rsidRPr="006A7737"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  <w:t xml:space="preserve"> 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proofErr w:type="spellStart"/>
      <w:r w:rsidRPr="006A7737">
        <w:rPr>
          <w:rFonts w:ascii="Times New Roman" w:hAnsi="Times New Roman" w:cs="Times New Roman"/>
          <w:shd w:val="clear" w:color="auto" w:fill="FFFFFF"/>
          <w:lang w:val="en-US"/>
        </w:rPr>
        <w:t>GorodaRUS</w:t>
      </w:r>
      <w:proofErr w:type="spellEnd"/>
      <w:r w:rsidRPr="006A7737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6A7737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6A7737">
        <w:rPr>
          <w:rFonts w:ascii="Times New Roman" w:hAnsi="Times New Roman" w:cs="Times New Roman"/>
          <w:shd w:val="clear" w:color="auto" w:fill="FFFFFF"/>
        </w:rPr>
        <w:t>. Электронный ресурс.</w:t>
      </w:r>
      <w:r w:rsidRPr="006A7737">
        <w:rPr>
          <w:rFonts w:ascii="Times New Roman" w:hAnsi="Times New Roman" w:cs="Times New Roman"/>
        </w:rPr>
        <w:t xml:space="preserve"> </w:t>
      </w:r>
      <w:r w:rsidRPr="006A7737">
        <w:rPr>
          <w:rFonts w:ascii="Times New Roman" w:hAnsi="Times New Roman" w:cs="Times New Roman"/>
          <w:shd w:val="clear" w:color="auto" w:fill="FFFFFF"/>
        </w:rPr>
        <w:t>https://gorodarus.ru/budennovsk.html (дата обращения 29.04.2022).</w:t>
      </w:r>
    </w:p>
    <w:p w:rsidR="003A29AD" w:rsidRPr="006A7737" w:rsidRDefault="003A29AD" w:rsidP="003A29AD">
      <w:pPr>
        <w:pStyle w:val="ab"/>
        <w:numPr>
          <w:ilvl w:val="0"/>
          <w:numId w:val="5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pacing w:val="-4"/>
          <w:kern w:val="1"/>
          <w:lang w:eastAsia="ru-RU"/>
        </w:rPr>
      </w:pPr>
      <w:r w:rsidRPr="006A7737">
        <w:rPr>
          <w:rFonts w:ascii="Times New Roman" w:hAnsi="Times New Roman" w:cs="Times New Roman"/>
        </w:rPr>
        <w:t xml:space="preserve">Экономика Москвы и Московской области составляет почти четверть экономики страны. Электронный ресурс. https://www.mos.ru/mayor/themes/12299/6116050/ </w:t>
      </w:r>
      <w:r w:rsidRPr="006A7737">
        <w:rPr>
          <w:rFonts w:ascii="Times New Roman" w:hAnsi="Times New Roman" w:cs="Times New Roman"/>
          <w:shd w:val="clear" w:color="auto" w:fill="FFFFFF"/>
        </w:rPr>
        <w:t>(дата обращения 30.04.2022).</w:t>
      </w:r>
    </w:p>
    <w:bookmarkEnd w:id="0"/>
    <w:p w:rsidR="00FE29E6" w:rsidRPr="00AB5811" w:rsidRDefault="00FE29E6" w:rsidP="007276C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FE29E6" w:rsidRPr="00AB5811" w:rsidSect="00292BF9">
      <w:footerReference w:type="default" r:id="rId9"/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3A" w:rsidRDefault="00A5333A" w:rsidP="00B9325E">
      <w:pPr>
        <w:spacing w:after="0" w:line="240" w:lineRule="auto"/>
      </w:pPr>
      <w:r>
        <w:separator/>
      </w:r>
    </w:p>
  </w:endnote>
  <w:endnote w:type="continuationSeparator" w:id="0">
    <w:p w:rsidR="00A5333A" w:rsidRDefault="00A5333A" w:rsidP="00B9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349443"/>
      <w:docPartObj>
        <w:docPartGallery w:val="Page Numbers (Bottom of Page)"/>
        <w:docPartUnique/>
      </w:docPartObj>
    </w:sdtPr>
    <w:sdtEndPr/>
    <w:sdtContent>
      <w:p w:rsidR="00B9325E" w:rsidRDefault="00B932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37">
          <w:rPr>
            <w:noProof/>
          </w:rPr>
          <w:t>4</w:t>
        </w:r>
        <w:r>
          <w:fldChar w:fldCharType="end"/>
        </w:r>
      </w:p>
    </w:sdtContent>
  </w:sdt>
  <w:p w:rsidR="00B9325E" w:rsidRDefault="00B932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3A" w:rsidRDefault="00A5333A" w:rsidP="00B9325E">
      <w:pPr>
        <w:spacing w:after="0" w:line="240" w:lineRule="auto"/>
      </w:pPr>
      <w:r>
        <w:separator/>
      </w:r>
    </w:p>
  </w:footnote>
  <w:footnote w:type="continuationSeparator" w:id="0">
    <w:p w:rsidR="00A5333A" w:rsidRDefault="00A5333A" w:rsidP="00B9325E">
      <w:pPr>
        <w:spacing w:after="0" w:line="240" w:lineRule="auto"/>
      </w:pPr>
      <w:r>
        <w:continuationSeparator/>
      </w:r>
    </w:p>
  </w:footnote>
  <w:footnote w:id="1">
    <w:p w:rsidR="00FF366D" w:rsidRDefault="00FF366D" w:rsidP="00FF366D">
      <w:pPr>
        <w:pStyle w:val="a8"/>
        <w:ind w:right="83" w:firstLine="284"/>
        <w:jc w:val="both"/>
      </w:pPr>
      <w:r w:rsidRPr="001E546B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1E54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546B">
        <w:rPr>
          <w:rFonts w:ascii="Times New Roman" w:hAnsi="Times New Roman" w:cs="Times New Roman"/>
          <w:sz w:val="18"/>
          <w:szCs w:val="18"/>
        </w:rPr>
        <w:t>Румачик</w:t>
      </w:r>
      <w:proofErr w:type="spellEnd"/>
      <w:r w:rsidRPr="001E546B">
        <w:rPr>
          <w:rFonts w:ascii="Times New Roman" w:hAnsi="Times New Roman" w:cs="Times New Roman"/>
          <w:sz w:val="18"/>
          <w:szCs w:val="18"/>
        </w:rPr>
        <w:t xml:space="preserve"> Наталья Андреевна, кандидат экономических наук, доцент кафедры экономической безопасности и аудита,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gramStart"/>
      <w:r w:rsidRPr="001E546B">
        <w:rPr>
          <w:rFonts w:ascii="Times New Roman" w:hAnsi="Times New Roman" w:cs="Times New Roman"/>
          <w:sz w:val="18"/>
          <w:szCs w:val="18"/>
        </w:rPr>
        <w:t>Северо-Кавказский</w:t>
      </w:r>
      <w:proofErr w:type="gramEnd"/>
      <w:r w:rsidRPr="001E546B">
        <w:rPr>
          <w:rFonts w:ascii="Times New Roman" w:hAnsi="Times New Roman" w:cs="Times New Roman"/>
          <w:sz w:val="18"/>
          <w:szCs w:val="18"/>
        </w:rPr>
        <w:t xml:space="preserve"> федеральный университет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1E546B">
        <w:rPr>
          <w:rFonts w:ascii="Times New Roman" w:hAnsi="Times New Roman" w:cs="Times New Roman"/>
          <w:sz w:val="18"/>
          <w:szCs w:val="18"/>
        </w:rPr>
        <w:t xml:space="preserve"> (355017, Российская Федерация, город Ставрополь, ул. Пушкина, д. 1; </w:t>
      </w:r>
      <w:hyperlink r:id="rId1" w:history="1">
        <w:r w:rsidRPr="001E546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info@ncfu.ru</w:t>
        </w:r>
      </w:hyperlink>
      <w:r w:rsidRPr="001E546B">
        <w:rPr>
          <w:rFonts w:ascii="Times New Roman" w:hAnsi="Times New Roman" w:cs="Times New Roman"/>
          <w:sz w:val="18"/>
          <w:szCs w:val="18"/>
        </w:rPr>
        <w:t>).</w:t>
      </w:r>
    </w:p>
  </w:footnote>
  <w:footnote w:id="2">
    <w:p w:rsidR="007C4BE0" w:rsidRPr="001E546B" w:rsidRDefault="007C4BE0" w:rsidP="00155E03">
      <w:pPr>
        <w:pStyle w:val="a8"/>
        <w:ind w:right="8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E546B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1E546B">
        <w:rPr>
          <w:rFonts w:ascii="Times New Roman" w:hAnsi="Times New Roman" w:cs="Times New Roman"/>
          <w:sz w:val="18"/>
          <w:szCs w:val="18"/>
        </w:rPr>
        <w:t xml:space="preserve"> Вальков Макси Александрович, студент,</w:t>
      </w:r>
      <w:r w:rsidR="0008075A">
        <w:rPr>
          <w:rFonts w:ascii="Times New Roman" w:hAnsi="Times New Roman" w:cs="Times New Roman"/>
          <w:sz w:val="18"/>
          <w:szCs w:val="18"/>
        </w:rPr>
        <w:t xml:space="preserve"> специальность 38.05.01 Экономическая безопасность,</w:t>
      </w:r>
      <w:r w:rsidRPr="001E546B">
        <w:rPr>
          <w:rFonts w:ascii="Times New Roman" w:hAnsi="Times New Roman" w:cs="Times New Roman"/>
          <w:sz w:val="18"/>
          <w:szCs w:val="18"/>
        </w:rPr>
        <w:t xml:space="preserve"> </w:t>
      </w:r>
      <w:r w:rsidR="0008075A">
        <w:rPr>
          <w:rFonts w:ascii="Times New Roman" w:hAnsi="Times New Roman" w:cs="Times New Roman"/>
          <w:sz w:val="18"/>
          <w:szCs w:val="18"/>
        </w:rPr>
        <w:t>«</w:t>
      </w:r>
      <w:proofErr w:type="gramStart"/>
      <w:r w:rsidRPr="001E546B">
        <w:rPr>
          <w:rFonts w:ascii="Times New Roman" w:hAnsi="Times New Roman" w:cs="Times New Roman"/>
          <w:sz w:val="18"/>
          <w:szCs w:val="18"/>
        </w:rPr>
        <w:t>Северо-Кавказский</w:t>
      </w:r>
      <w:proofErr w:type="gramEnd"/>
      <w:r w:rsidRPr="001E546B">
        <w:rPr>
          <w:rFonts w:ascii="Times New Roman" w:hAnsi="Times New Roman" w:cs="Times New Roman"/>
          <w:sz w:val="18"/>
          <w:szCs w:val="18"/>
        </w:rPr>
        <w:t xml:space="preserve"> федеральный университет</w:t>
      </w:r>
      <w:r w:rsidR="0008075A">
        <w:rPr>
          <w:rFonts w:ascii="Times New Roman" w:hAnsi="Times New Roman" w:cs="Times New Roman"/>
          <w:sz w:val="18"/>
          <w:szCs w:val="18"/>
        </w:rPr>
        <w:t>»</w:t>
      </w:r>
      <w:r w:rsidRPr="001E546B">
        <w:rPr>
          <w:rFonts w:ascii="Times New Roman" w:hAnsi="Times New Roman" w:cs="Times New Roman"/>
          <w:sz w:val="18"/>
          <w:szCs w:val="18"/>
        </w:rPr>
        <w:t xml:space="preserve"> (355017, Российская Федерация, город Ставрополь, ул. Пушкина, д. 1; </w:t>
      </w:r>
      <w:hyperlink r:id="rId2" w:history="1">
        <w:r w:rsidRPr="001E546B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info@ncfu.ru</w:t>
        </w:r>
      </w:hyperlink>
      <w:r w:rsidR="001E546B" w:rsidRPr="001E546B">
        <w:rPr>
          <w:rFonts w:ascii="Times New Roman" w:hAnsi="Times New Roman" w:cs="Times New Roman"/>
          <w:sz w:val="18"/>
          <w:szCs w:val="18"/>
        </w:rPr>
        <w:t>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65"/>
    <w:multiLevelType w:val="hybridMultilevel"/>
    <w:tmpl w:val="DF4C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043A"/>
    <w:multiLevelType w:val="hybridMultilevel"/>
    <w:tmpl w:val="99000356"/>
    <w:lvl w:ilvl="0" w:tplc="F1D05CA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CE614DE"/>
    <w:multiLevelType w:val="hybridMultilevel"/>
    <w:tmpl w:val="956A6DEA"/>
    <w:lvl w:ilvl="0" w:tplc="F1D05C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DB6AD8"/>
    <w:multiLevelType w:val="multilevel"/>
    <w:tmpl w:val="59F6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30CC"/>
    <w:multiLevelType w:val="hybridMultilevel"/>
    <w:tmpl w:val="981ACC84"/>
    <w:lvl w:ilvl="0" w:tplc="16C49EB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957716E"/>
    <w:multiLevelType w:val="hybridMultilevel"/>
    <w:tmpl w:val="C876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C3E4F"/>
    <w:multiLevelType w:val="hybridMultilevel"/>
    <w:tmpl w:val="DF4C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B"/>
    <w:rsid w:val="0002334F"/>
    <w:rsid w:val="0008075A"/>
    <w:rsid w:val="000B6D57"/>
    <w:rsid w:val="000D57B7"/>
    <w:rsid w:val="000F3AF3"/>
    <w:rsid w:val="00155E03"/>
    <w:rsid w:val="001A37A9"/>
    <w:rsid w:val="001B3BCF"/>
    <w:rsid w:val="001E2259"/>
    <w:rsid w:val="001E546B"/>
    <w:rsid w:val="00232B67"/>
    <w:rsid w:val="00252C85"/>
    <w:rsid w:val="00292BF9"/>
    <w:rsid w:val="00293D90"/>
    <w:rsid w:val="002B1D95"/>
    <w:rsid w:val="002B5E9C"/>
    <w:rsid w:val="00321040"/>
    <w:rsid w:val="00326048"/>
    <w:rsid w:val="00366D1B"/>
    <w:rsid w:val="003A29AD"/>
    <w:rsid w:val="003C2774"/>
    <w:rsid w:val="003E6B40"/>
    <w:rsid w:val="005239E7"/>
    <w:rsid w:val="0053498B"/>
    <w:rsid w:val="00586986"/>
    <w:rsid w:val="005E5F28"/>
    <w:rsid w:val="0068056E"/>
    <w:rsid w:val="006A1E70"/>
    <w:rsid w:val="006A3BE4"/>
    <w:rsid w:val="006A7737"/>
    <w:rsid w:val="006F79DB"/>
    <w:rsid w:val="007276C5"/>
    <w:rsid w:val="00791E61"/>
    <w:rsid w:val="007966C0"/>
    <w:rsid w:val="00797B78"/>
    <w:rsid w:val="007C4BE0"/>
    <w:rsid w:val="007F18B9"/>
    <w:rsid w:val="00811189"/>
    <w:rsid w:val="008B7E8F"/>
    <w:rsid w:val="00910D45"/>
    <w:rsid w:val="00925DCC"/>
    <w:rsid w:val="009532D3"/>
    <w:rsid w:val="00961A81"/>
    <w:rsid w:val="00980C11"/>
    <w:rsid w:val="0098486F"/>
    <w:rsid w:val="009A2E6E"/>
    <w:rsid w:val="00A5333A"/>
    <w:rsid w:val="00AA41D8"/>
    <w:rsid w:val="00AB5811"/>
    <w:rsid w:val="00B143ED"/>
    <w:rsid w:val="00B20805"/>
    <w:rsid w:val="00B71D5E"/>
    <w:rsid w:val="00B9325E"/>
    <w:rsid w:val="00BD5D12"/>
    <w:rsid w:val="00C60B28"/>
    <w:rsid w:val="00C66878"/>
    <w:rsid w:val="00C73EB2"/>
    <w:rsid w:val="00CD269D"/>
    <w:rsid w:val="00CD5782"/>
    <w:rsid w:val="00DC2AA5"/>
    <w:rsid w:val="00DC762E"/>
    <w:rsid w:val="00E349B2"/>
    <w:rsid w:val="00E43FFA"/>
    <w:rsid w:val="00EB551D"/>
    <w:rsid w:val="00EB738C"/>
    <w:rsid w:val="00EC4EFA"/>
    <w:rsid w:val="00F07681"/>
    <w:rsid w:val="00F43481"/>
    <w:rsid w:val="00FE29E6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A0AE-4864-4AAE-A91A-BDAC1A0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87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25E"/>
  </w:style>
  <w:style w:type="paragraph" w:styleId="a6">
    <w:name w:val="footer"/>
    <w:basedOn w:val="a"/>
    <w:link w:val="a7"/>
    <w:uiPriority w:val="99"/>
    <w:unhideWhenUsed/>
    <w:rsid w:val="00B9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25E"/>
  </w:style>
  <w:style w:type="paragraph" w:styleId="a8">
    <w:name w:val="footnote text"/>
    <w:basedOn w:val="a"/>
    <w:link w:val="a9"/>
    <w:uiPriority w:val="99"/>
    <w:semiHidden/>
    <w:unhideWhenUsed/>
    <w:rsid w:val="007C4B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4B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4BE0"/>
    <w:rPr>
      <w:vertAlign w:val="superscript"/>
    </w:rPr>
  </w:style>
  <w:style w:type="paragraph" w:styleId="ab">
    <w:name w:val="List Paragraph"/>
    <w:basedOn w:val="a"/>
    <w:uiPriority w:val="34"/>
    <w:qFormat/>
    <w:rsid w:val="007966C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tatistics.html?statDate=10.1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fu.ru" TargetMode="External"/><Relationship Id="rId1" Type="http://schemas.openxmlformats.org/officeDocument/2006/relationships/hyperlink" Target="mailto:info@nc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AE48-6BF9-4316-91C1-D4276CCC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52</cp:revision>
  <dcterms:created xsi:type="dcterms:W3CDTF">2022-04-30T14:00:00Z</dcterms:created>
  <dcterms:modified xsi:type="dcterms:W3CDTF">2022-05-02T09:17:00Z</dcterms:modified>
</cp:coreProperties>
</file>