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9345B3" w14:textId="77777777" w:rsidR="001E46F9" w:rsidRPr="00C316BB" w:rsidRDefault="001E46F9" w:rsidP="001E46F9">
      <w:pPr>
        <w:spacing w:line="360" w:lineRule="auto"/>
        <w:jc w:val="right"/>
        <w:rPr>
          <w:b/>
          <w:bCs/>
          <w:color w:val="000000"/>
          <w:sz w:val="22"/>
          <w:szCs w:val="22"/>
        </w:rPr>
      </w:pPr>
      <w:r w:rsidRPr="00C316BB">
        <w:rPr>
          <w:b/>
          <w:bCs/>
          <w:color w:val="000000"/>
          <w:sz w:val="22"/>
          <w:szCs w:val="22"/>
        </w:rPr>
        <w:t>Фирсов А.В.</w:t>
      </w:r>
      <w:r w:rsidRPr="00C316BB">
        <w:rPr>
          <w:rStyle w:val="a6"/>
          <w:b/>
          <w:bCs/>
          <w:color w:val="000000"/>
          <w:sz w:val="22"/>
          <w:szCs w:val="22"/>
        </w:rPr>
        <w:footnoteReference w:id="1"/>
      </w:r>
    </w:p>
    <w:p w14:paraId="12E59BA1" w14:textId="77777777" w:rsidR="001E46F9" w:rsidRPr="00C316BB" w:rsidRDefault="001E46F9" w:rsidP="001E46F9">
      <w:pPr>
        <w:spacing w:line="360" w:lineRule="auto"/>
        <w:rPr>
          <w:color w:val="000000"/>
          <w:sz w:val="22"/>
          <w:szCs w:val="22"/>
        </w:rPr>
      </w:pPr>
    </w:p>
    <w:p w14:paraId="0D901A6D" w14:textId="77777777" w:rsidR="001E46F9" w:rsidRPr="00C316BB" w:rsidRDefault="001E46F9" w:rsidP="001E46F9">
      <w:pPr>
        <w:spacing w:line="360" w:lineRule="auto"/>
        <w:jc w:val="center"/>
        <w:rPr>
          <w:b/>
          <w:bCs/>
          <w:szCs w:val="24"/>
        </w:rPr>
      </w:pPr>
      <w:r w:rsidRPr="00C316BB">
        <w:rPr>
          <w:b/>
          <w:bCs/>
          <w:szCs w:val="24"/>
        </w:rPr>
        <w:t>Роль онлайн-платформ в развитии гражданского краудфандинга</w:t>
      </w:r>
    </w:p>
    <w:p w14:paraId="6C527E25" w14:textId="77777777" w:rsidR="001E46F9" w:rsidRPr="00C316BB" w:rsidRDefault="001E46F9" w:rsidP="001E46F9">
      <w:pPr>
        <w:spacing w:line="360" w:lineRule="auto"/>
        <w:rPr>
          <w:sz w:val="22"/>
          <w:szCs w:val="22"/>
        </w:rPr>
      </w:pPr>
    </w:p>
    <w:p w14:paraId="33BE3446" w14:textId="77777777" w:rsidR="001E46F9" w:rsidRPr="00C316BB" w:rsidRDefault="001E46F9" w:rsidP="001E46F9">
      <w:pPr>
        <w:spacing w:line="247" w:lineRule="auto"/>
        <w:ind w:firstLine="425"/>
        <w:rPr>
          <w:rFonts w:eastAsia="Calibri"/>
          <w:bCs/>
          <w:i/>
          <w:iCs/>
          <w:spacing w:val="-1"/>
          <w:sz w:val="22"/>
          <w:szCs w:val="22"/>
          <w:lang w:eastAsia="ru-RU"/>
        </w:rPr>
      </w:pPr>
      <w:r w:rsidRPr="00C316BB">
        <w:rPr>
          <w:rFonts w:eastAsia="Calibri"/>
          <w:bCs/>
          <w:i/>
          <w:iCs/>
          <w:spacing w:val="-1"/>
          <w:sz w:val="22"/>
          <w:szCs w:val="22"/>
          <w:lang w:eastAsia="ru-RU"/>
        </w:rPr>
        <w:t>Аннотация: Раскрыта сущность краудфандинга, в т.ч. гражданского краудфандинга. Установлены основные задачи органов власти ДНР в республиканских краудфандинговых проектах, а также участники создания краудфандинговой цифровой инфраструктуры республики. Определена роль онлайн-платформ в краудфандинге. Описаны ожидаемые выгоды для ДНР от создания онлайн-платформы гражданского краудфандинга.</w:t>
      </w:r>
    </w:p>
    <w:p w14:paraId="22E82B63" w14:textId="77777777" w:rsidR="001E46F9" w:rsidRPr="00C316BB" w:rsidRDefault="001E46F9" w:rsidP="001E46F9">
      <w:pPr>
        <w:spacing w:line="247" w:lineRule="auto"/>
        <w:ind w:firstLine="425"/>
        <w:rPr>
          <w:rFonts w:eastAsia="Calibri"/>
          <w:bCs/>
          <w:i/>
          <w:iCs/>
          <w:spacing w:val="-1"/>
          <w:sz w:val="22"/>
          <w:szCs w:val="22"/>
          <w:lang w:eastAsia="ru-RU"/>
        </w:rPr>
      </w:pPr>
      <w:r w:rsidRPr="00C316BB">
        <w:rPr>
          <w:rFonts w:eastAsia="Calibri"/>
          <w:bCs/>
          <w:i/>
          <w:iCs/>
          <w:spacing w:val="-1"/>
          <w:sz w:val="22"/>
          <w:szCs w:val="22"/>
          <w:lang w:eastAsia="ru-RU"/>
        </w:rPr>
        <w:t>Ключевые слова: финансовые технологии, краудфандинг, гражданский краудфандинг, финансирование, цифровая инфраструктура, онлайн-платформы.</w:t>
      </w:r>
    </w:p>
    <w:p w14:paraId="3FD53328" w14:textId="77777777" w:rsidR="001E46F9" w:rsidRPr="00254F92" w:rsidRDefault="001E46F9" w:rsidP="001E46F9">
      <w:pPr>
        <w:spacing w:line="360" w:lineRule="auto"/>
        <w:rPr>
          <w:bCs/>
          <w:sz w:val="22"/>
          <w:szCs w:val="22"/>
        </w:rPr>
      </w:pPr>
    </w:p>
    <w:p w14:paraId="7118563A" w14:textId="77777777" w:rsidR="001E46F9" w:rsidRPr="00C316BB" w:rsidRDefault="001E46F9" w:rsidP="001E46F9">
      <w:pPr>
        <w:spacing w:line="360" w:lineRule="auto"/>
        <w:ind w:firstLine="426"/>
        <w:rPr>
          <w:bCs/>
          <w:sz w:val="22"/>
          <w:szCs w:val="22"/>
        </w:rPr>
      </w:pPr>
      <w:r w:rsidRPr="00C316BB">
        <w:rPr>
          <w:b/>
          <w:sz w:val="22"/>
          <w:szCs w:val="22"/>
        </w:rPr>
        <w:t>Постановка проблемы.</w:t>
      </w:r>
      <w:r w:rsidRPr="00C316BB">
        <w:rPr>
          <w:bCs/>
          <w:sz w:val="22"/>
          <w:szCs w:val="22"/>
        </w:rPr>
        <w:t xml:space="preserve"> Инициативы граждан Донецкой Народной Республики (ДНР) по улучшению повседневной жизни людей, созданию более устойчивой и инклюзивной среды проживания во многих случаях не находят поддержки государственных органов власти по причине имеющихся у государства финансовых ограничений на реализацию внеплановых проектов. Но вместе с тем, с развитием цифровых технологий меняются платформы, с помощью которых государственные органы власти взаимодействуют с гражданами. Перенесение на платформу инициатив граждан ДНР и альтернативного финансирования проектов создадут новые условия взаимодействия общества и власти, что может стать объектом ряда научных исследований.</w:t>
      </w:r>
    </w:p>
    <w:p w14:paraId="4DB0E0F6" w14:textId="77777777" w:rsidR="001E46F9" w:rsidRPr="00C316BB" w:rsidRDefault="001E46F9" w:rsidP="001E46F9">
      <w:pPr>
        <w:spacing w:line="360" w:lineRule="auto"/>
        <w:ind w:firstLine="426"/>
        <w:rPr>
          <w:sz w:val="22"/>
          <w:szCs w:val="22"/>
        </w:rPr>
      </w:pPr>
      <w:r w:rsidRPr="00C316BB">
        <w:rPr>
          <w:b/>
          <w:bCs/>
          <w:sz w:val="22"/>
          <w:szCs w:val="22"/>
        </w:rPr>
        <w:t>Анализ последних исследований и публикаций.</w:t>
      </w:r>
      <w:r w:rsidRPr="00C316BB">
        <w:rPr>
          <w:sz w:val="22"/>
          <w:szCs w:val="22"/>
        </w:rPr>
        <w:t xml:space="preserve"> Исследования краудфандинга, в т.ч. гражданского краудфандинга </w:t>
      </w:r>
      <w:r w:rsidRPr="00C316BB">
        <w:rPr>
          <w:color w:val="000000" w:themeColor="text1"/>
          <w:sz w:val="22"/>
          <w:szCs w:val="22"/>
        </w:rPr>
        <w:t>(на англ. «</w:t>
      </w:r>
      <w:r w:rsidRPr="00C316BB">
        <w:rPr>
          <w:color w:val="000000" w:themeColor="text1"/>
          <w:sz w:val="22"/>
          <w:szCs w:val="22"/>
          <w:lang w:val="en-US"/>
        </w:rPr>
        <w:t>civic</w:t>
      </w:r>
      <w:r w:rsidRPr="00C316BB">
        <w:rPr>
          <w:color w:val="000000" w:themeColor="text1"/>
          <w:sz w:val="22"/>
          <w:szCs w:val="22"/>
        </w:rPr>
        <w:t xml:space="preserve"> </w:t>
      </w:r>
      <w:r w:rsidRPr="00C316BB">
        <w:rPr>
          <w:color w:val="000000" w:themeColor="text1"/>
          <w:sz w:val="22"/>
          <w:szCs w:val="22"/>
          <w:lang w:val="en-US"/>
        </w:rPr>
        <w:t>crowdfunding</w:t>
      </w:r>
      <w:r w:rsidRPr="00C316BB">
        <w:rPr>
          <w:color w:val="000000" w:themeColor="text1"/>
          <w:sz w:val="22"/>
          <w:szCs w:val="22"/>
        </w:rPr>
        <w:t>»)</w:t>
      </w:r>
      <w:r w:rsidRPr="00C316BB">
        <w:rPr>
          <w:sz w:val="22"/>
          <w:szCs w:val="22"/>
        </w:rPr>
        <w:t xml:space="preserve">, а также ее инфраструктуры представлены в работах отечественных и преимущественно зарубежных авторов: Шмелева А.Н. [1], </w:t>
      </w:r>
      <w:proofErr w:type="spellStart"/>
      <w:r w:rsidRPr="00C316BB">
        <w:rPr>
          <w:sz w:val="22"/>
          <w:szCs w:val="22"/>
        </w:rPr>
        <w:t>Винита</w:t>
      </w:r>
      <w:proofErr w:type="spellEnd"/>
      <w:r w:rsidRPr="00C316BB">
        <w:rPr>
          <w:sz w:val="22"/>
          <w:szCs w:val="22"/>
        </w:rPr>
        <w:t xml:space="preserve"> </w:t>
      </w:r>
      <w:proofErr w:type="spellStart"/>
      <w:r w:rsidRPr="00C316BB">
        <w:rPr>
          <w:sz w:val="22"/>
          <w:szCs w:val="22"/>
        </w:rPr>
        <w:t>Сиберс</w:t>
      </w:r>
      <w:proofErr w:type="spellEnd"/>
      <w:r w:rsidRPr="00C316BB">
        <w:rPr>
          <w:sz w:val="22"/>
          <w:szCs w:val="22"/>
        </w:rPr>
        <w:t xml:space="preserve"> [6], Итан </w:t>
      </w:r>
      <w:proofErr w:type="spellStart"/>
      <w:r w:rsidRPr="00C316BB">
        <w:rPr>
          <w:sz w:val="22"/>
          <w:szCs w:val="22"/>
        </w:rPr>
        <w:t>Моллик</w:t>
      </w:r>
      <w:proofErr w:type="spellEnd"/>
      <w:r w:rsidRPr="00C316BB">
        <w:rPr>
          <w:sz w:val="22"/>
          <w:szCs w:val="22"/>
        </w:rPr>
        <w:t xml:space="preserve"> [4], </w:t>
      </w:r>
      <w:proofErr w:type="spellStart"/>
      <w:r w:rsidRPr="00C316BB">
        <w:rPr>
          <w:sz w:val="22"/>
          <w:szCs w:val="22"/>
        </w:rPr>
        <w:t>Йи</w:t>
      </w:r>
      <w:proofErr w:type="spellEnd"/>
      <w:r w:rsidRPr="00C316BB">
        <w:rPr>
          <w:sz w:val="22"/>
          <w:szCs w:val="22"/>
        </w:rPr>
        <w:t xml:space="preserve"> </w:t>
      </w:r>
      <w:proofErr w:type="spellStart"/>
      <w:r w:rsidRPr="00C316BB">
        <w:rPr>
          <w:sz w:val="22"/>
          <w:szCs w:val="22"/>
        </w:rPr>
        <w:t>Хенг</w:t>
      </w:r>
      <w:proofErr w:type="spellEnd"/>
      <w:r w:rsidRPr="00C316BB">
        <w:rPr>
          <w:sz w:val="22"/>
          <w:szCs w:val="22"/>
        </w:rPr>
        <w:t xml:space="preserve"> Тан [5], Карстен </w:t>
      </w:r>
      <w:proofErr w:type="spellStart"/>
      <w:r w:rsidRPr="00C316BB">
        <w:rPr>
          <w:sz w:val="22"/>
          <w:szCs w:val="22"/>
        </w:rPr>
        <w:t>Венцлафф</w:t>
      </w:r>
      <w:proofErr w:type="spellEnd"/>
      <w:r w:rsidRPr="00C316BB">
        <w:rPr>
          <w:sz w:val="22"/>
          <w:szCs w:val="22"/>
        </w:rPr>
        <w:t xml:space="preserve"> [7], Кис Ван </w:t>
      </w:r>
      <w:proofErr w:type="spellStart"/>
      <w:r w:rsidRPr="00C316BB">
        <w:rPr>
          <w:sz w:val="22"/>
          <w:szCs w:val="22"/>
        </w:rPr>
        <w:t>Монфор</w:t>
      </w:r>
      <w:proofErr w:type="spellEnd"/>
      <w:r w:rsidRPr="00C316BB">
        <w:rPr>
          <w:sz w:val="22"/>
          <w:szCs w:val="22"/>
        </w:rPr>
        <w:t xml:space="preserve"> [6], Фрэнк Ян Де Граф [6], </w:t>
      </w:r>
      <w:proofErr w:type="spellStart"/>
      <w:r w:rsidRPr="00C316BB">
        <w:rPr>
          <w:sz w:val="22"/>
          <w:szCs w:val="22"/>
        </w:rPr>
        <w:t>Шринивас</w:t>
      </w:r>
      <w:proofErr w:type="spellEnd"/>
      <w:r w:rsidRPr="00C316BB">
        <w:rPr>
          <w:sz w:val="22"/>
          <w:szCs w:val="22"/>
        </w:rPr>
        <w:t xml:space="preserve"> К. Редди [5] и другие [2; 3]. Названные и ряд других исследователей обеспечивают теоретическое обоснование развитию краудфандинга.</w:t>
      </w:r>
    </w:p>
    <w:p w14:paraId="15B31ACE" w14:textId="77777777" w:rsidR="001E46F9" w:rsidRPr="00C316BB" w:rsidRDefault="001E46F9" w:rsidP="001E46F9">
      <w:pPr>
        <w:spacing w:line="360" w:lineRule="auto"/>
        <w:ind w:firstLine="426"/>
        <w:rPr>
          <w:bCs/>
          <w:sz w:val="22"/>
          <w:szCs w:val="22"/>
        </w:rPr>
      </w:pPr>
      <w:r w:rsidRPr="00C316BB">
        <w:rPr>
          <w:b/>
          <w:bCs/>
          <w:iCs/>
          <w:sz w:val="22"/>
          <w:szCs w:val="22"/>
        </w:rPr>
        <w:t>Целью</w:t>
      </w:r>
      <w:r w:rsidRPr="00C316BB">
        <w:rPr>
          <w:sz w:val="22"/>
          <w:szCs w:val="22"/>
        </w:rPr>
        <w:t xml:space="preserve"> работы является </w:t>
      </w:r>
      <w:r w:rsidRPr="00C316BB">
        <w:rPr>
          <w:color w:val="000000" w:themeColor="text1"/>
          <w:sz w:val="22"/>
          <w:szCs w:val="22"/>
        </w:rPr>
        <w:t>определение роли онлайн-платформ в развитии гражданского краудфандинга.</w:t>
      </w:r>
    </w:p>
    <w:p w14:paraId="131817B9" w14:textId="77777777" w:rsidR="001E46F9" w:rsidRPr="00C316BB" w:rsidRDefault="001E46F9" w:rsidP="001E46F9">
      <w:pPr>
        <w:spacing w:line="360" w:lineRule="auto"/>
        <w:ind w:firstLine="426"/>
        <w:rPr>
          <w:bCs/>
          <w:sz w:val="22"/>
          <w:szCs w:val="22"/>
        </w:rPr>
      </w:pPr>
      <w:r w:rsidRPr="00C316BB">
        <w:rPr>
          <w:b/>
          <w:bCs/>
          <w:sz w:val="22"/>
          <w:szCs w:val="22"/>
        </w:rPr>
        <w:lastRenderedPageBreak/>
        <w:t>Изложение основного материала.</w:t>
      </w:r>
      <w:r w:rsidRPr="00C316BB">
        <w:rPr>
          <w:sz w:val="22"/>
          <w:szCs w:val="22"/>
        </w:rPr>
        <w:t xml:space="preserve"> </w:t>
      </w:r>
      <w:r w:rsidRPr="00C316BB">
        <w:rPr>
          <w:color w:val="000000" w:themeColor="text1"/>
          <w:sz w:val="22"/>
          <w:szCs w:val="22"/>
        </w:rPr>
        <w:t>Краудфандинг (от англ. «</w:t>
      </w:r>
      <w:proofErr w:type="spellStart"/>
      <w:r w:rsidRPr="00C316BB">
        <w:rPr>
          <w:color w:val="000000" w:themeColor="text1"/>
          <w:sz w:val="22"/>
          <w:szCs w:val="22"/>
        </w:rPr>
        <w:t>crowd</w:t>
      </w:r>
      <w:proofErr w:type="spellEnd"/>
      <w:r w:rsidRPr="00C316BB">
        <w:rPr>
          <w:color w:val="000000" w:themeColor="text1"/>
          <w:sz w:val="22"/>
          <w:szCs w:val="22"/>
        </w:rPr>
        <w:t>» – толпа, «</w:t>
      </w:r>
      <w:proofErr w:type="spellStart"/>
      <w:r w:rsidRPr="00C316BB">
        <w:rPr>
          <w:color w:val="000000" w:themeColor="text1"/>
          <w:sz w:val="22"/>
          <w:szCs w:val="22"/>
        </w:rPr>
        <w:t>funding</w:t>
      </w:r>
      <w:proofErr w:type="spellEnd"/>
      <w:r w:rsidRPr="00C316BB">
        <w:rPr>
          <w:color w:val="000000" w:themeColor="text1"/>
          <w:sz w:val="22"/>
          <w:szCs w:val="22"/>
        </w:rPr>
        <w:t xml:space="preserve">» – финансирование) представляет собой одну из финансовых технологий </w:t>
      </w:r>
      <w:proofErr w:type="spellStart"/>
      <w:r w:rsidRPr="00C316BB">
        <w:rPr>
          <w:color w:val="000000" w:themeColor="text1"/>
          <w:sz w:val="22"/>
          <w:szCs w:val="22"/>
        </w:rPr>
        <w:t>FinTech</w:t>
      </w:r>
      <w:proofErr w:type="spellEnd"/>
      <w:r w:rsidRPr="00C316BB">
        <w:rPr>
          <w:color w:val="000000" w:themeColor="text1"/>
          <w:sz w:val="22"/>
          <w:szCs w:val="22"/>
        </w:rPr>
        <w:t xml:space="preserve">, направленных на удовлетворение потребностей в привлечении капитала с помощью инновационных и цифровых решений [1, с. 41]. </w:t>
      </w:r>
      <w:r w:rsidRPr="00C316BB">
        <w:rPr>
          <w:bCs/>
          <w:sz w:val="22"/>
          <w:szCs w:val="22"/>
        </w:rPr>
        <w:t xml:space="preserve">Краудфандинг используется в дополнение к традиционным ресурсам, таким как инвестиции, венчурный капитал и банковское дело [6, с. 3]. </w:t>
      </w:r>
      <w:r w:rsidRPr="00C316BB">
        <w:rPr>
          <w:color w:val="000000" w:themeColor="text1"/>
          <w:sz w:val="22"/>
          <w:szCs w:val="22"/>
        </w:rPr>
        <w:t xml:space="preserve">Одно из многих определений понятия «краудфандинг» в научной литературе: «усилия отдельных предпринимателей и групп – культурных, социальных и коммерческих – по финансированию своих проектов за счет привлечения относительно небольших взносов от относительно большого числа людей, использующих Интернет, без стандартных финансовых посредников» [4, с. 2]. </w:t>
      </w:r>
      <w:r w:rsidRPr="00C316BB">
        <w:rPr>
          <w:sz w:val="22"/>
          <w:szCs w:val="22"/>
        </w:rPr>
        <w:t>С помощью краудфандинга можно поддержать предпринимательские инициативы, а также реализовать неприбыльные, гуманитарные проекты, которые направлены на решение социальных проблем.</w:t>
      </w:r>
      <w:bookmarkStart w:id="0" w:name="_Hlk102402123"/>
      <w:r w:rsidRPr="00C316BB">
        <w:rPr>
          <w:sz w:val="22"/>
          <w:szCs w:val="22"/>
        </w:rPr>
        <w:t xml:space="preserve"> В данной работе рассматривается краудфандинг на основе </w:t>
      </w:r>
      <w:bookmarkEnd w:id="0"/>
      <w:proofErr w:type="spellStart"/>
      <w:r w:rsidRPr="00C316BB">
        <w:rPr>
          <w:sz w:val="22"/>
          <w:szCs w:val="22"/>
        </w:rPr>
        <w:t>донатов</w:t>
      </w:r>
      <w:proofErr w:type="spellEnd"/>
      <w:r w:rsidRPr="00C316BB">
        <w:rPr>
          <w:sz w:val="22"/>
          <w:szCs w:val="22"/>
        </w:rPr>
        <w:t xml:space="preserve"> (пожертвований) – гражданский краудфандинг, под которым понимается сбор средств для проектов, находящихся в общественном достоянии или имеющих общую социальную цель [2; 7, с. 461].</w:t>
      </w:r>
    </w:p>
    <w:p w14:paraId="1E52C13E" w14:textId="77777777" w:rsidR="001E46F9" w:rsidRPr="00C316BB" w:rsidRDefault="001E46F9" w:rsidP="001E46F9">
      <w:pPr>
        <w:spacing w:line="360" w:lineRule="auto"/>
        <w:ind w:firstLine="426"/>
        <w:rPr>
          <w:bCs/>
          <w:sz w:val="22"/>
          <w:szCs w:val="22"/>
        </w:rPr>
      </w:pPr>
      <w:r w:rsidRPr="00C316BB">
        <w:rPr>
          <w:sz w:val="22"/>
          <w:szCs w:val="22"/>
        </w:rPr>
        <w:t xml:space="preserve">В наши дни технологии, такие как онлайн-платформы (цифровые платформы в сети Интернет), в т.ч. социальные сети, упрощают краудфандинг, меняют способы сбора средств для краудфандинговых инициатив (проектов). Посредничество онлайн-платформ является преобладающей формой краудфандинга во всем мире. Создатель проекта публикует на платформе информацию о проекте с указанием необходимой проекту суммы денежных средств. Потенциальные доноры (спонсоры) просматривают информацию о проекте и вносят денежные средства (электронные деньги) в проект, если они убеждены в идее проекта.  Для краудфандинга онлайн-платформы, а также мобильная связь и широкополосный доступ в Интернет предоставляют нематериальную цифровую инфраструктуру, которая объединяет интересы владельцев проектов, доноров (спонсоров) проектов и провайдеров платформ. На цифровых платформах устанавливаются правила для краудфандинга: отбираются и курируются проекты. На платформах также обрабатываются платежи. Так, если онлайн-платформа поддерживает международные платежные системы, то теоретически любой человек в мире может внести свой вклад в проект. Следует отметить, что инициатор проекта может не обращаться к </w:t>
      </w:r>
      <w:r w:rsidRPr="00C316BB">
        <w:rPr>
          <w:sz w:val="22"/>
          <w:szCs w:val="22"/>
        </w:rPr>
        <w:lastRenderedPageBreak/>
        <w:t>услугам посреднических платформ, а самостоятельно реализовать в сети Интернет организационно-техническую инфраструктуру путем создания веб-сайта проекта − «платформы проекта».</w:t>
      </w:r>
      <w:r w:rsidRPr="00C316BB">
        <w:rPr>
          <w:color w:val="000000" w:themeColor="text1"/>
          <w:sz w:val="22"/>
          <w:szCs w:val="22"/>
        </w:rPr>
        <w:t xml:space="preserve"> </w:t>
      </w:r>
      <w:r w:rsidRPr="00C316BB">
        <w:rPr>
          <w:sz w:val="22"/>
          <w:szCs w:val="22"/>
        </w:rPr>
        <w:t xml:space="preserve">Следует отметить, что краудфандинг также является маркетинговым инструментом для продвижения проекта и увеличения охвата сторонников проекта (до закрытия сроков сбора денежных средств) во время краудфандинговой кампании. </w:t>
      </w:r>
    </w:p>
    <w:p w14:paraId="67CC215E" w14:textId="77777777" w:rsidR="001E46F9" w:rsidRPr="00C316BB" w:rsidRDefault="001E46F9" w:rsidP="001E46F9">
      <w:pPr>
        <w:spacing w:line="360" w:lineRule="auto"/>
        <w:ind w:firstLine="426"/>
        <w:rPr>
          <w:bCs/>
          <w:sz w:val="22"/>
          <w:szCs w:val="22"/>
        </w:rPr>
      </w:pPr>
      <w:r w:rsidRPr="00C316BB">
        <w:rPr>
          <w:sz w:val="22"/>
          <w:szCs w:val="22"/>
        </w:rPr>
        <w:t>Кроме того, презентация краудфандингового проекта через онлайн-платформу может быть ценной формой маркетинга с привлечением внимания СМИ, обратной связью с рекомендациями экспертов по улучшению проекта. Также краудфандинг запускает «сарафанный маркетинг»: доноры (спонсоры) рассказывают другим людям о проекте, таким образом происходит охват множества людей, которые слышат о проекте, не внося финансовых средств. К примеру, проект со 100 донорами (спонсорами) может иметь более 2 000 уникальных просмотров веб-страниц на платформе проекта [2; 3].</w:t>
      </w:r>
    </w:p>
    <w:p w14:paraId="1D28F5AE" w14:textId="77777777" w:rsidR="001E46F9" w:rsidRPr="00C316BB" w:rsidRDefault="001E46F9" w:rsidP="001E46F9">
      <w:pPr>
        <w:spacing w:line="360" w:lineRule="auto"/>
        <w:ind w:firstLine="426"/>
        <w:rPr>
          <w:bCs/>
          <w:sz w:val="22"/>
          <w:szCs w:val="22"/>
        </w:rPr>
      </w:pPr>
      <w:r w:rsidRPr="00C316BB">
        <w:rPr>
          <w:sz w:val="22"/>
          <w:szCs w:val="22"/>
        </w:rPr>
        <w:t>Для ДНР можно перенять зарубежный опыт по развитию гражданского краудфандинга. Так, в республике на государственном уровне с помощью цифровой инфраструктуры могут быть реализованы гражданские краудфандинговые инициативы (проекты). Стоит отметить, что гражданский краудфандинг меняет отношения между органами власти и гражданскими инициативами. Процесс гражданского краудфандинга делает открытым для общества происходящие преобразования, что позволяет дать ответы на вопросы: имеется ли поддержка новым идеям и какие источники финансирования новых идей возможны.</w:t>
      </w:r>
    </w:p>
    <w:p w14:paraId="4765E894" w14:textId="77777777" w:rsidR="001E46F9" w:rsidRPr="00C316BB" w:rsidRDefault="001E46F9" w:rsidP="001E46F9">
      <w:pPr>
        <w:spacing w:line="360" w:lineRule="auto"/>
        <w:ind w:firstLine="426"/>
        <w:rPr>
          <w:bCs/>
          <w:sz w:val="22"/>
          <w:szCs w:val="22"/>
        </w:rPr>
      </w:pPr>
      <w:r w:rsidRPr="00C316BB">
        <w:rPr>
          <w:sz w:val="22"/>
          <w:szCs w:val="22"/>
        </w:rPr>
        <w:t xml:space="preserve">Основными задачами органов власти ДНР в республиканских краудфандинговых проектах могут стать: экспертиза гражданских инициатив, ускорение бюрократических процедур, </w:t>
      </w:r>
      <w:proofErr w:type="spellStart"/>
      <w:r w:rsidRPr="00C316BB">
        <w:rPr>
          <w:sz w:val="22"/>
          <w:szCs w:val="22"/>
        </w:rPr>
        <w:t>софинансирование</w:t>
      </w:r>
      <w:proofErr w:type="spellEnd"/>
      <w:r w:rsidRPr="00C316BB">
        <w:rPr>
          <w:sz w:val="22"/>
          <w:szCs w:val="22"/>
        </w:rPr>
        <w:t xml:space="preserve"> инициатив, поощрение организаторов и доноров проектов.</w:t>
      </w:r>
    </w:p>
    <w:p w14:paraId="2B9863D6" w14:textId="77777777" w:rsidR="001E46F9" w:rsidRPr="00C316BB" w:rsidRDefault="001E46F9" w:rsidP="001E46F9">
      <w:pPr>
        <w:spacing w:line="360" w:lineRule="auto"/>
        <w:ind w:firstLine="426"/>
        <w:rPr>
          <w:bCs/>
          <w:sz w:val="22"/>
          <w:szCs w:val="22"/>
        </w:rPr>
      </w:pPr>
      <w:r w:rsidRPr="00C316BB">
        <w:rPr>
          <w:sz w:val="22"/>
          <w:szCs w:val="22"/>
        </w:rPr>
        <w:t>Для республиканских проектов краудфандинга, в частности для гражданского краудфандинга необходимо создание в сети Интернет онлайн-платформы. Платформа гражданского краудфандинга представляет собой приложение, связывающее инициатора проекта и потенциальных доноров, упрощает взаимодействие между ними в соответствии с заранее определенными условиями.</w:t>
      </w:r>
    </w:p>
    <w:p w14:paraId="103ADC11" w14:textId="77777777" w:rsidR="001E46F9" w:rsidRPr="00C316BB" w:rsidRDefault="001E46F9" w:rsidP="001E46F9">
      <w:pPr>
        <w:spacing w:line="360" w:lineRule="auto"/>
        <w:ind w:firstLine="426"/>
        <w:rPr>
          <w:bCs/>
          <w:sz w:val="22"/>
          <w:szCs w:val="22"/>
        </w:rPr>
      </w:pPr>
      <w:r w:rsidRPr="00C316BB">
        <w:rPr>
          <w:sz w:val="22"/>
          <w:szCs w:val="22"/>
        </w:rPr>
        <w:lastRenderedPageBreak/>
        <w:t>Примеры онлайн-платформ гражданского краудфандинга (по странам): «</w:t>
      </w:r>
      <w:proofErr w:type="spellStart"/>
      <w:r w:rsidRPr="00C316BB">
        <w:rPr>
          <w:sz w:val="22"/>
          <w:szCs w:val="22"/>
        </w:rPr>
        <w:t>Growfunding</w:t>
      </w:r>
      <w:proofErr w:type="spellEnd"/>
      <w:r w:rsidRPr="00C316BB">
        <w:rPr>
          <w:sz w:val="22"/>
          <w:szCs w:val="22"/>
        </w:rPr>
        <w:t>» (Бельгия), «</w:t>
      </w:r>
      <w:proofErr w:type="spellStart"/>
      <w:r w:rsidRPr="00C316BB">
        <w:rPr>
          <w:sz w:val="22"/>
          <w:szCs w:val="22"/>
        </w:rPr>
        <w:t>Spacehive</w:t>
      </w:r>
      <w:proofErr w:type="spellEnd"/>
      <w:r w:rsidRPr="00C316BB">
        <w:rPr>
          <w:sz w:val="22"/>
          <w:szCs w:val="22"/>
        </w:rPr>
        <w:t>» (Великобритания), «</w:t>
      </w:r>
      <w:proofErr w:type="spellStart"/>
      <w:r w:rsidRPr="00C316BB">
        <w:rPr>
          <w:sz w:val="22"/>
          <w:szCs w:val="22"/>
        </w:rPr>
        <w:t>Goteo</w:t>
      </w:r>
      <w:proofErr w:type="spellEnd"/>
      <w:r w:rsidRPr="00C316BB">
        <w:rPr>
          <w:sz w:val="22"/>
          <w:szCs w:val="22"/>
        </w:rPr>
        <w:t>» (Испания), «La </w:t>
      </w:r>
      <w:proofErr w:type="spellStart"/>
      <w:r w:rsidRPr="00C316BB">
        <w:rPr>
          <w:sz w:val="22"/>
          <w:szCs w:val="22"/>
        </w:rPr>
        <w:t>Ruche</w:t>
      </w:r>
      <w:proofErr w:type="spellEnd"/>
      <w:r w:rsidRPr="00C316BB">
        <w:rPr>
          <w:sz w:val="22"/>
          <w:szCs w:val="22"/>
        </w:rPr>
        <w:t>» (Канада), «</w:t>
      </w:r>
      <w:proofErr w:type="spellStart"/>
      <w:r w:rsidRPr="00C316BB">
        <w:rPr>
          <w:sz w:val="22"/>
          <w:szCs w:val="22"/>
        </w:rPr>
        <w:t>Voor</w:t>
      </w:r>
      <w:proofErr w:type="spellEnd"/>
      <w:r w:rsidRPr="00C316BB">
        <w:rPr>
          <w:sz w:val="22"/>
          <w:szCs w:val="22"/>
        </w:rPr>
        <w:t> </w:t>
      </w:r>
      <w:proofErr w:type="spellStart"/>
      <w:r w:rsidRPr="00C316BB">
        <w:rPr>
          <w:sz w:val="22"/>
          <w:szCs w:val="22"/>
        </w:rPr>
        <w:t>je</w:t>
      </w:r>
      <w:proofErr w:type="spellEnd"/>
      <w:r w:rsidRPr="00C316BB">
        <w:rPr>
          <w:sz w:val="22"/>
          <w:szCs w:val="22"/>
        </w:rPr>
        <w:t> </w:t>
      </w:r>
      <w:proofErr w:type="spellStart"/>
      <w:r w:rsidRPr="00C316BB">
        <w:rPr>
          <w:sz w:val="22"/>
          <w:szCs w:val="22"/>
        </w:rPr>
        <w:t>Buurt</w:t>
      </w:r>
      <w:proofErr w:type="spellEnd"/>
      <w:r w:rsidRPr="00C316BB">
        <w:rPr>
          <w:sz w:val="22"/>
          <w:szCs w:val="22"/>
        </w:rPr>
        <w:t>» (Нидерланды), «city4people» (РФ), «</w:t>
      </w:r>
      <w:proofErr w:type="spellStart"/>
      <w:r w:rsidRPr="00C316BB">
        <w:rPr>
          <w:sz w:val="22"/>
          <w:szCs w:val="22"/>
        </w:rPr>
        <w:t>ioby</w:t>
      </w:r>
      <w:proofErr w:type="spellEnd"/>
      <w:r w:rsidRPr="00C316BB">
        <w:rPr>
          <w:sz w:val="22"/>
          <w:szCs w:val="22"/>
        </w:rPr>
        <w:t>» и «</w:t>
      </w:r>
      <w:proofErr w:type="spellStart"/>
      <w:r w:rsidRPr="00C316BB">
        <w:rPr>
          <w:sz w:val="22"/>
          <w:szCs w:val="22"/>
        </w:rPr>
        <w:t>Patronicity</w:t>
      </w:r>
      <w:proofErr w:type="spellEnd"/>
      <w:r w:rsidRPr="00C316BB">
        <w:rPr>
          <w:sz w:val="22"/>
          <w:szCs w:val="22"/>
        </w:rPr>
        <w:t>» (США), «</w:t>
      </w:r>
      <w:proofErr w:type="spellStart"/>
      <w:r w:rsidRPr="00C316BB">
        <w:rPr>
          <w:sz w:val="22"/>
          <w:szCs w:val="22"/>
        </w:rPr>
        <w:t>Моє</w:t>
      </w:r>
      <w:proofErr w:type="spellEnd"/>
      <w:r w:rsidRPr="00C316BB">
        <w:rPr>
          <w:sz w:val="22"/>
          <w:szCs w:val="22"/>
        </w:rPr>
        <w:t> </w:t>
      </w:r>
      <w:proofErr w:type="spellStart"/>
      <w:r w:rsidRPr="00C316BB">
        <w:rPr>
          <w:sz w:val="22"/>
          <w:szCs w:val="22"/>
        </w:rPr>
        <w:t>місто</w:t>
      </w:r>
      <w:proofErr w:type="spellEnd"/>
      <w:r w:rsidRPr="00C316BB">
        <w:rPr>
          <w:sz w:val="22"/>
          <w:szCs w:val="22"/>
        </w:rPr>
        <w:t>» (Украина), «Co-</w:t>
      </w:r>
      <w:proofErr w:type="spellStart"/>
      <w:r w:rsidRPr="00C316BB">
        <w:rPr>
          <w:sz w:val="22"/>
          <w:szCs w:val="22"/>
        </w:rPr>
        <w:t>city</w:t>
      </w:r>
      <w:proofErr w:type="spellEnd"/>
      <w:r w:rsidRPr="00C316BB">
        <w:rPr>
          <w:sz w:val="22"/>
          <w:szCs w:val="22"/>
        </w:rPr>
        <w:t>» (Франция).</w:t>
      </w:r>
    </w:p>
    <w:p w14:paraId="3D192B0D" w14:textId="77777777" w:rsidR="001E46F9" w:rsidRPr="00C316BB" w:rsidRDefault="001E46F9" w:rsidP="001E46F9">
      <w:pPr>
        <w:spacing w:line="360" w:lineRule="auto"/>
        <w:ind w:firstLine="426"/>
        <w:rPr>
          <w:bCs/>
          <w:sz w:val="22"/>
          <w:szCs w:val="22"/>
        </w:rPr>
      </w:pPr>
      <w:r w:rsidRPr="00C316BB">
        <w:rPr>
          <w:sz w:val="22"/>
          <w:szCs w:val="22"/>
        </w:rPr>
        <w:t>Основными участниками создания краудфандинговой цифровой инфраструктуры ДНР, исходя из деятельности, могут выступить: Центральный республиканский банк, Министерство связи, в т.ч. Республиканской оператор связи «Феникс». Исходя из анализа научной литературы в области гражданского краудфандинга, пользователями краудфандинговой цифровой инфраструктуры от государственных органов могут стать администрации городов и районов, заинтересованные министерства и ведомства.</w:t>
      </w:r>
    </w:p>
    <w:p w14:paraId="09957861" w14:textId="77777777" w:rsidR="001E46F9" w:rsidRPr="00C316BB" w:rsidRDefault="001E46F9" w:rsidP="001E46F9">
      <w:pPr>
        <w:spacing w:line="360" w:lineRule="auto"/>
        <w:ind w:firstLine="426"/>
        <w:rPr>
          <w:bCs/>
          <w:sz w:val="22"/>
          <w:szCs w:val="22"/>
        </w:rPr>
      </w:pPr>
      <w:r w:rsidRPr="00C316BB">
        <w:rPr>
          <w:sz w:val="22"/>
          <w:szCs w:val="22"/>
        </w:rPr>
        <w:t>На республиканской онлайн-платформе граждане, сообщества, социальные предприниматели и неправительственные организации смогут инициировать и финансировать проекты с социальным воздействием; вовлекать в проекты соотечественников, которые проживают за рубежом, людей и организации, в т.ч. предприятия и благотворительные фонды, которые готовы оказать финансовую поддержку проектам ДНР.</w:t>
      </w:r>
    </w:p>
    <w:p w14:paraId="4637CEDF" w14:textId="77777777" w:rsidR="001E46F9" w:rsidRPr="00C316BB" w:rsidRDefault="001E46F9" w:rsidP="001E46F9">
      <w:pPr>
        <w:spacing w:line="360" w:lineRule="auto"/>
        <w:ind w:firstLine="426"/>
        <w:rPr>
          <w:bCs/>
          <w:sz w:val="22"/>
          <w:szCs w:val="22"/>
        </w:rPr>
      </w:pPr>
      <w:r w:rsidRPr="00C316BB">
        <w:rPr>
          <w:b/>
          <w:bCs/>
          <w:sz w:val="22"/>
          <w:szCs w:val="22"/>
        </w:rPr>
        <w:t>Выводы.</w:t>
      </w:r>
      <w:r w:rsidRPr="00C316BB">
        <w:rPr>
          <w:sz w:val="22"/>
          <w:szCs w:val="22"/>
        </w:rPr>
        <w:t xml:space="preserve"> Развитие цифровых технологий и цифровой инфраструктуры ДНР открывает новые возможности для развития краудфандинга как альтернативного финансирования. Ожидаемые выгоды для ДНР от создания онлайн-платформы гражданского краудфандинга – это содействие процессу развития социальных инноваций в республике, </w:t>
      </w:r>
      <w:r w:rsidRPr="00C316BB">
        <w:rPr>
          <w:color w:val="000000" w:themeColor="text1"/>
          <w:sz w:val="22"/>
          <w:szCs w:val="22"/>
        </w:rPr>
        <w:t xml:space="preserve">решение проблем взаимодействия общества и власти, </w:t>
      </w:r>
      <w:r w:rsidRPr="00C316BB">
        <w:rPr>
          <w:sz w:val="22"/>
          <w:szCs w:val="22"/>
        </w:rPr>
        <w:t>повышение инвестиционной и туристической привлекательности ДНР,</w:t>
      </w:r>
      <w:r w:rsidRPr="00C316BB">
        <w:rPr>
          <w:color w:val="000000" w:themeColor="text1"/>
          <w:sz w:val="22"/>
          <w:szCs w:val="22"/>
        </w:rPr>
        <w:t xml:space="preserve"> популяризация социальной ответственности республиканского бизнеса.</w:t>
      </w:r>
    </w:p>
    <w:p w14:paraId="66080C3D" w14:textId="77777777" w:rsidR="001E46F9" w:rsidRPr="00C316BB" w:rsidRDefault="001E46F9" w:rsidP="001E46F9">
      <w:pPr>
        <w:spacing w:line="360" w:lineRule="auto"/>
        <w:ind w:firstLine="426"/>
        <w:rPr>
          <w:color w:val="000000" w:themeColor="text1"/>
          <w:sz w:val="22"/>
          <w:szCs w:val="22"/>
        </w:rPr>
      </w:pPr>
      <w:r w:rsidRPr="00C316BB">
        <w:rPr>
          <w:color w:val="000000" w:themeColor="text1"/>
          <w:sz w:val="22"/>
          <w:szCs w:val="22"/>
        </w:rPr>
        <w:t>Перспективы дальнейших исследований в направлении краудфандинга лежат в рассмотрении проблем создания и развития экосистемы краудфандинга ДНР, конкретизации стейкхолдеров краудфандинга.</w:t>
      </w:r>
    </w:p>
    <w:p w14:paraId="5DCA6816" w14:textId="77777777" w:rsidR="001E46F9" w:rsidRPr="00C316BB" w:rsidRDefault="001E46F9" w:rsidP="001E46F9">
      <w:pPr>
        <w:spacing w:line="360" w:lineRule="auto"/>
        <w:rPr>
          <w:color w:val="000000" w:themeColor="text1"/>
          <w:sz w:val="22"/>
          <w:szCs w:val="22"/>
        </w:rPr>
      </w:pPr>
    </w:p>
    <w:p w14:paraId="3907EB5C" w14:textId="77777777" w:rsidR="001E46F9" w:rsidRPr="00C316BB" w:rsidRDefault="001E46F9" w:rsidP="001E46F9">
      <w:pPr>
        <w:spacing w:line="360" w:lineRule="auto"/>
        <w:ind w:firstLine="426"/>
        <w:rPr>
          <w:sz w:val="22"/>
          <w:szCs w:val="22"/>
        </w:rPr>
      </w:pPr>
      <w:r w:rsidRPr="00C316BB">
        <w:rPr>
          <w:b/>
          <w:bCs/>
          <w:sz w:val="22"/>
          <w:szCs w:val="22"/>
        </w:rPr>
        <w:t>ЛИТЕРАТУРА</w:t>
      </w:r>
    </w:p>
    <w:p w14:paraId="7FDCFA51" w14:textId="77777777" w:rsidR="001E46F9" w:rsidRPr="00C316BB" w:rsidRDefault="001E46F9" w:rsidP="001E46F9">
      <w:pPr>
        <w:pStyle w:val="a3"/>
        <w:numPr>
          <w:ilvl w:val="0"/>
          <w:numId w:val="1"/>
        </w:numPr>
        <w:tabs>
          <w:tab w:val="left" w:pos="1134"/>
        </w:tabs>
        <w:spacing w:line="360" w:lineRule="auto"/>
        <w:ind w:left="709" w:hanging="283"/>
        <w:rPr>
          <w:sz w:val="22"/>
          <w:szCs w:val="22"/>
        </w:rPr>
      </w:pPr>
      <w:r w:rsidRPr="00C316BB">
        <w:rPr>
          <w:sz w:val="22"/>
          <w:szCs w:val="22"/>
        </w:rPr>
        <w:t xml:space="preserve">Шмелева А.Н. Краудфандинг как сектор экономики распределенного пользования </w:t>
      </w:r>
      <w:r w:rsidRPr="00C316BB">
        <w:rPr>
          <w:rFonts w:eastAsia="Calibri"/>
          <w:sz w:val="22"/>
          <w:szCs w:val="22"/>
        </w:rPr>
        <w:t xml:space="preserve">// </w:t>
      </w:r>
      <w:r w:rsidRPr="00C316BB">
        <w:rPr>
          <w:sz w:val="22"/>
          <w:szCs w:val="22"/>
        </w:rPr>
        <w:t>Компетентность</w:t>
      </w:r>
      <w:r w:rsidRPr="00C316BB">
        <w:rPr>
          <w:rFonts w:eastAsia="Calibri"/>
          <w:sz w:val="22"/>
          <w:szCs w:val="22"/>
        </w:rPr>
        <w:t xml:space="preserve">. – 2021. – </w:t>
      </w:r>
      <w:r w:rsidRPr="00C316BB">
        <w:rPr>
          <w:sz w:val="22"/>
          <w:szCs w:val="22"/>
        </w:rPr>
        <w:t>№3</w:t>
      </w:r>
      <w:r w:rsidRPr="00C316BB">
        <w:rPr>
          <w:rFonts w:eastAsia="Calibri"/>
          <w:sz w:val="22"/>
          <w:szCs w:val="22"/>
        </w:rPr>
        <w:t xml:space="preserve">. – С. </w:t>
      </w:r>
      <w:r w:rsidRPr="00C316BB">
        <w:rPr>
          <w:sz w:val="22"/>
          <w:szCs w:val="22"/>
        </w:rPr>
        <w:t>40-44.</w:t>
      </w:r>
      <w:r w:rsidRPr="00C316BB">
        <w:rPr>
          <w:rFonts w:eastAsia="Calibri"/>
          <w:sz w:val="22"/>
          <w:szCs w:val="22"/>
        </w:rPr>
        <w:t xml:space="preserve"> – DOI </w:t>
      </w:r>
      <w:r w:rsidRPr="00C316BB">
        <w:rPr>
          <w:sz w:val="22"/>
          <w:szCs w:val="22"/>
        </w:rPr>
        <w:t>10.24412/1993-8780-2021-3-40-44</w:t>
      </w:r>
    </w:p>
    <w:p w14:paraId="5B7BE3B8" w14:textId="77777777" w:rsidR="001E46F9" w:rsidRPr="00C316BB" w:rsidRDefault="001E46F9" w:rsidP="001E46F9">
      <w:pPr>
        <w:pStyle w:val="a3"/>
        <w:numPr>
          <w:ilvl w:val="0"/>
          <w:numId w:val="1"/>
        </w:numPr>
        <w:tabs>
          <w:tab w:val="left" w:pos="1134"/>
        </w:tabs>
        <w:spacing w:line="360" w:lineRule="auto"/>
        <w:ind w:left="709" w:hanging="283"/>
        <w:rPr>
          <w:sz w:val="22"/>
          <w:szCs w:val="22"/>
          <w:lang w:val="en-US"/>
        </w:rPr>
      </w:pPr>
      <w:r w:rsidRPr="00C316BB">
        <w:rPr>
          <w:sz w:val="22"/>
          <w:szCs w:val="22"/>
          <w:lang w:val="en-US"/>
        </w:rPr>
        <w:lastRenderedPageBreak/>
        <w:t xml:space="preserve">Civic crowdfunding is not about the money. </w:t>
      </w:r>
      <w:r w:rsidRPr="00C316BB">
        <w:rPr>
          <w:rFonts w:eastAsia="Calibri"/>
          <w:sz w:val="22"/>
          <w:szCs w:val="22"/>
          <w:lang w:val="en-US"/>
        </w:rPr>
        <w:t xml:space="preserve">– URL: </w:t>
      </w:r>
      <w:r w:rsidRPr="00C316BB">
        <w:rPr>
          <w:sz w:val="22"/>
          <w:szCs w:val="22"/>
          <w:lang w:val="en-US"/>
        </w:rPr>
        <w:t>https://www.civictools.nl/en/artikel/civic-crowdfunding-is-not-about-the-money</w:t>
      </w:r>
    </w:p>
    <w:p w14:paraId="3ADBF212" w14:textId="77777777" w:rsidR="001E46F9" w:rsidRPr="00C316BB" w:rsidRDefault="001E46F9" w:rsidP="001E46F9">
      <w:pPr>
        <w:pStyle w:val="a3"/>
        <w:numPr>
          <w:ilvl w:val="0"/>
          <w:numId w:val="1"/>
        </w:numPr>
        <w:tabs>
          <w:tab w:val="left" w:pos="1134"/>
        </w:tabs>
        <w:spacing w:line="360" w:lineRule="auto"/>
        <w:ind w:left="709" w:hanging="283"/>
        <w:rPr>
          <w:sz w:val="22"/>
          <w:szCs w:val="22"/>
          <w:lang w:val="en-US"/>
        </w:rPr>
      </w:pPr>
      <w:proofErr w:type="spellStart"/>
      <w:r w:rsidRPr="00B80DD1">
        <w:rPr>
          <w:sz w:val="22"/>
          <w:szCs w:val="22"/>
          <w:lang w:val="en-US"/>
        </w:rPr>
        <w:t>DiGiammarino</w:t>
      </w:r>
      <w:proofErr w:type="spellEnd"/>
      <w:r w:rsidRPr="00B80DD1">
        <w:rPr>
          <w:sz w:val="22"/>
          <w:szCs w:val="22"/>
          <w:lang w:val="en-US"/>
        </w:rPr>
        <w:t xml:space="preserve"> B. </w:t>
      </w:r>
      <w:r w:rsidRPr="00C316BB">
        <w:rPr>
          <w:sz w:val="22"/>
          <w:szCs w:val="22"/>
          <w:lang w:val="en-US"/>
        </w:rPr>
        <w:t>and</w:t>
      </w:r>
      <w:r w:rsidRPr="00B80DD1">
        <w:rPr>
          <w:sz w:val="22"/>
          <w:szCs w:val="22"/>
          <w:lang w:val="en-US"/>
        </w:rPr>
        <w:t xml:space="preserve"> Gore E.</w:t>
      </w:r>
      <w:r w:rsidRPr="00C316BB">
        <w:rPr>
          <w:sz w:val="22"/>
          <w:szCs w:val="22"/>
          <w:lang w:val="en-US"/>
        </w:rPr>
        <w:t> </w:t>
      </w:r>
      <w:r w:rsidRPr="00B80DD1">
        <w:rPr>
          <w:sz w:val="22"/>
          <w:szCs w:val="22"/>
          <w:lang w:val="en-US"/>
        </w:rPr>
        <w:t>M. (2014). Crowdfunding for Nonprofits. Stanford Social Innovation Review. https://doi.org/10.48558/21FP-3R82</w:t>
      </w:r>
    </w:p>
    <w:p w14:paraId="22E2696B" w14:textId="77777777" w:rsidR="001E46F9" w:rsidRPr="00C316BB" w:rsidRDefault="001E46F9" w:rsidP="001E46F9">
      <w:pPr>
        <w:pStyle w:val="a3"/>
        <w:numPr>
          <w:ilvl w:val="0"/>
          <w:numId w:val="1"/>
        </w:numPr>
        <w:tabs>
          <w:tab w:val="left" w:pos="1134"/>
        </w:tabs>
        <w:spacing w:line="360" w:lineRule="auto"/>
        <w:ind w:left="709" w:hanging="283"/>
        <w:rPr>
          <w:sz w:val="22"/>
          <w:szCs w:val="22"/>
          <w:lang w:val="en-US"/>
        </w:rPr>
      </w:pPr>
      <w:proofErr w:type="spellStart"/>
      <w:r w:rsidRPr="00C316BB">
        <w:rPr>
          <w:sz w:val="22"/>
          <w:szCs w:val="22"/>
          <w:lang w:val="en-US"/>
        </w:rPr>
        <w:t>Mollick</w:t>
      </w:r>
      <w:proofErr w:type="spellEnd"/>
      <w:r w:rsidRPr="00C316BB">
        <w:rPr>
          <w:sz w:val="22"/>
          <w:szCs w:val="22"/>
          <w:lang w:val="en-US"/>
        </w:rPr>
        <w:t xml:space="preserve"> E. (2014). The dynamics of crowdfunding: an exploratory study. Journal of Business Venturing, Elsevier, Vol. 29, No. 1, pp. 1-16. https://doi.org/10.2139/ssrn.2088298</w:t>
      </w:r>
    </w:p>
    <w:p w14:paraId="62F2EF48" w14:textId="77777777" w:rsidR="001E46F9" w:rsidRPr="00C316BB" w:rsidRDefault="001E46F9" w:rsidP="001E46F9">
      <w:pPr>
        <w:pStyle w:val="a3"/>
        <w:numPr>
          <w:ilvl w:val="0"/>
          <w:numId w:val="1"/>
        </w:numPr>
        <w:tabs>
          <w:tab w:val="left" w:pos="1134"/>
        </w:tabs>
        <w:spacing w:line="360" w:lineRule="auto"/>
        <w:ind w:left="709" w:hanging="283"/>
        <w:rPr>
          <w:sz w:val="22"/>
          <w:szCs w:val="22"/>
          <w:lang w:val="en-US"/>
        </w:rPr>
      </w:pPr>
      <w:r w:rsidRPr="00C316BB">
        <w:rPr>
          <w:sz w:val="22"/>
          <w:szCs w:val="22"/>
          <w:lang w:val="en-US"/>
        </w:rPr>
        <w:t>Reddy S. and Tan Y. (2017). Crowdfunding – Financing Ventures in the Digital Era. GfK Marketing Intelligence Review, Vol. 9, No. 1, pp. 36-41. https://doi.org/10.1515/gfkmir-2017-0006</w:t>
      </w:r>
      <w:bookmarkStart w:id="1" w:name="_Hlk102404141"/>
    </w:p>
    <w:p w14:paraId="1CD28CF4" w14:textId="77777777" w:rsidR="001E46F9" w:rsidRPr="00C316BB" w:rsidRDefault="001E46F9" w:rsidP="001E46F9">
      <w:pPr>
        <w:pStyle w:val="a3"/>
        <w:numPr>
          <w:ilvl w:val="0"/>
          <w:numId w:val="1"/>
        </w:numPr>
        <w:tabs>
          <w:tab w:val="left" w:pos="1134"/>
        </w:tabs>
        <w:spacing w:line="360" w:lineRule="auto"/>
        <w:ind w:left="709" w:hanging="283"/>
        <w:rPr>
          <w:sz w:val="22"/>
          <w:szCs w:val="22"/>
          <w:lang w:val="en-US"/>
        </w:rPr>
      </w:pPr>
      <w:r w:rsidRPr="00C316BB">
        <w:rPr>
          <w:sz w:val="22"/>
          <w:szCs w:val="22"/>
          <w:lang w:val="en-US"/>
        </w:rPr>
        <w:t xml:space="preserve">Van Montfort, K., </w:t>
      </w:r>
      <w:proofErr w:type="spellStart"/>
      <w:r w:rsidRPr="00C316BB">
        <w:rPr>
          <w:sz w:val="22"/>
          <w:szCs w:val="22"/>
          <w:lang w:val="en-US"/>
        </w:rPr>
        <w:t>Siebers</w:t>
      </w:r>
      <w:proofErr w:type="spellEnd"/>
      <w:r w:rsidRPr="00C316BB">
        <w:rPr>
          <w:sz w:val="22"/>
          <w:szCs w:val="22"/>
          <w:lang w:val="en-US"/>
        </w:rPr>
        <w:t>, V. and De Graaf, F. J. (2021). Civic crowdfunding in local governments: Variables for success in the Netherlands? Journal of Risk and Financial Management, Vol. 14, No. 1, pp. 1-13. https://doi.org/10.3390/jrfm14010008</w:t>
      </w:r>
    </w:p>
    <w:bookmarkEnd w:id="1"/>
    <w:p w14:paraId="6950A82F" w14:textId="3DFC4C84" w:rsidR="001407D7" w:rsidRPr="001E46F9" w:rsidRDefault="001E46F9" w:rsidP="001E46F9">
      <w:pPr>
        <w:pStyle w:val="a3"/>
        <w:numPr>
          <w:ilvl w:val="0"/>
          <w:numId w:val="1"/>
        </w:numPr>
        <w:tabs>
          <w:tab w:val="left" w:pos="1134"/>
        </w:tabs>
        <w:spacing w:line="360" w:lineRule="auto"/>
        <w:ind w:left="709" w:hanging="283"/>
        <w:rPr>
          <w:sz w:val="22"/>
          <w:szCs w:val="22"/>
          <w:lang w:val="en-US"/>
        </w:rPr>
      </w:pPr>
      <w:r w:rsidRPr="00C316BB">
        <w:rPr>
          <w:sz w:val="22"/>
          <w:szCs w:val="22"/>
          <w:lang w:val="en-US"/>
        </w:rPr>
        <w:t xml:space="preserve">Wenzlaff K. (2020). Civic Crowdfunding: Four Perspectives on the Definition of Civic Crowdfunding. In: </w:t>
      </w:r>
      <w:proofErr w:type="spellStart"/>
      <w:r w:rsidRPr="00C316BB">
        <w:rPr>
          <w:sz w:val="22"/>
          <w:szCs w:val="22"/>
          <w:lang w:val="en-US"/>
        </w:rPr>
        <w:t>Shneor</w:t>
      </w:r>
      <w:proofErr w:type="spellEnd"/>
      <w:r w:rsidRPr="00C316BB">
        <w:rPr>
          <w:sz w:val="22"/>
          <w:szCs w:val="22"/>
          <w:lang w:val="en-US"/>
        </w:rPr>
        <w:t xml:space="preserve">, R., Zhao, L., </w:t>
      </w:r>
      <w:proofErr w:type="spellStart"/>
      <w:r w:rsidRPr="00C316BB">
        <w:rPr>
          <w:sz w:val="22"/>
          <w:szCs w:val="22"/>
          <w:lang w:val="en-US"/>
        </w:rPr>
        <w:t>Flåten</w:t>
      </w:r>
      <w:proofErr w:type="spellEnd"/>
      <w:r w:rsidRPr="00C316BB">
        <w:rPr>
          <w:sz w:val="22"/>
          <w:szCs w:val="22"/>
          <w:lang w:val="en-US"/>
        </w:rPr>
        <w:t>, BT. (eds) Advances in Crowdfunding. Palgrave</w:t>
      </w:r>
      <w:r w:rsidRPr="00254F92">
        <w:rPr>
          <w:sz w:val="22"/>
          <w:szCs w:val="22"/>
          <w:lang w:val="en-US"/>
        </w:rPr>
        <w:t xml:space="preserve"> </w:t>
      </w:r>
      <w:r w:rsidRPr="00C316BB">
        <w:rPr>
          <w:sz w:val="22"/>
          <w:szCs w:val="22"/>
          <w:lang w:val="en-US"/>
        </w:rPr>
        <w:t>Macmillan</w:t>
      </w:r>
      <w:r w:rsidRPr="00254F92">
        <w:rPr>
          <w:sz w:val="22"/>
          <w:szCs w:val="22"/>
          <w:lang w:val="en-US"/>
        </w:rPr>
        <w:t xml:space="preserve">, </w:t>
      </w:r>
      <w:r w:rsidRPr="00C316BB">
        <w:rPr>
          <w:sz w:val="22"/>
          <w:szCs w:val="22"/>
          <w:lang w:val="en-US"/>
        </w:rPr>
        <w:t>Cham</w:t>
      </w:r>
      <w:r w:rsidRPr="00254F92">
        <w:rPr>
          <w:sz w:val="22"/>
          <w:szCs w:val="22"/>
          <w:lang w:val="en-US"/>
        </w:rPr>
        <w:t xml:space="preserve">. </w:t>
      </w:r>
      <w:r w:rsidRPr="00C316BB">
        <w:rPr>
          <w:sz w:val="22"/>
          <w:szCs w:val="22"/>
          <w:lang w:val="en-US"/>
        </w:rPr>
        <w:t>https</w:t>
      </w:r>
      <w:r w:rsidRPr="00254F92">
        <w:rPr>
          <w:sz w:val="22"/>
          <w:szCs w:val="22"/>
          <w:lang w:val="en-US"/>
        </w:rPr>
        <w:t>://</w:t>
      </w:r>
      <w:r w:rsidRPr="00C316BB">
        <w:rPr>
          <w:sz w:val="22"/>
          <w:szCs w:val="22"/>
          <w:lang w:val="en-US"/>
        </w:rPr>
        <w:t>doi</w:t>
      </w:r>
      <w:r w:rsidRPr="00254F92">
        <w:rPr>
          <w:sz w:val="22"/>
          <w:szCs w:val="22"/>
          <w:lang w:val="en-US"/>
        </w:rPr>
        <w:t>.</w:t>
      </w:r>
      <w:r w:rsidRPr="00C316BB">
        <w:rPr>
          <w:sz w:val="22"/>
          <w:szCs w:val="22"/>
          <w:lang w:val="en-US"/>
        </w:rPr>
        <w:t>org</w:t>
      </w:r>
      <w:r w:rsidRPr="00254F92">
        <w:rPr>
          <w:sz w:val="22"/>
          <w:szCs w:val="22"/>
          <w:lang w:val="en-US"/>
        </w:rPr>
        <w:t>/10.1007/978-3-030-46309-0_19</w:t>
      </w:r>
    </w:p>
    <w:sectPr w:rsidR="001407D7" w:rsidRPr="001E46F9" w:rsidSect="00EB6306">
      <w:pgSz w:w="11906" w:h="16838"/>
      <w:pgMar w:top="2211" w:right="1985" w:bottom="1474" w:left="23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7DC8CE" w14:textId="77777777" w:rsidR="00D71BA8" w:rsidRDefault="00D71BA8" w:rsidP="001E46F9">
      <w:pPr>
        <w:spacing w:line="240" w:lineRule="auto"/>
      </w:pPr>
      <w:r>
        <w:separator/>
      </w:r>
    </w:p>
  </w:endnote>
  <w:endnote w:type="continuationSeparator" w:id="0">
    <w:p w14:paraId="2F3EE700" w14:textId="77777777" w:rsidR="00D71BA8" w:rsidRDefault="00D71BA8" w:rsidP="001E46F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C6D41A" w14:textId="77777777" w:rsidR="00D71BA8" w:rsidRDefault="00D71BA8" w:rsidP="001E46F9">
      <w:pPr>
        <w:spacing w:line="240" w:lineRule="auto"/>
      </w:pPr>
      <w:r>
        <w:separator/>
      </w:r>
    </w:p>
  </w:footnote>
  <w:footnote w:type="continuationSeparator" w:id="0">
    <w:p w14:paraId="75A38AA6" w14:textId="77777777" w:rsidR="00D71BA8" w:rsidRDefault="00D71BA8" w:rsidP="001E46F9">
      <w:pPr>
        <w:spacing w:line="240" w:lineRule="auto"/>
      </w:pPr>
      <w:r>
        <w:continuationSeparator/>
      </w:r>
    </w:p>
  </w:footnote>
  <w:footnote w:id="1">
    <w:p w14:paraId="52C6700D" w14:textId="77777777" w:rsidR="001E46F9" w:rsidRDefault="001E46F9" w:rsidP="001E46F9">
      <w:pPr>
        <w:pStyle w:val="a4"/>
        <w:tabs>
          <w:tab w:val="left" w:pos="284"/>
        </w:tabs>
      </w:pPr>
      <w:r>
        <w:rPr>
          <w:rStyle w:val="a6"/>
        </w:rPr>
        <w:footnoteRef/>
      </w:r>
      <w:r>
        <w:t xml:space="preserve"> Фирсов Андрей Валериевич, младший научный сотрудник отдела финансово-экономических исследований ГБУ «Институт экономических исследований» </w:t>
      </w:r>
      <w:r w:rsidRPr="008518B2">
        <w:t>(</w:t>
      </w:r>
      <w:r>
        <w:t xml:space="preserve">Адрес: </w:t>
      </w:r>
      <w:r w:rsidRPr="008518B2">
        <w:t xml:space="preserve">83048, </w:t>
      </w:r>
      <w:r>
        <w:t>ДНР</w:t>
      </w:r>
      <w:r w:rsidRPr="008518B2">
        <w:t xml:space="preserve">, </w:t>
      </w:r>
      <w:r>
        <w:t>Донецк</w:t>
      </w:r>
      <w:r w:rsidRPr="008518B2">
        <w:t xml:space="preserve">, ул. </w:t>
      </w:r>
      <w:r>
        <w:t>Университетская</w:t>
      </w:r>
      <w:r w:rsidRPr="008518B2">
        <w:t xml:space="preserve">, </w:t>
      </w:r>
      <w:r>
        <w:t>77</w:t>
      </w:r>
      <w:r w:rsidRPr="008518B2">
        <w:t xml:space="preserve">; </w:t>
      </w:r>
      <w:r w:rsidRPr="008518B2">
        <w:rPr>
          <w:lang w:val="en-US"/>
        </w:rPr>
        <w:t>E</w:t>
      </w:r>
      <w:r w:rsidRPr="008518B2">
        <w:t>-</w:t>
      </w:r>
      <w:r w:rsidRPr="008518B2">
        <w:rPr>
          <w:lang w:val="en-US"/>
        </w:rPr>
        <w:t>mail</w:t>
      </w:r>
      <w:r w:rsidRPr="008518B2">
        <w:t>:</w:t>
      </w:r>
      <w:r>
        <w:t xml:space="preserve"> </w:t>
      </w:r>
      <w:r w:rsidRPr="003A1D5A">
        <w:rPr>
          <w:lang w:val="en-US"/>
        </w:rPr>
        <w:t>firsov</w:t>
      </w:r>
      <w:r w:rsidRPr="008518B2">
        <w:t>.</w:t>
      </w:r>
      <w:r w:rsidRPr="003A1D5A">
        <w:rPr>
          <w:lang w:val="en-US"/>
        </w:rPr>
        <w:t>a</w:t>
      </w:r>
      <w:r w:rsidRPr="008518B2">
        <w:t>.</w:t>
      </w:r>
      <w:r w:rsidRPr="003A1D5A">
        <w:rPr>
          <w:lang w:val="en-US"/>
        </w:rPr>
        <w:t>v</w:t>
      </w:r>
      <w:r w:rsidRPr="008518B2">
        <w:t>@</w:t>
      </w:r>
      <w:r w:rsidRPr="003A1D5A">
        <w:rPr>
          <w:lang w:val="en-US"/>
        </w:rPr>
        <w:t>econri</w:t>
      </w:r>
      <w:r w:rsidRPr="008518B2">
        <w:t>.</w:t>
      </w:r>
      <w:r w:rsidRPr="003A1D5A">
        <w:rPr>
          <w:lang w:val="en-US"/>
        </w:rPr>
        <w:t>org</w:t>
      </w:r>
      <w:r w:rsidRPr="008518B2">
        <w:t>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624808"/>
    <w:multiLevelType w:val="hybridMultilevel"/>
    <w:tmpl w:val="4B66D9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7B54"/>
    <w:rsid w:val="000120CC"/>
    <w:rsid w:val="00055C29"/>
    <w:rsid w:val="001407D7"/>
    <w:rsid w:val="001E46F9"/>
    <w:rsid w:val="00276B3E"/>
    <w:rsid w:val="002F095D"/>
    <w:rsid w:val="003027EB"/>
    <w:rsid w:val="00507B54"/>
    <w:rsid w:val="00620115"/>
    <w:rsid w:val="00644931"/>
    <w:rsid w:val="00771286"/>
    <w:rsid w:val="00880353"/>
    <w:rsid w:val="00A266F7"/>
    <w:rsid w:val="00AC07F1"/>
    <w:rsid w:val="00D71BA8"/>
    <w:rsid w:val="00FD6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BBA97"/>
  <w15:chartTrackingRefBased/>
  <w15:docId w15:val="{CF0DDDE8-97A4-4635-AF88-CED951CD7E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8"/>
        <w:lang w:val="ru-RU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E46F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E46F9"/>
    <w:pPr>
      <w:ind w:left="720"/>
      <w:contextualSpacing/>
    </w:pPr>
  </w:style>
  <w:style w:type="paragraph" w:styleId="a4">
    <w:name w:val="footnote text"/>
    <w:basedOn w:val="a"/>
    <w:link w:val="a5"/>
    <w:uiPriority w:val="99"/>
    <w:unhideWhenUsed/>
    <w:rsid w:val="001E46F9"/>
    <w:pPr>
      <w:spacing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1E46F9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1E46F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1409</Words>
  <Characters>8032</Characters>
  <DocSecurity>0</DocSecurity>
  <Lines>66</Lines>
  <Paragraphs>18</Paragraphs>
  <ScaleCrop>false</ScaleCrop>
  <Company/>
  <LinksUpToDate>false</LinksUpToDate>
  <CharactersWithSpaces>9423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2022-05-04T07:22:00Z</dcterms:created>
  <dcterms:modified xsi:type="dcterms:W3CDTF">2022-05-04T07:22:00Z</dcterms:modified>
</cp:coreProperties>
</file>