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theme/themeOverride3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7E82" w:rsidRPr="002422EA" w:rsidRDefault="00AD126D" w:rsidP="00827E82">
      <w:pPr>
        <w:pStyle w:val="12"/>
        <w:rPr>
          <w:rFonts w:asciiTheme="majorHAnsi" w:hAnsiTheme="majorHAnsi" w:cstheme="majorBidi"/>
          <w:caps/>
          <w:szCs w:val="24"/>
        </w:rPr>
      </w:pPr>
      <w:bookmarkStart w:id="0" w:name="_Toc76714064"/>
      <w:r>
        <w:rPr>
          <w:lang w:eastAsia="ru-RU"/>
        </w:rPr>
        <w:t>Селина М.Н</w:t>
      </w:r>
      <w:r w:rsidR="00827E82">
        <w:rPr>
          <w:lang w:eastAsia="ru-RU"/>
        </w:rPr>
        <w:t>.</w:t>
      </w:r>
      <w:r w:rsidR="00827E82" w:rsidRPr="002422EA">
        <w:rPr>
          <w:rFonts w:asciiTheme="majorHAnsi" w:hAnsiTheme="majorHAnsi"/>
          <w:caps/>
          <w:szCs w:val="24"/>
          <w:vertAlign w:val="superscript"/>
        </w:rPr>
        <w:footnoteReference w:customMarkFollows="1" w:id="1"/>
        <w:t>1</w:t>
      </w:r>
      <w:bookmarkEnd w:id="0"/>
    </w:p>
    <w:p w:rsidR="00827E82" w:rsidRPr="002422EA" w:rsidRDefault="00827E82" w:rsidP="00827E82">
      <w:pPr>
        <w:spacing w:after="0" w:line="252" w:lineRule="auto"/>
        <w:ind w:firstLine="425"/>
        <w:jc w:val="right"/>
        <w:rPr>
          <w:rFonts w:ascii="Times New Roman" w:hAnsi="Times New Roman" w:cs="Times New Roman"/>
          <w:b/>
          <w:sz w:val="24"/>
        </w:rPr>
      </w:pPr>
    </w:p>
    <w:p w:rsidR="00827E82" w:rsidRPr="00A4714E" w:rsidRDefault="00A4714E" w:rsidP="00827E82">
      <w:pPr>
        <w:pStyle w:val="123"/>
        <w:rPr>
          <w:rFonts w:eastAsia="Times New Roman"/>
        </w:rPr>
      </w:pPr>
      <w:r>
        <w:rPr>
          <w:rFonts w:eastAsia="Times New Roman"/>
        </w:rPr>
        <w:t>Сравнение эффективности финансовых инструментов на разных финансовых рынках в период кризиса 2022 года</w:t>
      </w:r>
    </w:p>
    <w:p w:rsidR="00827E82" w:rsidRPr="002422EA" w:rsidRDefault="00827E82" w:rsidP="00827E82">
      <w:pPr>
        <w:spacing w:after="0" w:line="240" w:lineRule="auto"/>
        <w:ind w:firstLine="425"/>
        <w:jc w:val="center"/>
        <w:rPr>
          <w:rFonts w:ascii="Times New Roman" w:hAnsi="Times New Roman"/>
          <w:b/>
          <w:color w:val="231F20"/>
          <w:sz w:val="24"/>
          <w:szCs w:val="24"/>
        </w:rPr>
      </w:pPr>
    </w:p>
    <w:p w:rsidR="00827E82" w:rsidRDefault="00827E82" w:rsidP="00827E8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 xml:space="preserve">Аннотация: </w:t>
      </w:r>
      <w:r w:rsidR="00A4714E">
        <w:rPr>
          <w:rFonts w:ascii="Times New Roman" w:hAnsi="Times New Roman" w:cs="Times New Roman"/>
          <w:i/>
        </w:rPr>
        <w:t>в рамках исследования представлен сравнительный анализ эффективности финансовых инструментов на разных финансовых рынках. Оценены потенциальные возможности сбережения денежных сре</w:t>
      </w:r>
      <w:proofErr w:type="gramStart"/>
      <w:r w:rsidR="00A4714E">
        <w:rPr>
          <w:rFonts w:ascii="Times New Roman" w:hAnsi="Times New Roman" w:cs="Times New Roman"/>
          <w:i/>
        </w:rPr>
        <w:t>дств дл</w:t>
      </w:r>
      <w:proofErr w:type="gramEnd"/>
      <w:r w:rsidR="00A4714E">
        <w:rPr>
          <w:rFonts w:ascii="Times New Roman" w:hAnsi="Times New Roman" w:cs="Times New Roman"/>
          <w:i/>
        </w:rPr>
        <w:t>я частных инвесторов</w:t>
      </w:r>
      <w:r>
        <w:rPr>
          <w:rFonts w:ascii="Times New Roman" w:hAnsi="Times New Roman" w:cs="Times New Roman"/>
          <w:i/>
        </w:rPr>
        <w:t>.</w:t>
      </w:r>
      <w:r w:rsidR="00A4714E">
        <w:rPr>
          <w:rFonts w:ascii="Times New Roman" w:hAnsi="Times New Roman" w:cs="Times New Roman"/>
          <w:i/>
        </w:rPr>
        <w:t xml:space="preserve"> Выявлено влияние инфляции на доходность финансовых инструментов</w:t>
      </w:r>
    </w:p>
    <w:p w:rsidR="00827E82" w:rsidRPr="002422EA" w:rsidRDefault="00827E82" w:rsidP="00827E8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 xml:space="preserve">Ключевые слова: </w:t>
      </w:r>
      <w:r w:rsidR="00A4714E">
        <w:rPr>
          <w:rFonts w:ascii="Times New Roman" w:hAnsi="Times New Roman" w:cs="Times New Roman"/>
          <w:i/>
        </w:rPr>
        <w:t>кризис, финансовые инструменты, эффективность, инфляция, реальная доходность</w:t>
      </w:r>
      <w:r>
        <w:rPr>
          <w:rFonts w:ascii="Times New Roman" w:hAnsi="Times New Roman" w:cs="Times New Roman"/>
          <w:i/>
        </w:rPr>
        <w:t>.</w:t>
      </w:r>
    </w:p>
    <w:p w:rsidR="001456D1" w:rsidRDefault="001456D1" w:rsidP="005F5AF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1456D1" w:rsidRDefault="001456D1" w:rsidP="005F5AF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EA4672" w:rsidRDefault="00A4714E" w:rsidP="005F5AF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настоящий момент времени все финансовые рынки России испытывают кризисное состояние.</w:t>
      </w:r>
      <w:r w:rsidR="006C0A82">
        <w:rPr>
          <w:rFonts w:ascii="Times New Roman" w:hAnsi="Times New Roman" w:cs="Times New Roman"/>
        </w:rPr>
        <w:t xml:space="preserve"> Показатели банковского рынка</w:t>
      </w:r>
      <w:r w:rsidR="001B1D86">
        <w:rPr>
          <w:rFonts w:ascii="Times New Roman" w:hAnsi="Times New Roman" w:cs="Times New Roman"/>
        </w:rPr>
        <w:t xml:space="preserve"> </w:t>
      </w:r>
      <w:r w:rsidR="001B1D86" w:rsidRPr="001B1D86">
        <w:rPr>
          <w:rFonts w:ascii="Times New Roman" w:hAnsi="Times New Roman" w:cs="Times New Roman"/>
        </w:rPr>
        <w:t>[1]</w:t>
      </w:r>
      <w:r w:rsidR="006C0A82">
        <w:rPr>
          <w:rFonts w:ascii="Times New Roman" w:hAnsi="Times New Roman" w:cs="Times New Roman"/>
        </w:rPr>
        <w:t>, рынка ценных бумаг</w:t>
      </w:r>
      <w:r w:rsidR="001B1D86" w:rsidRPr="001B1D86">
        <w:rPr>
          <w:rFonts w:ascii="Times New Roman" w:hAnsi="Times New Roman" w:cs="Times New Roman"/>
        </w:rPr>
        <w:t xml:space="preserve"> [4]</w:t>
      </w:r>
      <w:r w:rsidR="006C0A82">
        <w:rPr>
          <w:rFonts w:ascii="Times New Roman" w:hAnsi="Times New Roman" w:cs="Times New Roman"/>
        </w:rPr>
        <w:t xml:space="preserve">, </w:t>
      </w:r>
      <w:r w:rsidR="00AA53CB">
        <w:rPr>
          <w:rFonts w:ascii="Times New Roman" w:hAnsi="Times New Roman" w:cs="Times New Roman"/>
        </w:rPr>
        <w:t>драгоценных металлов</w:t>
      </w:r>
      <w:r w:rsidR="001B1D86" w:rsidRPr="001B1D86">
        <w:rPr>
          <w:rFonts w:ascii="Times New Roman" w:hAnsi="Times New Roman" w:cs="Times New Roman"/>
        </w:rPr>
        <w:t xml:space="preserve"> [3]</w:t>
      </w:r>
      <w:r w:rsidR="00AA53CB">
        <w:rPr>
          <w:rFonts w:ascii="Times New Roman" w:hAnsi="Times New Roman" w:cs="Times New Roman"/>
        </w:rPr>
        <w:t xml:space="preserve">, </w:t>
      </w:r>
      <w:r w:rsidR="006C0A82">
        <w:rPr>
          <w:rFonts w:ascii="Times New Roman" w:hAnsi="Times New Roman" w:cs="Times New Roman"/>
        </w:rPr>
        <w:t xml:space="preserve">иностранной валюты, </w:t>
      </w:r>
      <w:proofErr w:type="spellStart"/>
      <w:r w:rsidR="006C0A82">
        <w:rPr>
          <w:rFonts w:ascii="Times New Roman" w:hAnsi="Times New Roman" w:cs="Times New Roman"/>
        </w:rPr>
        <w:t>криптовалюты</w:t>
      </w:r>
      <w:proofErr w:type="spellEnd"/>
      <w:r w:rsidR="006C0A82">
        <w:rPr>
          <w:rFonts w:ascii="Times New Roman" w:hAnsi="Times New Roman" w:cs="Times New Roman"/>
        </w:rPr>
        <w:t xml:space="preserve"> находятся в «шоковых» условиях. </w:t>
      </w:r>
      <w:r w:rsidR="00AA53CB">
        <w:rPr>
          <w:rFonts w:ascii="Times New Roman" w:hAnsi="Times New Roman" w:cs="Times New Roman"/>
        </w:rPr>
        <w:t>Нельзя однозначно сейчас прогнозировать какие-либо перспективы и показатели. Ключевые индикаторы состояния экономического и финансового рынков России имеют неравномерные изменения, но вполне ожидаемые на текущий момент.</w:t>
      </w:r>
      <w:r w:rsidR="00E6229A">
        <w:rPr>
          <w:rFonts w:ascii="Times New Roman" w:hAnsi="Times New Roman" w:cs="Times New Roman"/>
        </w:rPr>
        <w:t xml:space="preserve"> Вот некоторые из них</w:t>
      </w:r>
      <w:r w:rsidR="00FA1F95">
        <w:rPr>
          <w:rFonts w:ascii="Times New Roman" w:hAnsi="Times New Roman" w:cs="Times New Roman"/>
        </w:rPr>
        <w:t xml:space="preserve"> (рис. 1, 2, 3, 4).</w:t>
      </w:r>
    </w:p>
    <w:p w:rsidR="00FA1F95" w:rsidRDefault="00FA1F95" w:rsidP="005F5AF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FA1F95" w:rsidRDefault="00FA1F95" w:rsidP="005F5AF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FA1F95" w:rsidRDefault="00FA1F95" w:rsidP="005F5AF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58BB9B96">
            <wp:extent cx="5076824" cy="210502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2681" cy="210745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A1F95" w:rsidRDefault="00FA1F95" w:rsidP="00FA1F95">
      <w:pPr>
        <w:spacing w:after="0" w:line="252" w:lineRule="auto"/>
        <w:jc w:val="center"/>
        <w:rPr>
          <w:rFonts w:ascii="Times New Roman" w:hAnsi="Times New Roman" w:cs="Times New Roman"/>
        </w:rPr>
      </w:pPr>
      <w:r w:rsidRPr="00FA1F95">
        <w:rPr>
          <w:rFonts w:ascii="Times New Roman" w:hAnsi="Times New Roman" w:cs="Times New Roman"/>
        </w:rPr>
        <w:t xml:space="preserve">Рис. 1. </w:t>
      </w:r>
      <w:r>
        <w:rPr>
          <w:rFonts w:ascii="Times New Roman" w:hAnsi="Times New Roman" w:cs="Times New Roman"/>
          <w:b/>
        </w:rPr>
        <w:t>Динамика ключевой ставки Банка России с начала 2022 года, процентов</w:t>
      </w:r>
    </w:p>
    <w:p w:rsidR="001456D1" w:rsidRDefault="001456D1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1456D1" w:rsidRDefault="001456D1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A5222E" w:rsidRDefault="00A5222E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Банк России с помощью высокой ключевой ставки (рис. 1) удерживает инфляцию, </w:t>
      </w:r>
      <w:r w:rsidR="004F2E4D">
        <w:rPr>
          <w:rFonts w:ascii="Times New Roman" w:hAnsi="Times New Roman" w:cs="Times New Roman"/>
        </w:rPr>
        <w:t>а</w:t>
      </w:r>
      <w:r>
        <w:rPr>
          <w:rFonts w:ascii="Times New Roman" w:hAnsi="Times New Roman" w:cs="Times New Roman"/>
        </w:rPr>
        <w:t xml:space="preserve"> падение ставки дает надежду на остановку роста цен. </w:t>
      </w:r>
    </w:p>
    <w:p w:rsidR="001456D1" w:rsidRDefault="001456D1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1456D1" w:rsidRDefault="001456D1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A5222E" w:rsidRDefault="00A5222E" w:rsidP="00EA4672">
      <w:pPr>
        <w:widowControl w:val="0"/>
        <w:suppressAutoHyphens/>
        <w:spacing w:after="0" w:line="247" w:lineRule="auto"/>
        <w:ind w:firstLine="425"/>
        <w:jc w:val="center"/>
        <w:rPr>
          <w:rFonts w:ascii="Times New Roman" w:eastAsia="DejaVu Sans" w:hAnsi="Times New Roman" w:cs="Times New Roman"/>
          <w:kern w:val="2"/>
          <w:lang w:eastAsia="ru-RU"/>
        </w:rPr>
      </w:pPr>
      <w:r>
        <w:rPr>
          <w:noProof/>
          <w:lang w:eastAsia="ru-RU"/>
        </w:rPr>
        <w:drawing>
          <wp:inline distT="0" distB="0" distL="0" distR="0" wp14:anchorId="378434F0" wp14:editId="38B5B711">
            <wp:extent cx="5362575" cy="2190750"/>
            <wp:effectExtent l="0" t="0" r="9525" b="1905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A5222E" w:rsidRPr="00A5222E" w:rsidRDefault="00A5222E" w:rsidP="00A5222E">
      <w:pPr>
        <w:widowControl w:val="0"/>
        <w:suppressAutoHyphens/>
        <w:spacing w:after="0" w:line="247" w:lineRule="auto"/>
        <w:ind w:firstLine="425"/>
        <w:jc w:val="center"/>
        <w:rPr>
          <w:rFonts w:ascii="Times New Roman" w:eastAsia="DejaVu Sans" w:hAnsi="Times New Roman" w:cs="Times New Roman"/>
          <w:b/>
          <w:kern w:val="2"/>
          <w:lang w:eastAsia="ru-RU"/>
        </w:rPr>
      </w:pPr>
      <w:r w:rsidRPr="00A5222E">
        <w:rPr>
          <w:rFonts w:ascii="Times New Roman" w:eastAsia="DejaVu Sans" w:hAnsi="Times New Roman" w:cs="Times New Roman"/>
          <w:kern w:val="2"/>
          <w:lang w:eastAsia="ru-RU"/>
        </w:rPr>
        <w:t xml:space="preserve">Рис. </w:t>
      </w:r>
      <w:r w:rsidR="00295137">
        <w:rPr>
          <w:rFonts w:ascii="Times New Roman" w:eastAsia="DejaVu Sans" w:hAnsi="Times New Roman" w:cs="Times New Roman"/>
          <w:kern w:val="2"/>
          <w:lang w:eastAsia="ru-RU"/>
        </w:rPr>
        <w:t>2</w:t>
      </w:r>
      <w:r w:rsidRPr="00A5222E">
        <w:rPr>
          <w:rFonts w:ascii="Times New Roman" w:eastAsia="DejaVu Sans" w:hAnsi="Times New Roman" w:cs="Times New Roman"/>
          <w:kern w:val="2"/>
          <w:lang w:eastAsia="ru-RU"/>
        </w:rPr>
        <w:t xml:space="preserve">. </w:t>
      </w:r>
      <w:r w:rsidRPr="00A5222E">
        <w:rPr>
          <w:rFonts w:ascii="Times New Roman" w:eastAsia="DejaVu Sans" w:hAnsi="Times New Roman" w:cs="Times New Roman"/>
          <w:b/>
          <w:kern w:val="2"/>
          <w:lang w:eastAsia="ru-RU"/>
        </w:rPr>
        <w:t xml:space="preserve">Динамика </w:t>
      </w:r>
      <w:r>
        <w:rPr>
          <w:rFonts w:ascii="Times New Roman" w:eastAsia="DejaVu Sans" w:hAnsi="Times New Roman" w:cs="Times New Roman"/>
          <w:b/>
          <w:kern w:val="2"/>
          <w:lang w:eastAsia="ru-RU"/>
        </w:rPr>
        <w:t>индекса РТС</w:t>
      </w:r>
      <w:r w:rsidRPr="00A5222E">
        <w:rPr>
          <w:rFonts w:ascii="Times New Roman" w:eastAsia="DejaVu Sans" w:hAnsi="Times New Roman" w:cs="Times New Roman"/>
          <w:b/>
          <w:kern w:val="2"/>
          <w:lang w:eastAsia="ru-RU"/>
        </w:rPr>
        <w:t xml:space="preserve"> </w:t>
      </w:r>
      <w:r w:rsidR="0007168A">
        <w:rPr>
          <w:rFonts w:ascii="Times New Roman" w:eastAsia="DejaVu Sans" w:hAnsi="Times New Roman" w:cs="Times New Roman"/>
          <w:b/>
          <w:kern w:val="2"/>
          <w:lang w:eastAsia="ru-RU"/>
        </w:rPr>
        <w:t xml:space="preserve">в 2022 году, </w:t>
      </w:r>
      <w:r w:rsidRPr="00A5222E">
        <w:rPr>
          <w:rFonts w:ascii="Times New Roman" w:eastAsia="DejaVu Sans" w:hAnsi="Times New Roman" w:cs="Times New Roman"/>
          <w:b/>
          <w:kern w:val="2"/>
          <w:lang w:eastAsia="ru-RU"/>
        </w:rPr>
        <w:t xml:space="preserve">в </w:t>
      </w:r>
      <w:r>
        <w:rPr>
          <w:rFonts w:ascii="Times New Roman" w:eastAsia="DejaVu Sans" w:hAnsi="Times New Roman" w:cs="Times New Roman"/>
          <w:b/>
          <w:kern w:val="2"/>
          <w:lang w:eastAsia="ru-RU"/>
        </w:rPr>
        <w:t>пунктах</w:t>
      </w:r>
    </w:p>
    <w:p w:rsidR="001456D1" w:rsidRDefault="001456D1" w:rsidP="00A5222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1456D1" w:rsidRDefault="001456D1" w:rsidP="00A5222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A5222E" w:rsidRDefault="00A5222E" w:rsidP="00A5222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За 3 месяца значение индекса РТС, включающего </w:t>
      </w:r>
      <w:r w:rsidR="00AA474D">
        <w:rPr>
          <w:rFonts w:ascii="Times New Roman" w:hAnsi="Times New Roman" w:cs="Times New Roman"/>
        </w:rPr>
        <w:t xml:space="preserve">наиболее ликвидные </w:t>
      </w:r>
      <w:r>
        <w:rPr>
          <w:rFonts w:ascii="Times New Roman" w:hAnsi="Times New Roman" w:cs="Times New Roman"/>
        </w:rPr>
        <w:t xml:space="preserve">акции </w:t>
      </w:r>
      <w:r w:rsidR="00AA474D">
        <w:rPr>
          <w:rFonts w:ascii="Times New Roman" w:hAnsi="Times New Roman" w:cs="Times New Roman"/>
        </w:rPr>
        <w:t>крупнейших и динамично развивающихся</w:t>
      </w:r>
      <w:r>
        <w:rPr>
          <w:rFonts w:ascii="Times New Roman" w:hAnsi="Times New Roman" w:cs="Times New Roman"/>
        </w:rPr>
        <w:t xml:space="preserve"> компаний</w:t>
      </w:r>
      <w:r w:rsidR="00AA474D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упало на 24 процента, что характерно для рынка ценных бумаг в кризисные периоды. Как правило, после пика кризиса рынок ценных бумаг начинает медленно восстанавливаться</w:t>
      </w:r>
      <w:r w:rsidR="001B1D86" w:rsidRPr="001B1D86">
        <w:rPr>
          <w:rFonts w:ascii="Times New Roman" w:hAnsi="Times New Roman" w:cs="Times New Roman"/>
        </w:rPr>
        <w:t xml:space="preserve"> [5]</w:t>
      </w:r>
      <w:r>
        <w:rPr>
          <w:rFonts w:ascii="Times New Roman" w:hAnsi="Times New Roman" w:cs="Times New Roman"/>
        </w:rPr>
        <w:t>, что мы и видим на рисунке</w:t>
      </w:r>
      <w:r w:rsidR="004F2E4D">
        <w:rPr>
          <w:rFonts w:ascii="Times New Roman" w:hAnsi="Times New Roman" w:cs="Times New Roman"/>
        </w:rPr>
        <w:t xml:space="preserve"> 2</w:t>
      </w:r>
      <w:r>
        <w:rPr>
          <w:rFonts w:ascii="Times New Roman" w:hAnsi="Times New Roman" w:cs="Times New Roman"/>
        </w:rPr>
        <w:t>.</w:t>
      </w:r>
    </w:p>
    <w:p w:rsidR="00A5222E" w:rsidRDefault="00A5222E" w:rsidP="00A5222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1456D1" w:rsidRDefault="001456D1" w:rsidP="00A5222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295137" w:rsidRDefault="004F2E4D" w:rsidP="00A5222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noProof/>
          <w:lang w:eastAsia="ru-RU"/>
        </w:rPr>
        <w:drawing>
          <wp:inline distT="0" distB="0" distL="0" distR="0" wp14:anchorId="1121F5C6" wp14:editId="171385B4">
            <wp:extent cx="5286375" cy="2295525"/>
            <wp:effectExtent l="0" t="0" r="9525" b="9525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295137" w:rsidRPr="00A5222E" w:rsidRDefault="00295137" w:rsidP="00295137">
      <w:pPr>
        <w:widowControl w:val="0"/>
        <w:suppressAutoHyphens/>
        <w:spacing w:after="0" w:line="247" w:lineRule="auto"/>
        <w:ind w:firstLine="425"/>
        <w:jc w:val="center"/>
        <w:rPr>
          <w:rFonts w:ascii="Times New Roman" w:eastAsia="DejaVu Sans" w:hAnsi="Times New Roman" w:cs="Times New Roman"/>
          <w:b/>
          <w:kern w:val="2"/>
          <w:lang w:eastAsia="ru-RU"/>
        </w:rPr>
      </w:pPr>
      <w:r w:rsidRPr="00A5222E">
        <w:rPr>
          <w:rFonts w:ascii="Times New Roman" w:eastAsia="DejaVu Sans" w:hAnsi="Times New Roman" w:cs="Times New Roman"/>
          <w:kern w:val="2"/>
          <w:lang w:eastAsia="ru-RU"/>
        </w:rPr>
        <w:t xml:space="preserve">Рис. </w:t>
      </w:r>
      <w:r>
        <w:rPr>
          <w:rFonts w:ascii="Times New Roman" w:eastAsia="DejaVu Sans" w:hAnsi="Times New Roman" w:cs="Times New Roman"/>
          <w:kern w:val="2"/>
          <w:lang w:eastAsia="ru-RU"/>
        </w:rPr>
        <w:t>3</w:t>
      </w:r>
      <w:r w:rsidRPr="00A5222E">
        <w:rPr>
          <w:rFonts w:ascii="Times New Roman" w:eastAsia="DejaVu Sans" w:hAnsi="Times New Roman" w:cs="Times New Roman"/>
          <w:kern w:val="2"/>
          <w:lang w:eastAsia="ru-RU"/>
        </w:rPr>
        <w:t xml:space="preserve">. </w:t>
      </w:r>
      <w:r>
        <w:rPr>
          <w:rFonts w:ascii="Times New Roman" w:eastAsia="DejaVu Sans" w:hAnsi="Times New Roman" w:cs="Times New Roman"/>
          <w:b/>
          <w:kern w:val="2"/>
          <w:lang w:eastAsia="ru-RU"/>
        </w:rPr>
        <w:t xml:space="preserve">Уровень инфляции </w:t>
      </w:r>
      <w:r w:rsidR="0007168A">
        <w:rPr>
          <w:rFonts w:ascii="Times New Roman" w:eastAsia="DejaVu Sans" w:hAnsi="Times New Roman" w:cs="Times New Roman"/>
          <w:b/>
          <w:kern w:val="2"/>
          <w:lang w:eastAsia="ru-RU"/>
        </w:rPr>
        <w:t xml:space="preserve">в 2022 году </w:t>
      </w:r>
      <w:r>
        <w:rPr>
          <w:rFonts w:ascii="Times New Roman" w:eastAsia="DejaVu Sans" w:hAnsi="Times New Roman" w:cs="Times New Roman"/>
          <w:b/>
          <w:kern w:val="2"/>
          <w:lang w:eastAsia="ru-RU"/>
        </w:rPr>
        <w:t xml:space="preserve">в годовом измерении, </w:t>
      </w:r>
      <w:r w:rsidRPr="00A5222E">
        <w:rPr>
          <w:rFonts w:ascii="Times New Roman" w:eastAsia="DejaVu Sans" w:hAnsi="Times New Roman" w:cs="Times New Roman"/>
          <w:b/>
          <w:kern w:val="2"/>
          <w:lang w:eastAsia="ru-RU"/>
        </w:rPr>
        <w:t xml:space="preserve">в </w:t>
      </w:r>
      <w:r>
        <w:rPr>
          <w:rFonts w:ascii="Times New Roman" w:eastAsia="DejaVu Sans" w:hAnsi="Times New Roman" w:cs="Times New Roman"/>
          <w:b/>
          <w:kern w:val="2"/>
          <w:lang w:eastAsia="ru-RU"/>
        </w:rPr>
        <w:t>процентах</w:t>
      </w:r>
    </w:p>
    <w:p w:rsidR="001456D1" w:rsidRDefault="001456D1" w:rsidP="004F2E4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1456D1" w:rsidRDefault="001456D1" w:rsidP="004F2E4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4F2E4D" w:rsidRDefault="004F2E4D" w:rsidP="004F2E4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Рисунок 3 отражает закономерную и корреляционную тенденцию взаимосвязи ключевой ставки (рис. 1) и уровня инфляции.</w:t>
      </w:r>
      <w:r w:rsidRPr="004F2E4D">
        <w:rPr>
          <w:rFonts w:ascii="Times New Roman" w:hAnsi="Times New Roman" w:cs="Times New Roman"/>
        </w:rPr>
        <w:t xml:space="preserve"> </w:t>
      </w:r>
    </w:p>
    <w:p w:rsidR="001456D1" w:rsidRDefault="001456D1" w:rsidP="004F2E4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1456D1" w:rsidRDefault="001456D1" w:rsidP="004F2E4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7476F4" w:rsidRDefault="007476F4" w:rsidP="004F2E4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noProof/>
          <w:lang w:eastAsia="ru-RU"/>
        </w:rPr>
        <w:lastRenderedPageBreak/>
        <w:drawing>
          <wp:inline distT="0" distB="0" distL="0" distR="0" wp14:anchorId="361EA6FB" wp14:editId="7420F809">
            <wp:extent cx="5181600" cy="2124075"/>
            <wp:effectExtent l="0" t="0" r="19050" b="9525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7476F4" w:rsidRDefault="007476F4" w:rsidP="007476F4">
      <w:pPr>
        <w:widowControl w:val="0"/>
        <w:suppressAutoHyphens/>
        <w:spacing w:after="0" w:line="247" w:lineRule="auto"/>
        <w:ind w:firstLine="425"/>
        <w:jc w:val="center"/>
        <w:rPr>
          <w:rFonts w:ascii="Times New Roman" w:eastAsia="DejaVu Sans" w:hAnsi="Times New Roman" w:cs="Times New Roman"/>
          <w:b/>
          <w:kern w:val="2"/>
          <w:lang w:eastAsia="ru-RU"/>
        </w:rPr>
      </w:pPr>
      <w:r w:rsidRPr="00A5222E">
        <w:rPr>
          <w:rFonts w:ascii="Times New Roman" w:eastAsia="DejaVu Sans" w:hAnsi="Times New Roman" w:cs="Times New Roman"/>
          <w:kern w:val="2"/>
          <w:lang w:eastAsia="ru-RU"/>
        </w:rPr>
        <w:t>Рис.</w:t>
      </w:r>
      <w:r>
        <w:rPr>
          <w:rFonts w:ascii="Times New Roman" w:eastAsia="DejaVu Sans" w:hAnsi="Times New Roman" w:cs="Times New Roman"/>
          <w:kern w:val="2"/>
          <w:lang w:eastAsia="ru-RU"/>
        </w:rPr>
        <w:t>4</w:t>
      </w:r>
      <w:r w:rsidRPr="00A5222E">
        <w:rPr>
          <w:rFonts w:ascii="Times New Roman" w:eastAsia="DejaVu Sans" w:hAnsi="Times New Roman" w:cs="Times New Roman"/>
          <w:kern w:val="2"/>
          <w:lang w:eastAsia="ru-RU"/>
        </w:rPr>
        <w:t xml:space="preserve">. </w:t>
      </w:r>
      <w:r>
        <w:rPr>
          <w:rFonts w:ascii="Times New Roman" w:eastAsia="DejaVu Sans" w:hAnsi="Times New Roman" w:cs="Times New Roman"/>
          <w:b/>
          <w:kern w:val="2"/>
          <w:lang w:eastAsia="ru-RU"/>
        </w:rPr>
        <w:t xml:space="preserve">Базовая доходность рублевых вкладов в России на срок 6-12 месяцев, </w:t>
      </w:r>
    </w:p>
    <w:p w:rsidR="007476F4" w:rsidRPr="00A5222E" w:rsidRDefault="007476F4" w:rsidP="007476F4">
      <w:pPr>
        <w:widowControl w:val="0"/>
        <w:suppressAutoHyphens/>
        <w:spacing w:after="0" w:line="247" w:lineRule="auto"/>
        <w:ind w:firstLine="425"/>
        <w:jc w:val="center"/>
        <w:rPr>
          <w:rFonts w:ascii="Times New Roman" w:eastAsia="DejaVu Sans" w:hAnsi="Times New Roman" w:cs="Times New Roman"/>
          <w:b/>
          <w:kern w:val="2"/>
          <w:lang w:eastAsia="ru-RU"/>
        </w:rPr>
      </w:pPr>
      <w:r w:rsidRPr="00A5222E">
        <w:rPr>
          <w:rFonts w:ascii="Times New Roman" w:eastAsia="DejaVu Sans" w:hAnsi="Times New Roman" w:cs="Times New Roman"/>
          <w:b/>
          <w:kern w:val="2"/>
          <w:lang w:eastAsia="ru-RU"/>
        </w:rPr>
        <w:t xml:space="preserve">в </w:t>
      </w:r>
      <w:r>
        <w:rPr>
          <w:rFonts w:ascii="Times New Roman" w:eastAsia="DejaVu Sans" w:hAnsi="Times New Roman" w:cs="Times New Roman"/>
          <w:b/>
          <w:kern w:val="2"/>
          <w:lang w:eastAsia="ru-RU"/>
        </w:rPr>
        <w:t>процентах</w:t>
      </w:r>
    </w:p>
    <w:p w:rsidR="001456D1" w:rsidRDefault="001456D1" w:rsidP="004F2E4D">
      <w:pPr>
        <w:spacing w:after="0" w:line="252" w:lineRule="auto"/>
        <w:ind w:firstLine="425"/>
        <w:jc w:val="both"/>
        <w:rPr>
          <w:rFonts w:ascii="Times New Roman" w:eastAsia="DejaVu Sans" w:hAnsi="Times New Roman" w:cs="Times New Roman"/>
          <w:kern w:val="2"/>
          <w:lang w:eastAsia="ru-RU"/>
        </w:rPr>
      </w:pPr>
    </w:p>
    <w:p w:rsidR="001456D1" w:rsidRDefault="001456D1" w:rsidP="004F2E4D">
      <w:pPr>
        <w:spacing w:after="0" w:line="252" w:lineRule="auto"/>
        <w:ind w:firstLine="425"/>
        <w:jc w:val="both"/>
        <w:rPr>
          <w:rFonts w:ascii="Times New Roman" w:eastAsia="DejaVu Sans" w:hAnsi="Times New Roman" w:cs="Times New Roman"/>
          <w:kern w:val="2"/>
          <w:lang w:eastAsia="ru-RU"/>
        </w:rPr>
      </w:pPr>
    </w:p>
    <w:p w:rsidR="004F2E4D" w:rsidRDefault="007476F4" w:rsidP="004F2E4D">
      <w:pPr>
        <w:spacing w:after="0" w:line="252" w:lineRule="auto"/>
        <w:ind w:firstLine="425"/>
        <w:jc w:val="both"/>
        <w:rPr>
          <w:rFonts w:ascii="Times New Roman" w:eastAsia="DejaVu Sans" w:hAnsi="Times New Roman" w:cs="Times New Roman"/>
          <w:kern w:val="2"/>
          <w:lang w:eastAsia="ru-RU"/>
        </w:rPr>
      </w:pPr>
      <w:r>
        <w:rPr>
          <w:rFonts w:ascii="Times New Roman" w:eastAsia="DejaVu Sans" w:hAnsi="Times New Roman" w:cs="Times New Roman"/>
          <w:kern w:val="2"/>
          <w:lang w:eastAsia="ru-RU"/>
        </w:rPr>
        <w:t>И, как следствие, - рост базовой доходности рублевых вкладов</w:t>
      </w:r>
      <w:r w:rsidR="00506642">
        <w:rPr>
          <w:rFonts w:ascii="Times New Roman" w:eastAsia="DejaVu Sans" w:hAnsi="Times New Roman" w:cs="Times New Roman"/>
          <w:kern w:val="2"/>
          <w:lang w:eastAsia="ru-RU"/>
        </w:rPr>
        <w:t xml:space="preserve"> (рис. 4), которая стремится за инфляцией и ключевой ставкой банка России. Многие частные инвесторы стали задумываться или принимать стремительные решения по вложению свободных денежных сре</w:t>
      </w:r>
      <w:proofErr w:type="gramStart"/>
      <w:r w:rsidR="00506642">
        <w:rPr>
          <w:rFonts w:ascii="Times New Roman" w:eastAsia="DejaVu Sans" w:hAnsi="Times New Roman" w:cs="Times New Roman"/>
          <w:kern w:val="2"/>
          <w:lang w:eastAsia="ru-RU"/>
        </w:rPr>
        <w:t>дств в р</w:t>
      </w:r>
      <w:proofErr w:type="gramEnd"/>
      <w:r w:rsidR="00506642">
        <w:rPr>
          <w:rFonts w:ascii="Times New Roman" w:eastAsia="DejaVu Sans" w:hAnsi="Times New Roman" w:cs="Times New Roman"/>
          <w:kern w:val="2"/>
          <w:lang w:eastAsia="ru-RU"/>
        </w:rPr>
        <w:t>азличные финансовые инструменты</w:t>
      </w:r>
      <w:r w:rsidR="001B1D86" w:rsidRPr="001B1D86">
        <w:rPr>
          <w:rFonts w:ascii="Times New Roman" w:eastAsia="DejaVu Sans" w:hAnsi="Times New Roman" w:cs="Times New Roman"/>
          <w:kern w:val="2"/>
          <w:lang w:eastAsia="ru-RU"/>
        </w:rPr>
        <w:t xml:space="preserve"> [6]</w:t>
      </w:r>
      <w:r w:rsidR="00506642">
        <w:rPr>
          <w:rFonts w:ascii="Times New Roman" w:eastAsia="DejaVu Sans" w:hAnsi="Times New Roman" w:cs="Times New Roman"/>
          <w:kern w:val="2"/>
          <w:lang w:eastAsia="ru-RU"/>
        </w:rPr>
        <w:t>. Рассмотрим эффективность некоторых из них на фоне кризиса 2022 года.</w:t>
      </w:r>
      <w:r w:rsidR="00761851">
        <w:rPr>
          <w:rFonts w:ascii="Times New Roman" w:eastAsia="DejaVu Sans" w:hAnsi="Times New Roman" w:cs="Times New Roman"/>
          <w:kern w:val="2"/>
          <w:lang w:eastAsia="ru-RU"/>
        </w:rPr>
        <w:t xml:space="preserve"> </w:t>
      </w:r>
      <w:proofErr w:type="gramStart"/>
      <w:r w:rsidR="00761851">
        <w:rPr>
          <w:rFonts w:ascii="Times New Roman" w:eastAsia="DejaVu Sans" w:hAnsi="Times New Roman" w:cs="Times New Roman"/>
          <w:kern w:val="2"/>
          <w:lang w:eastAsia="ru-RU"/>
        </w:rPr>
        <w:t>В таблице 1 рассмотрены номинальная и реальная (с точки зрения покупательной способности) доходность</w:t>
      </w:r>
      <w:r w:rsidR="00C55063">
        <w:rPr>
          <w:rFonts w:ascii="Times New Roman" w:eastAsia="DejaVu Sans" w:hAnsi="Times New Roman" w:cs="Times New Roman"/>
          <w:kern w:val="2"/>
          <w:lang w:eastAsia="ru-RU"/>
        </w:rPr>
        <w:t xml:space="preserve"> таких финансовых инструментов, как банковский депозит, драгоценные металлы (золото, серебро), акции (на базе портфеля из акций, входящих в расчетный индекс Московской межбанковской валютной биржи и принадлежащих крупнейшим и наиболее развивающимся российским эмитентам), иностранная валюта (американский доллар, евро)</w:t>
      </w:r>
      <w:r w:rsidR="00761851">
        <w:rPr>
          <w:rFonts w:ascii="Times New Roman" w:eastAsia="DejaVu Sans" w:hAnsi="Times New Roman" w:cs="Times New Roman"/>
          <w:kern w:val="2"/>
          <w:lang w:eastAsia="ru-RU"/>
        </w:rPr>
        <w:t>.</w:t>
      </w:r>
      <w:proofErr w:type="gramEnd"/>
      <w:r w:rsidR="00761851">
        <w:rPr>
          <w:rFonts w:ascii="Times New Roman" w:eastAsia="DejaVu Sans" w:hAnsi="Times New Roman" w:cs="Times New Roman"/>
          <w:kern w:val="2"/>
          <w:lang w:eastAsia="ru-RU"/>
        </w:rPr>
        <w:t xml:space="preserve"> Расчеты велись по историческим фактическим данным стоимости финансового инструмента на начало и конец </w:t>
      </w:r>
      <w:r w:rsidR="00C55063">
        <w:rPr>
          <w:rFonts w:ascii="Times New Roman" w:eastAsia="DejaVu Sans" w:hAnsi="Times New Roman" w:cs="Times New Roman"/>
          <w:kern w:val="2"/>
          <w:lang w:eastAsia="ru-RU"/>
        </w:rPr>
        <w:t xml:space="preserve">каждого </w:t>
      </w:r>
      <w:r w:rsidR="00761851">
        <w:rPr>
          <w:rFonts w:ascii="Times New Roman" w:eastAsia="DejaVu Sans" w:hAnsi="Times New Roman" w:cs="Times New Roman"/>
          <w:kern w:val="2"/>
          <w:lang w:eastAsia="ru-RU"/>
        </w:rPr>
        <w:t>месяца 2022 года</w:t>
      </w:r>
      <w:r w:rsidR="00C55063">
        <w:rPr>
          <w:rFonts w:ascii="Times New Roman" w:eastAsia="DejaVu Sans" w:hAnsi="Times New Roman" w:cs="Times New Roman"/>
          <w:kern w:val="2"/>
          <w:lang w:eastAsia="ru-RU"/>
        </w:rPr>
        <w:t xml:space="preserve">. Изменения внутри месяца не учитывались. </w:t>
      </w:r>
    </w:p>
    <w:p w:rsidR="00506642" w:rsidRDefault="00506642" w:rsidP="003D39DF">
      <w:pPr>
        <w:spacing w:after="0" w:line="252" w:lineRule="auto"/>
        <w:jc w:val="both"/>
        <w:rPr>
          <w:rFonts w:ascii="Times New Roman" w:eastAsia="DejaVu Sans" w:hAnsi="Times New Roman" w:cs="Times New Roman"/>
          <w:kern w:val="2"/>
          <w:lang w:eastAsia="ru-RU"/>
        </w:rPr>
      </w:pPr>
    </w:p>
    <w:p w:rsidR="003D39DF" w:rsidRDefault="003D39DF" w:rsidP="003D39DF">
      <w:pPr>
        <w:spacing w:after="0" w:line="252" w:lineRule="auto"/>
        <w:jc w:val="both"/>
        <w:rPr>
          <w:rFonts w:ascii="Times New Roman" w:eastAsia="DejaVu Sans" w:hAnsi="Times New Roman" w:cs="Times New Roman"/>
          <w:kern w:val="2"/>
          <w:lang w:eastAsia="ru-RU"/>
        </w:rPr>
      </w:pPr>
    </w:p>
    <w:p w:rsidR="003D39DF" w:rsidRPr="00AF570A" w:rsidRDefault="003D39DF" w:rsidP="003D39DF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3D39DF">
        <w:rPr>
          <w:rFonts w:ascii="Times New Roman" w:eastAsia="DejaVu Sans" w:hAnsi="Times New Roman" w:cs="Times New Roman"/>
          <w:kern w:val="2"/>
          <w:lang w:eastAsia="ru-RU"/>
        </w:rPr>
        <w:t xml:space="preserve">Таблица </w:t>
      </w:r>
      <w:r w:rsidR="00761851">
        <w:rPr>
          <w:rFonts w:ascii="Times New Roman" w:eastAsia="DejaVu Sans" w:hAnsi="Times New Roman" w:cs="Times New Roman"/>
          <w:kern w:val="2"/>
          <w:lang w:eastAsia="ru-RU"/>
        </w:rPr>
        <w:t>1</w:t>
      </w:r>
      <w:r>
        <w:rPr>
          <w:rFonts w:ascii="Times New Roman" w:eastAsia="DejaVu Sans" w:hAnsi="Times New Roman" w:cs="Times New Roman"/>
          <w:kern w:val="2"/>
          <w:lang w:eastAsia="ru-RU"/>
        </w:rPr>
        <w:t>.</w:t>
      </w:r>
      <w:r w:rsidRPr="003D39DF">
        <w:rPr>
          <w:rFonts w:ascii="Times New Roman" w:eastAsia="DejaVu Sans" w:hAnsi="Times New Roman" w:cs="Times New Roman"/>
          <w:kern w:val="2"/>
          <w:lang w:eastAsia="ru-RU"/>
        </w:rPr>
        <w:t xml:space="preserve"> </w:t>
      </w:r>
      <w:r w:rsidRPr="003D39DF">
        <w:rPr>
          <w:rFonts w:ascii="Times New Roman" w:eastAsia="DejaVu Sans" w:hAnsi="Times New Roman" w:cs="Times New Roman"/>
          <w:b/>
          <w:kern w:val="2"/>
          <w:lang w:eastAsia="ru-RU"/>
        </w:rPr>
        <w:t xml:space="preserve">Сравнительный анализ доходности </w:t>
      </w:r>
      <w:r>
        <w:rPr>
          <w:rFonts w:ascii="Times New Roman" w:eastAsia="DejaVu Sans" w:hAnsi="Times New Roman" w:cs="Times New Roman"/>
          <w:b/>
          <w:kern w:val="2"/>
          <w:lang w:eastAsia="ru-RU"/>
        </w:rPr>
        <w:t>финансовых инструментов</w:t>
      </w:r>
      <w:r w:rsidRPr="003D39DF">
        <w:rPr>
          <w:rFonts w:ascii="Times New Roman" w:eastAsia="DejaVu Sans" w:hAnsi="Times New Roman" w:cs="Times New Roman"/>
          <w:b/>
          <w:kern w:val="2"/>
          <w:lang w:eastAsia="ru-RU"/>
        </w:rPr>
        <w:t xml:space="preserve"> в условиях инфляции  за 1 квартал 2022г.</w:t>
      </w:r>
      <w:r>
        <w:rPr>
          <w:rFonts w:ascii="Times New Roman" w:eastAsia="DejaVu Sans" w:hAnsi="Times New Roman" w:cs="Times New Roman"/>
          <w:b/>
          <w:kern w:val="2"/>
          <w:lang w:eastAsia="ru-RU"/>
        </w:rPr>
        <w:t>, в процентах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5"/>
        <w:gridCol w:w="1436"/>
        <w:gridCol w:w="1454"/>
        <w:gridCol w:w="1453"/>
        <w:gridCol w:w="1335"/>
      </w:tblGrid>
      <w:tr w:rsidR="004C0F2B" w:rsidTr="004C0F2B">
        <w:trPr>
          <w:trHeight w:val="331"/>
        </w:trPr>
        <w:tc>
          <w:tcPr>
            <w:tcW w:w="2985" w:type="dxa"/>
            <w:shd w:val="clear" w:color="auto" w:fill="auto"/>
            <w:vAlign w:val="bottom"/>
          </w:tcPr>
          <w:p w:rsidR="004C0F2B" w:rsidRPr="003D39DF" w:rsidRDefault="004C0F2B" w:rsidP="004C0F2B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D39D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Месяц</w:t>
            </w:r>
          </w:p>
        </w:tc>
        <w:tc>
          <w:tcPr>
            <w:tcW w:w="1436" w:type="dxa"/>
            <w:shd w:val="clear" w:color="auto" w:fill="auto"/>
            <w:vAlign w:val="bottom"/>
          </w:tcPr>
          <w:p w:rsidR="004C0F2B" w:rsidRPr="003D39DF" w:rsidRDefault="004C0F2B" w:rsidP="004C0F2B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D39D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Январь</w:t>
            </w:r>
          </w:p>
        </w:tc>
        <w:tc>
          <w:tcPr>
            <w:tcW w:w="1454" w:type="dxa"/>
            <w:shd w:val="clear" w:color="auto" w:fill="auto"/>
            <w:vAlign w:val="bottom"/>
          </w:tcPr>
          <w:p w:rsidR="004C0F2B" w:rsidRPr="003D39DF" w:rsidRDefault="004C0F2B" w:rsidP="004C0F2B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D39D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Февраль</w:t>
            </w:r>
          </w:p>
        </w:tc>
        <w:tc>
          <w:tcPr>
            <w:tcW w:w="1453" w:type="dxa"/>
            <w:shd w:val="clear" w:color="auto" w:fill="auto"/>
            <w:vAlign w:val="bottom"/>
          </w:tcPr>
          <w:p w:rsidR="004C0F2B" w:rsidRPr="003D39DF" w:rsidRDefault="004C0F2B" w:rsidP="004C0F2B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D39D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Март</w:t>
            </w:r>
          </w:p>
        </w:tc>
        <w:tc>
          <w:tcPr>
            <w:tcW w:w="1335" w:type="dxa"/>
          </w:tcPr>
          <w:p w:rsidR="004C0F2B" w:rsidRPr="003D39DF" w:rsidRDefault="004C0F2B" w:rsidP="004C0F2B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Апрель </w:t>
            </w:r>
          </w:p>
        </w:tc>
      </w:tr>
      <w:tr w:rsidR="00554551" w:rsidTr="00EC61D3">
        <w:trPr>
          <w:trHeight w:val="230"/>
        </w:trPr>
        <w:tc>
          <w:tcPr>
            <w:tcW w:w="8663" w:type="dxa"/>
            <w:gridSpan w:val="5"/>
            <w:shd w:val="clear" w:color="auto" w:fill="auto"/>
            <w:vAlign w:val="bottom"/>
          </w:tcPr>
          <w:p w:rsidR="00554551" w:rsidRDefault="00554551" w:rsidP="004C0F2B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Банковские рублевые депозиты</w:t>
            </w:r>
          </w:p>
        </w:tc>
      </w:tr>
      <w:tr w:rsidR="004C0F2B" w:rsidTr="006D2713">
        <w:trPr>
          <w:trHeight w:val="277"/>
        </w:trPr>
        <w:tc>
          <w:tcPr>
            <w:tcW w:w="2985" w:type="dxa"/>
            <w:shd w:val="clear" w:color="auto" w:fill="auto"/>
            <w:vAlign w:val="bottom"/>
          </w:tcPr>
          <w:p w:rsidR="004C0F2B" w:rsidRPr="003D39DF" w:rsidRDefault="004C0F2B" w:rsidP="00624B24">
            <w:pPr>
              <w:spacing w:after="0" w:line="247" w:lineRule="auto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3D39DF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Доходность в месяц без учета инфляции</w:t>
            </w:r>
            <w:proofErr w:type="gramStart"/>
            <w:r w:rsidR="00624B24" w:rsidRPr="00624B24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vertAlign w:val="superscript"/>
                <w:lang w:eastAsia="ru-RU"/>
              </w:rPr>
              <w:t>1</w:t>
            </w:r>
            <w:proofErr w:type="gramEnd"/>
          </w:p>
        </w:tc>
        <w:tc>
          <w:tcPr>
            <w:tcW w:w="1436" w:type="dxa"/>
            <w:shd w:val="clear" w:color="auto" w:fill="auto"/>
            <w:vAlign w:val="center"/>
          </w:tcPr>
          <w:p w:rsidR="004C0F2B" w:rsidRPr="003D39DF" w:rsidRDefault="00D82EB2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0,67</w:t>
            </w:r>
          </w:p>
        </w:tc>
        <w:tc>
          <w:tcPr>
            <w:tcW w:w="1454" w:type="dxa"/>
            <w:shd w:val="clear" w:color="auto" w:fill="auto"/>
            <w:vAlign w:val="center"/>
          </w:tcPr>
          <w:p w:rsidR="004C0F2B" w:rsidRPr="003D39DF" w:rsidRDefault="00D82EB2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0,698</w:t>
            </w:r>
          </w:p>
        </w:tc>
        <w:tc>
          <w:tcPr>
            <w:tcW w:w="1453" w:type="dxa"/>
            <w:shd w:val="clear" w:color="auto" w:fill="auto"/>
            <w:vAlign w:val="center"/>
          </w:tcPr>
          <w:p w:rsidR="004C0F2B" w:rsidRPr="003D39DF" w:rsidRDefault="00D82EB2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0,72</w:t>
            </w:r>
          </w:p>
        </w:tc>
        <w:tc>
          <w:tcPr>
            <w:tcW w:w="1335" w:type="dxa"/>
            <w:vAlign w:val="center"/>
          </w:tcPr>
          <w:p w:rsidR="004C0F2B" w:rsidRPr="003D39DF" w:rsidRDefault="00D82EB2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1,01</w:t>
            </w:r>
          </w:p>
        </w:tc>
      </w:tr>
      <w:tr w:rsidR="004C0F2B" w:rsidTr="006D2713">
        <w:trPr>
          <w:trHeight w:val="266"/>
        </w:trPr>
        <w:tc>
          <w:tcPr>
            <w:tcW w:w="2985" w:type="dxa"/>
            <w:shd w:val="clear" w:color="auto" w:fill="auto"/>
            <w:vAlign w:val="bottom"/>
          </w:tcPr>
          <w:p w:rsidR="004C0F2B" w:rsidRPr="003D39DF" w:rsidRDefault="004C0F2B" w:rsidP="004C0F2B">
            <w:pPr>
              <w:spacing w:after="0" w:line="247" w:lineRule="auto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3D39DF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Среднемесячный уровень инфляции</w:t>
            </w:r>
            <w:proofErr w:type="gramStart"/>
            <w:r w:rsidR="00624B24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vertAlign w:val="superscript"/>
                <w:lang w:eastAsia="ru-RU"/>
              </w:rPr>
              <w:t>2</w:t>
            </w:r>
            <w:proofErr w:type="gramEnd"/>
          </w:p>
        </w:tc>
        <w:tc>
          <w:tcPr>
            <w:tcW w:w="1436" w:type="dxa"/>
            <w:shd w:val="clear" w:color="auto" w:fill="auto"/>
            <w:vAlign w:val="center"/>
          </w:tcPr>
          <w:p w:rsidR="004C0F2B" w:rsidRPr="003D39DF" w:rsidRDefault="004C0F2B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0,7</w:t>
            </w:r>
          </w:p>
        </w:tc>
        <w:tc>
          <w:tcPr>
            <w:tcW w:w="1454" w:type="dxa"/>
            <w:shd w:val="clear" w:color="auto" w:fill="auto"/>
            <w:vAlign w:val="center"/>
          </w:tcPr>
          <w:p w:rsidR="004C0F2B" w:rsidRPr="003D39DF" w:rsidRDefault="004C0F2B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0,73</w:t>
            </w:r>
          </w:p>
        </w:tc>
        <w:tc>
          <w:tcPr>
            <w:tcW w:w="1453" w:type="dxa"/>
            <w:shd w:val="clear" w:color="auto" w:fill="auto"/>
            <w:vAlign w:val="center"/>
          </w:tcPr>
          <w:p w:rsidR="004C0F2B" w:rsidRPr="003D39DF" w:rsidRDefault="004C0F2B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1,295</w:t>
            </w:r>
          </w:p>
        </w:tc>
        <w:tc>
          <w:tcPr>
            <w:tcW w:w="1335" w:type="dxa"/>
            <w:vAlign w:val="center"/>
          </w:tcPr>
          <w:p w:rsidR="004C0F2B" w:rsidRDefault="004C0F2B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1,367</w:t>
            </w:r>
          </w:p>
        </w:tc>
      </w:tr>
      <w:tr w:rsidR="004C0F2B" w:rsidTr="006D2713">
        <w:trPr>
          <w:trHeight w:val="129"/>
        </w:trPr>
        <w:tc>
          <w:tcPr>
            <w:tcW w:w="2985" w:type="dxa"/>
            <w:shd w:val="clear" w:color="auto" w:fill="auto"/>
            <w:vAlign w:val="bottom"/>
          </w:tcPr>
          <w:p w:rsidR="004C0F2B" w:rsidRPr="003D39DF" w:rsidRDefault="004C0F2B" w:rsidP="004C0F2B">
            <w:pPr>
              <w:spacing w:after="0" w:line="247" w:lineRule="auto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3D39DF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Реальная доходность в месяц</w:t>
            </w:r>
          </w:p>
        </w:tc>
        <w:tc>
          <w:tcPr>
            <w:tcW w:w="1436" w:type="dxa"/>
            <w:shd w:val="clear" w:color="auto" w:fill="auto"/>
            <w:vAlign w:val="center"/>
          </w:tcPr>
          <w:p w:rsidR="004C0F2B" w:rsidRPr="003D39DF" w:rsidRDefault="00D82EB2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-0,029</w:t>
            </w:r>
          </w:p>
        </w:tc>
        <w:tc>
          <w:tcPr>
            <w:tcW w:w="1454" w:type="dxa"/>
            <w:shd w:val="clear" w:color="auto" w:fill="auto"/>
            <w:vAlign w:val="center"/>
          </w:tcPr>
          <w:p w:rsidR="004C0F2B" w:rsidRPr="003D39DF" w:rsidRDefault="00D82EB2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-0,035</w:t>
            </w:r>
          </w:p>
        </w:tc>
        <w:tc>
          <w:tcPr>
            <w:tcW w:w="1453" w:type="dxa"/>
            <w:shd w:val="clear" w:color="auto" w:fill="auto"/>
            <w:vAlign w:val="center"/>
          </w:tcPr>
          <w:p w:rsidR="004C0F2B" w:rsidRPr="003D39DF" w:rsidRDefault="00D82EB2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-0,568</w:t>
            </w:r>
          </w:p>
        </w:tc>
        <w:tc>
          <w:tcPr>
            <w:tcW w:w="1335" w:type="dxa"/>
            <w:vAlign w:val="center"/>
          </w:tcPr>
          <w:p w:rsidR="004C0F2B" w:rsidRPr="003D39DF" w:rsidRDefault="00D82EB2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-0,355</w:t>
            </w:r>
          </w:p>
        </w:tc>
      </w:tr>
      <w:tr w:rsidR="00554551" w:rsidTr="00772B63">
        <w:trPr>
          <w:trHeight w:val="129"/>
        </w:trPr>
        <w:tc>
          <w:tcPr>
            <w:tcW w:w="8663" w:type="dxa"/>
            <w:gridSpan w:val="5"/>
            <w:shd w:val="clear" w:color="auto" w:fill="auto"/>
            <w:vAlign w:val="bottom"/>
          </w:tcPr>
          <w:p w:rsidR="00554551" w:rsidRDefault="00554551" w:rsidP="004C0F2B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Драгоценные металлы (золото)</w:t>
            </w:r>
          </w:p>
        </w:tc>
      </w:tr>
      <w:tr w:rsidR="004C0F2B" w:rsidTr="006D2713">
        <w:trPr>
          <w:trHeight w:val="129"/>
        </w:trPr>
        <w:tc>
          <w:tcPr>
            <w:tcW w:w="2985" w:type="dxa"/>
            <w:shd w:val="clear" w:color="auto" w:fill="auto"/>
            <w:vAlign w:val="bottom"/>
          </w:tcPr>
          <w:p w:rsidR="004C0F2B" w:rsidRPr="003D39DF" w:rsidRDefault="004C0F2B" w:rsidP="004C0F2B">
            <w:pPr>
              <w:spacing w:after="0" w:line="247" w:lineRule="auto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3D39DF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Доходность в месяц без учета инфляции</w:t>
            </w:r>
            <w:r w:rsidR="00624B24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vertAlign w:val="superscript"/>
                <w:lang w:eastAsia="ru-RU"/>
              </w:rPr>
              <w:t>3</w:t>
            </w:r>
          </w:p>
        </w:tc>
        <w:tc>
          <w:tcPr>
            <w:tcW w:w="1436" w:type="dxa"/>
            <w:shd w:val="clear" w:color="auto" w:fill="auto"/>
            <w:vAlign w:val="center"/>
          </w:tcPr>
          <w:p w:rsidR="004C0F2B" w:rsidRPr="003D39DF" w:rsidRDefault="004C0F2B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3,8</w:t>
            </w:r>
          </w:p>
        </w:tc>
        <w:tc>
          <w:tcPr>
            <w:tcW w:w="1454" w:type="dxa"/>
            <w:shd w:val="clear" w:color="auto" w:fill="auto"/>
            <w:vAlign w:val="center"/>
          </w:tcPr>
          <w:p w:rsidR="004C0F2B" w:rsidRPr="003D39DF" w:rsidRDefault="004C0F2B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50,3</w:t>
            </w:r>
          </w:p>
        </w:tc>
        <w:tc>
          <w:tcPr>
            <w:tcW w:w="1453" w:type="dxa"/>
            <w:shd w:val="clear" w:color="auto" w:fill="auto"/>
            <w:vAlign w:val="center"/>
          </w:tcPr>
          <w:p w:rsidR="004C0F2B" w:rsidRPr="003D39DF" w:rsidRDefault="004C0F2B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-25,9</w:t>
            </w:r>
          </w:p>
        </w:tc>
        <w:tc>
          <w:tcPr>
            <w:tcW w:w="1335" w:type="dxa"/>
            <w:vAlign w:val="center"/>
          </w:tcPr>
          <w:p w:rsidR="004C0F2B" w:rsidRPr="003D39DF" w:rsidRDefault="004C0F2B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-16,4</w:t>
            </w:r>
          </w:p>
        </w:tc>
      </w:tr>
      <w:tr w:rsidR="004C0F2B" w:rsidTr="006D2713">
        <w:trPr>
          <w:trHeight w:val="129"/>
        </w:trPr>
        <w:tc>
          <w:tcPr>
            <w:tcW w:w="2985" w:type="dxa"/>
            <w:shd w:val="clear" w:color="auto" w:fill="auto"/>
            <w:vAlign w:val="bottom"/>
          </w:tcPr>
          <w:p w:rsidR="004C0F2B" w:rsidRPr="003D39DF" w:rsidRDefault="004C0F2B" w:rsidP="004C0F2B">
            <w:pPr>
              <w:spacing w:after="0" w:line="247" w:lineRule="auto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3D39DF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Реальная доходность в месяц</w:t>
            </w:r>
          </w:p>
        </w:tc>
        <w:tc>
          <w:tcPr>
            <w:tcW w:w="1436" w:type="dxa"/>
            <w:shd w:val="clear" w:color="auto" w:fill="auto"/>
            <w:vAlign w:val="center"/>
          </w:tcPr>
          <w:p w:rsidR="004C0F2B" w:rsidRPr="003D39DF" w:rsidRDefault="004C0F2B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3,03</w:t>
            </w:r>
          </w:p>
        </w:tc>
        <w:tc>
          <w:tcPr>
            <w:tcW w:w="1454" w:type="dxa"/>
            <w:shd w:val="clear" w:color="auto" w:fill="auto"/>
            <w:vAlign w:val="center"/>
          </w:tcPr>
          <w:p w:rsidR="004C0F2B" w:rsidRPr="003D39DF" w:rsidRDefault="004C0F2B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49,21</w:t>
            </w:r>
          </w:p>
        </w:tc>
        <w:tc>
          <w:tcPr>
            <w:tcW w:w="1453" w:type="dxa"/>
            <w:shd w:val="clear" w:color="auto" w:fill="auto"/>
            <w:vAlign w:val="center"/>
          </w:tcPr>
          <w:p w:rsidR="004C0F2B" w:rsidRPr="003D39DF" w:rsidRDefault="004C0F2B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-26,86</w:t>
            </w:r>
          </w:p>
        </w:tc>
        <w:tc>
          <w:tcPr>
            <w:tcW w:w="1335" w:type="dxa"/>
            <w:vAlign w:val="center"/>
          </w:tcPr>
          <w:p w:rsidR="004C0F2B" w:rsidRPr="003D39DF" w:rsidRDefault="004C0F2B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-17,55</w:t>
            </w:r>
          </w:p>
        </w:tc>
      </w:tr>
      <w:tr w:rsidR="00D82EB2" w:rsidTr="00371604">
        <w:trPr>
          <w:trHeight w:val="129"/>
        </w:trPr>
        <w:tc>
          <w:tcPr>
            <w:tcW w:w="8663" w:type="dxa"/>
            <w:gridSpan w:val="5"/>
            <w:shd w:val="clear" w:color="auto" w:fill="auto"/>
            <w:vAlign w:val="bottom"/>
          </w:tcPr>
          <w:p w:rsidR="00D82EB2" w:rsidRDefault="00D82EB2" w:rsidP="00D82EB2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Драгоценные металлы (серебро)</w:t>
            </w:r>
          </w:p>
        </w:tc>
      </w:tr>
      <w:tr w:rsidR="00D82EB2" w:rsidTr="006D2713">
        <w:trPr>
          <w:trHeight w:val="129"/>
        </w:trPr>
        <w:tc>
          <w:tcPr>
            <w:tcW w:w="2985" w:type="dxa"/>
            <w:shd w:val="clear" w:color="auto" w:fill="auto"/>
            <w:vAlign w:val="bottom"/>
          </w:tcPr>
          <w:p w:rsidR="00D82EB2" w:rsidRPr="003D39DF" w:rsidRDefault="00D82EB2" w:rsidP="008612E3">
            <w:pPr>
              <w:spacing w:after="0" w:line="247" w:lineRule="auto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3D39DF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 xml:space="preserve">Доходность в месяц без </w:t>
            </w:r>
            <w:r w:rsidRPr="003D39DF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lastRenderedPageBreak/>
              <w:t>учета инфляции</w:t>
            </w:r>
            <w:proofErr w:type="gramStart"/>
            <w:r w:rsidR="00624B24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vertAlign w:val="superscript"/>
                <w:lang w:eastAsia="ru-RU"/>
              </w:rPr>
              <w:t>4</w:t>
            </w:r>
            <w:proofErr w:type="gramEnd"/>
          </w:p>
        </w:tc>
        <w:tc>
          <w:tcPr>
            <w:tcW w:w="1436" w:type="dxa"/>
            <w:shd w:val="clear" w:color="auto" w:fill="auto"/>
            <w:vAlign w:val="center"/>
          </w:tcPr>
          <w:p w:rsidR="00D82EB2" w:rsidRDefault="0009173F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lastRenderedPageBreak/>
              <w:t>2,013</w:t>
            </w:r>
          </w:p>
        </w:tc>
        <w:tc>
          <w:tcPr>
            <w:tcW w:w="1454" w:type="dxa"/>
            <w:shd w:val="clear" w:color="auto" w:fill="auto"/>
            <w:vAlign w:val="center"/>
          </w:tcPr>
          <w:p w:rsidR="00D82EB2" w:rsidRDefault="0009173F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53,08</w:t>
            </w:r>
          </w:p>
        </w:tc>
        <w:tc>
          <w:tcPr>
            <w:tcW w:w="1453" w:type="dxa"/>
            <w:shd w:val="clear" w:color="auto" w:fill="auto"/>
            <w:vAlign w:val="center"/>
          </w:tcPr>
          <w:p w:rsidR="00D82EB2" w:rsidRDefault="0009173F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-27,22</w:t>
            </w:r>
          </w:p>
        </w:tc>
        <w:tc>
          <w:tcPr>
            <w:tcW w:w="1335" w:type="dxa"/>
            <w:vAlign w:val="center"/>
          </w:tcPr>
          <w:p w:rsidR="00D82EB2" w:rsidRDefault="0009173F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-19,86</w:t>
            </w:r>
          </w:p>
        </w:tc>
      </w:tr>
      <w:tr w:rsidR="00D82EB2" w:rsidTr="006D2713">
        <w:trPr>
          <w:trHeight w:val="129"/>
        </w:trPr>
        <w:tc>
          <w:tcPr>
            <w:tcW w:w="2985" w:type="dxa"/>
            <w:shd w:val="clear" w:color="auto" w:fill="auto"/>
            <w:vAlign w:val="bottom"/>
          </w:tcPr>
          <w:p w:rsidR="00D82EB2" w:rsidRPr="003D39DF" w:rsidRDefault="00D82EB2" w:rsidP="008612E3">
            <w:pPr>
              <w:spacing w:after="0" w:line="247" w:lineRule="auto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3D39DF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lastRenderedPageBreak/>
              <w:t>Реальная доходность в месяц</w:t>
            </w:r>
          </w:p>
        </w:tc>
        <w:tc>
          <w:tcPr>
            <w:tcW w:w="1436" w:type="dxa"/>
            <w:shd w:val="clear" w:color="auto" w:fill="auto"/>
            <w:vAlign w:val="center"/>
          </w:tcPr>
          <w:p w:rsidR="00D82EB2" w:rsidRDefault="00554551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1,3</w:t>
            </w:r>
          </w:p>
        </w:tc>
        <w:tc>
          <w:tcPr>
            <w:tcW w:w="1454" w:type="dxa"/>
            <w:shd w:val="clear" w:color="auto" w:fill="auto"/>
            <w:vAlign w:val="center"/>
          </w:tcPr>
          <w:p w:rsidR="00D82EB2" w:rsidRDefault="00554551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51,89</w:t>
            </w:r>
          </w:p>
        </w:tc>
        <w:tc>
          <w:tcPr>
            <w:tcW w:w="1453" w:type="dxa"/>
            <w:shd w:val="clear" w:color="auto" w:fill="auto"/>
            <w:vAlign w:val="center"/>
          </w:tcPr>
          <w:p w:rsidR="00D82EB2" w:rsidRDefault="00554551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-27,93</w:t>
            </w:r>
          </w:p>
        </w:tc>
        <w:tc>
          <w:tcPr>
            <w:tcW w:w="1335" w:type="dxa"/>
            <w:vAlign w:val="center"/>
          </w:tcPr>
          <w:p w:rsidR="00D82EB2" w:rsidRDefault="00554551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-20,94</w:t>
            </w:r>
          </w:p>
        </w:tc>
      </w:tr>
      <w:tr w:rsidR="00554551" w:rsidTr="00826BFF">
        <w:trPr>
          <w:trHeight w:val="129"/>
        </w:trPr>
        <w:tc>
          <w:tcPr>
            <w:tcW w:w="8663" w:type="dxa"/>
            <w:gridSpan w:val="5"/>
            <w:shd w:val="clear" w:color="auto" w:fill="auto"/>
            <w:vAlign w:val="bottom"/>
          </w:tcPr>
          <w:p w:rsidR="00AE6035" w:rsidRDefault="00AE6035" w:rsidP="00AE6035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 xml:space="preserve">Рынок акций (портфель акций индекса </w:t>
            </w:r>
            <w:proofErr w:type="gramEnd"/>
          </w:p>
          <w:p w:rsidR="00554551" w:rsidRPr="00554551" w:rsidRDefault="00AE6035" w:rsidP="00AE6035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Московской межбанковской валютной биржи)</w:t>
            </w:r>
            <w:proofErr w:type="gramEnd"/>
          </w:p>
        </w:tc>
      </w:tr>
      <w:tr w:rsidR="00105AFE" w:rsidTr="006D2713">
        <w:trPr>
          <w:trHeight w:val="129"/>
        </w:trPr>
        <w:tc>
          <w:tcPr>
            <w:tcW w:w="2985" w:type="dxa"/>
            <w:shd w:val="clear" w:color="auto" w:fill="auto"/>
            <w:vAlign w:val="bottom"/>
          </w:tcPr>
          <w:p w:rsidR="00105AFE" w:rsidRPr="003D39DF" w:rsidRDefault="00105AFE" w:rsidP="008612E3">
            <w:pPr>
              <w:spacing w:after="0" w:line="247" w:lineRule="auto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3D39DF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Доходность в месяц без учета инфляции</w:t>
            </w:r>
            <w:r w:rsidR="00624B24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vertAlign w:val="superscript"/>
                <w:lang w:eastAsia="ru-RU"/>
              </w:rPr>
              <w:t>5</w:t>
            </w:r>
          </w:p>
        </w:tc>
        <w:tc>
          <w:tcPr>
            <w:tcW w:w="1436" w:type="dxa"/>
            <w:shd w:val="clear" w:color="auto" w:fill="auto"/>
            <w:vAlign w:val="center"/>
          </w:tcPr>
          <w:p w:rsidR="00105AFE" w:rsidRDefault="005D7A2A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-11,68</w:t>
            </w:r>
          </w:p>
        </w:tc>
        <w:tc>
          <w:tcPr>
            <w:tcW w:w="1454" w:type="dxa"/>
            <w:shd w:val="clear" w:color="auto" w:fill="auto"/>
            <w:vAlign w:val="center"/>
          </w:tcPr>
          <w:p w:rsidR="00105AFE" w:rsidRDefault="005D7A2A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-41,87</w:t>
            </w:r>
          </w:p>
        </w:tc>
        <w:tc>
          <w:tcPr>
            <w:tcW w:w="1453" w:type="dxa"/>
            <w:shd w:val="clear" w:color="auto" w:fill="auto"/>
            <w:vAlign w:val="center"/>
          </w:tcPr>
          <w:p w:rsidR="00105AFE" w:rsidRDefault="005D7A2A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3,5</w:t>
            </w:r>
          </w:p>
        </w:tc>
        <w:tc>
          <w:tcPr>
            <w:tcW w:w="1335" w:type="dxa"/>
            <w:vAlign w:val="center"/>
          </w:tcPr>
          <w:p w:rsidR="00105AFE" w:rsidRDefault="005D7A2A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-8,16</w:t>
            </w:r>
          </w:p>
        </w:tc>
      </w:tr>
      <w:tr w:rsidR="00105AFE" w:rsidTr="006D2713">
        <w:trPr>
          <w:trHeight w:val="129"/>
        </w:trPr>
        <w:tc>
          <w:tcPr>
            <w:tcW w:w="2985" w:type="dxa"/>
            <w:shd w:val="clear" w:color="auto" w:fill="auto"/>
            <w:vAlign w:val="bottom"/>
          </w:tcPr>
          <w:p w:rsidR="00105AFE" w:rsidRPr="003D39DF" w:rsidRDefault="00105AFE" w:rsidP="008612E3">
            <w:pPr>
              <w:spacing w:after="0" w:line="247" w:lineRule="auto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3D39DF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Реальная доходность в месяц</w:t>
            </w:r>
          </w:p>
        </w:tc>
        <w:tc>
          <w:tcPr>
            <w:tcW w:w="1436" w:type="dxa"/>
            <w:shd w:val="clear" w:color="auto" w:fill="auto"/>
            <w:vAlign w:val="center"/>
          </w:tcPr>
          <w:p w:rsidR="00105AFE" w:rsidRDefault="005D7A2A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-12,29</w:t>
            </w:r>
          </w:p>
        </w:tc>
        <w:tc>
          <w:tcPr>
            <w:tcW w:w="1454" w:type="dxa"/>
            <w:shd w:val="clear" w:color="auto" w:fill="auto"/>
            <w:vAlign w:val="center"/>
          </w:tcPr>
          <w:p w:rsidR="00105AFE" w:rsidRDefault="005D7A2A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-42,23</w:t>
            </w:r>
          </w:p>
        </w:tc>
        <w:tc>
          <w:tcPr>
            <w:tcW w:w="1453" w:type="dxa"/>
            <w:shd w:val="clear" w:color="auto" w:fill="auto"/>
            <w:vAlign w:val="center"/>
          </w:tcPr>
          <w:p w:rsidR="00105AFE" w:rsidRDefault="005D7A2A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2,19</w:t>
            </w:r>
          </w:p>
        </w:tc>
        <w:tc>
          <w:tcPr>
            <w:tcW w:w="1335" w:type="dxa"/>
            <w:vAlign w:val="center"/>
          </w:tcPr>
          <w:p w:rsidR="00105AFE" w:rsidRDefault="005D7A2A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-9,39</w:t>
            </w:r>
          </w:p>
        </w:tc>
      </w:tr>
      <w:tr w:rsidR="00624B24" w:rsidTr="002B461F">
        <w:trPr>
          <w:trHeight w:val="129"/>
        </w:trPr>
        <w:tc>
          <w:tcPr>
            <w:tcW w:w="8663" w:type="dxa"/>
            <w:gridSpan w:val="5"/>
            <w:shd w:val="clear" w:color="auto" w:fill="auto"/>
            <w:vAlign w:val="bottom"/>
          </w:tcPr>
          <w:p w:rsidR="00624B24" w:rsidRPr="00624B24" w:rsidRDefault="00624B24" w:rsidP="00624B24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Доллар США</w:t>
            </w:r>
          </w:p>
        </w:tc>
      </w:tr>
      <w:tr w:rsidR="00624B24" w:rsidTr="006D2713">
        <w:trPr>
          <w:trHeight w:val="129"/>
        </w:trPr>
        <w:tc>
          <w:tcPr>
            <w:tcW w:w="2985" w:type="dxa"/>
            <w:shd w:val="clear" w:color="auto" w:fill="auto"/>
            <w:vAlign w:val="bottom"/>
          </w:tcPr>
          <w:p w:rsidR="00624B24" w:rsidRPr="003D39DF" w:rsidRDefault="00624B24" w:rsidP="008612E3">
            <w:pPr>
              <w:spacing w:after="0" w:line="247" w:lineRule="auto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3D39DF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Доходность в месяц без учета инфляции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vertAlign w:val="superscript"/>
                <w:lang w:eastAsia="ru-RU"/>
              </w:rPr>
              <w:t>6</w:t>
            </w:r>
            <w:proofErr w:type="gramEnd"/>
          </w:p>
        </w:tc>
        <w:tc>
          <w:tcPr>
            <w:tcW w:w="1436" w:type="dxa"/>
            <w:shd w:val="clear" w:color="auto" w:fill="auto"/>
            <w:vAlign w:val="center"/>
          </w:tcPr>
          <w:p w:rsidR="00624B24" w:rsidRDefault="00624B24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4,74</w:t>
            </w:r>
          </w:p>
        </w:tc>
        <w:tc>
          <w:tcPr>
            <w:tcW w:w="1454" w:type="dxa"/>
            <w:shd w:val="clear" w:color="auto" w:fill="auto"/>
            <w:vAlign w:val="center"/>
          </w:tcPr>
          <w:p w:rsidR="00624B24" w:rsidRDefault="00624B24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7,84</w:t>
            </w:r>
          </w:p>
        </w:tc>
        <w:tc>
          <w:tcPr>
            <w:tcW w:w="1453" w:type="dxa"/>
            <w:shd w:val="clear" w:color="auto" w:fill="auto"/>
            <w:vAlign w:val="center"/>
          </w:tcPr>
          <w:p w:rsidR="00624B24" w:rsidRDefault="00624B24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-10,13</w:t>
            </w:r>
          </w:p>
        </w:tc>
        <w:tc>
          <w:tcPr>
            <w:tcW w:w="1335" w:type="dxa"/>
            <w:vAlign w:val="center"/>
          </w:tcPr>
          <w:p w:rsidR="00624B24" w:rsidRDefault="00624B24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-14,85</w:t>
            </w:r>
          </w:p>
        </w:tc>
      </w:tr>
      <w:tr w:rsidR="00624B24" w:rsidTr="006D2713">
        <w:trPr>
          <w:trHeight w:val="129"/>
        </w:trPr>
        <w:tc>
          <w:tcPr>
            <w:tcW w:w="2985" w:type="dxa"/>
            <w:shd w:val="clear" w:color="auto" w:fill="auto"/>
            <w:vAlign w:val="bottom"/>
          </w:tcPr>
          <w:p w:rsidR="00624B24" w:rsidRPr="003D39DF" w:rsidRDefault="00624B24" w:rsidP="008612E3">
            <w:pPr>
              <w:spacing w:after="0" w:line="247" w:lineRule="auto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3D39DF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Реальная доходность в месяц</w:t>
            </w:r>
          </w:p>
        </w:tc>
        <w:tc>
          <w:tcPr>
            <w:tcW w:w="1436" w:type="dxa"/>
            <w:shd w:val="clear" w:color="auto" w:fill="auto"/>
            <w:vAlign w:val="center"/>
          </w:tcPr>
          <w:p w:rsidR="00624B24" w:rsidRDefault="00624B24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4,01</w:t>
            </w:r>
          </w:p>
        </w:tc>
        <w:tc>
          <w:tcPr>
            <w:tcW w:w="1454" w:type="dxa"/>
            <w:shd w:val="clear" w:color="auto" w:fill="auto"/>
            <w:vAlign w:val="center"/>
          </w:tcPr>
          <w:p w:rsidR="00624B24" w:rsidRDefault="00624B24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7,05</w:t>
            </w:r>
          </w:p>
        </w:tc>
        <w:tc>
          <w:tcPr>
            <w:tcW w:w="1453" w:type="dxa"/>
            <w:shd w:val="clear" w:color="auto" w:fill="auto"/>
            <w:vAlign w:val="center"/>
          </w:tcPr>
          <w:p w:rsidR="00624B24" w:rsidRDefault="00624B24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-11,28</w:t>
            </w:r>
          </w:p>
        </w:tc>
        <w:tc>
          <w:tcPr>
            <w:tcW w:w="1335" w:type="dxa"/>
            <w:vAlign w:val="center"/>
          </w:tcPr>
          <w:p w:rsidR="00624B24" w:rsidRDefault="00624B24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-16,00</w:t>
            </w:r>
          </w:p>
        </w:tc>
      </w:tr>
      <w:tr w:rsidR="00624B24" w:rsidTr="00AC66B6">
        <w:trPr>
          <w:trHeight w:val="129"/>
        </w:trPr>
        <w:tc>
          <w:tcPr>
            <w:tcW w:w="8663" w:type="dxa"/>
            <w:gridSpan w:val="5"/>
            <w:shd w:val="clear" w:color="auto" w:fill="auto"/>
            <w:vAlign w:val="bottom"/>
          </w:tcPr>
          <w:p w:rsidR="00624B24" w:rsidRPr="00624B24" w:rsidRDefault="00624B24" w:rsidP="00624B24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Евро</w:t>
            </w:r>
          </w:p>
        </w:tc>
      </w:tr>
      <w:tr w:rsidR="00624B24" w:rsidTr="006D2713">
        <w:trPr>
          <w:trHeight w:val="129"/>
        </w:trPr>
        <w:tc>
          <w:tcPr>
            <w:tcW w:w="2985" w:type="dxa"/>
            <w:shd w:val="clear" w:color="auto" w:fill="auto"/>
            <w:vAlign w:val="bottom"/>
          </w:tcPr>
          <w:p w:rsidR="00624B24" w:rsidRPr="003D39DF" w:rsidRDefault="00624B24" w:rsidP="008612E3">
            <w:pPr>
              <w:spacing w:after="0" w:line="247" w:lineRule="auto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3D39DF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Доходность в месяц без учета инфляции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vertAlign w:val="superscript"/>
                <w:lang w:eastAsia="ru-RU"/>
              </w:rPr>
              <w:t>7</w:t>
            </w:r>
            <w:proofErr w:type="gramEnd"/>
          </w:p>
        </w:tc>
        <w:tc>
          <w:tcPr>
            <w:tcW w:w="1436" w:type="dxa"/>
            <w:shd w:val="clear" w:color="auto" w:fill="auto"/>
            <w:vAlign w:val="center"/>
          </w:tcPr>
          <w:p w:rsidR="00624B24" w:rsidRDefault="00025AA9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3,06</w:t>
            </w:r>
          </w:p>
        </w:tc>
        <w:tc>
          <w:tcPr>
            <w:tcW w:w="1454" w:type="dxa"/>
            <w:shd w:val="clear" w:color="auto" w:fill="auto"/>
            <w:vAlign w:val="center"/>
          </w:tcPr>
          <w:p w:rsidR="00624B24" w:rsidRDefault="00025AA9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8,2</w:t>
            </w:r>
          </w:p>
        </w:tc>
        <w:tc>
          <w:tcPr>
            <w:tcW w:w="1453" w:type="dxa"/>
            <w:shd w:val="clear" w:color="auto" w:fill="auto"/>
            <w:vAlign w:val="center"/>
          </w:tcPr>
          <w:p w:rsidR="00624B24" w:rsidRDefault="00025AA9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-10,4</w:t>
            </w:r>
          </w:p>
        </w:tc>
        <w:tc>
          <w:tcPr>
            <w:tcW w:w="1335" w:type="dxa"/>
            <w:vAlign w:val="center"/>
          </w:tcPr>
          <w:p w:rsidR="00624B24" w:rsidRDefault="00025AA9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-19,4</w:t>
            </w:r>
          </w:p>
        </w:tc>
      </w:tr>
      <w:tr w:rsidR="00624B24" w:rsidTr="006D2713">
        <w:trPr>
          <w:trHeight w:val="129"/>
        </w:trPr>
        <w:tc>
          <w:tcPr>
            <w:tcW w:w="2985" w:type="dxa"/>
            <w:shd w:val="clear" w:color="auto" w:fill="auto"/>
            <w:vAlign w:val="bottom"/>
          </w:tcPr>
          <w:p w:rsidR="00624B24" w:rsidRPr="003D39DF" w:rsidRDefault="00624B24" w:rsidP="008612E3">
            <w:pPr>
              <w:spacing w:after="0" w:line="247" w:lineRule="auto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3D39DF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Реальная доходность в месяц</w:t>
            </w:r>
          </w:p>
        </w:tc>
        <w:tc>
          <w:tcPr>
            <w:tcW w:w="1436" w:type="dxa"/>
            <w:shd w:val="clear" w:color="auto" w:fill="auto"/>
            <w:vAlign w:val="center"/>
          </w:tcPr>
          <w:p w:rsidR="00624B24" w:rsidRDefault="006D2713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2,3</w:t>
            </w:r>
          </w:p>
        </w:tc>
        <w:tc>
          <w:tcPr>
            <w:tcW w:w="1454" w:type="dxa"/>
            <w:shd w:val="clear" w:color="auto" w:fill="auto"/>
            <w:vAlign w:val="center"/>
          </w:tcPr>
          <w:p w:rsidR="00624B24" w:rsidRDefault="006D2713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7,41</w:t>
            </w:r>
          </w:p>
        </w:tc>
        <w:tc>
          <w:tcPr>
            <w:tcW w:w="1453" w:type="dxa"/>
            <w:shd w:val="clear" w:color="auto" w:fill="auto"/>
            <w:vAlign w:val="center"/>
          </w:tcPr>
          <w:p w:rsidR="00624B24" w:rsidRDefault="006D2713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-11,47</w:t>
            </w:r>
          </w:p>
        </w:tc>
        <w:tc>
          <w:tcPr>
            <w:tcW w:w="1335" w:type="dxa"/>
            <w:vAlign w:val="center"/>
          </w:tcPr>
          <w:p w:rsidR="00624B24" w:rsidRDefault="006D2713" w:rsidP="006D2713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-20,47</w:t>
            </w:r>
          </w:p>
        </w:tc>
      </w:tr>
    </w:tbl>
    <w:p w:rsidR="003D39DF" w:rsidRPr="003D39DF" w:rsidRDefault="003D39DF" w:rsidP="003D39DF">
      <w:pPr>
        <w:widowControl w:val="0"/>
        <w:suppressAutoHyphens/>
        <w:spacing w:after="0" w:line="247" w:lineRule="auto"/>
        <w:ind w:firstLine="425"/>
        <w:jc w:val="both"/>
        <w:rPr>
          <w:rFonts w:ascii="Times New Roman" w:eastAsia="DejaVu Sans" w:hAnsi="Times New Roman" w:cs="Times New Roman"/>
          <w:kern w:val="1"/>
          <w:sz w:val="20"/>
          <w:lang w:eastAsia="ru-RU"/>
        </w:rPr>
      </w:pPr>
      <w:r w:rsidRPr="003D39DF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Источник: </w:t>
      </w:r>
      <w:r w:rsidR="004C0F2B">
        <w:rPr>
          <w:rFonts w:ascii="Times New Roman" w:eastAsia="DejaVu Sans" w:hAnsi="Times New Roman" w:cs="Times New Roman"/>
          <w:kern w:val="1"/>
          <w:sz w:val="20"/>
          <w:lang w:eastAsia="ru-RU"/>
        </w:rPr>
        <w:t>рассчитано автором по данным</w:t>
      </w:r>
    </w:p>
    <w:p w:rsidR="003D39DF" w:rsidRPr="004C0F2B" w:rsidRDefault="00624B24" w:rsidP="004C0F2B">
      <w:pPr>
        <w:widowControl w:val="0"/>
        <w:suppressAutoHyphens/>
        <w:spacing w:after="0" w:line="247" w:lineRule="auto"/>
        <w:ind w:firstLine="425"/>
        <w:jc w:val="both"/>
        <w:rPr>
          <w:rFonts w:ascii="Times New Roman" w:eastAsia="DejaVu Sans" w:hAnsi="Times New Roman" w:cs="Times New Roman"/>
          <w:kern w:val="1"/>
          <w:sz w:val="20"/>
          <w:lang w:eastAsia="ru-RU"/>
        </w:rPr>
      </w:pPr>
      <w:r>
        <w:rPr>
          <w:rFonts w:ascii="Times New Roman" w:eastAsia="DejaVu Sans" w:hAnsi="Times New Roman" w:cs="Times New Roman"/>
          <w:kern w:val="1"/>
          <w:sz w:val="20"/>
          <w:lang w:eastAsia="ru-RU"/>
        </w:rPr>
        <w:t>1 -</w:t>
      </w:r>
      <w:r w:rsidR="003D39DF" w:rsidRPr="003D39DF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 URL: </w:t>
      </w:r>
      <w:r w:rsidR="004C0F2B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Базовый уровень вкладов на 6-12 месяцев – </w:t>
      </w:r>
      <w:r w:rsidR="004C0F2B" w:rsidRPr="004C0F2B">
        <w:rPr>
          <w:rFonts w:ascii="Times New Roman" w:eastAsia="DejaVu Sans" w:hAnsi="Times New Roman" w:cs="Times New Roman"/>
          <w:kern w:val="1"/>
          <w:sz w:val="20"/>
          <w:lang w:eastAsia="ru-RU"/>
        </w:rPr>
        <w:t>URL</w:t>
      </w:r>
      <w:r w:rsidR="004C0F2B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: </w:t>
      </w:r>
      <w:r w:rsidR="004C0F2B" w:rsidRPr="004C0F2B">
        <w:rPr>
          <w:rFonts w:ascii="Times New Roman" w:eastAsia="DejaVu Sans" w:hAnsi="Times New Roman" w:cs="Times New Roman"/>
          <w:kern w:val="1"/>
          <w:sz w:val="20"/>
          <w:lang w:eastAsia="ru-RU"/>
        </w:rPr>
        <w:t>https://www.banki.ru/news/lenta/?id=10960033</w:t>
      </w:r>
    </w:p>
    <w:p w:rsidR="003D39DF" w:rsidRPr="00071ACF" w:rsidRDefault="00624B24" w:rsidP="003D39DF">
      <w:pPr>
        <w:widowControl w:val="0"/>
        <w:suppressAutoHyphens/>
        <w:spacing w:after="0" w:line="247" w:lineRule="auto"/>
        <w:ind w:firstLine="425"/>
        <w:jc w:val="both"/>
        <w:rPr>
          <w:rFonts w:ascii="Times New Roman" w:eastAsia="DejaVu Sans" w:hAnsi="Times New Roman" w:cs="Times New Roman"/>
          <w:kern w:val="1"/>
          <w:sz w:val="20"/>
          <w:lang w:val="en-US" w:eastAsia="ru-RU"/>
        </w:rPr>
      </w:pPr>
      <w:r w:rsidRPr="00071ACF">
        <w:rPr>
          <w:rFonts w:ascii="Times New Roman" w:eastAsia="DejaVu Sans" w:hAnsi="Times New Roman" w:cs="Times New Roman"/>
          <w:kern w:val="1"/>
          <w:sz w:val="20"/>
          <w:lang w:val="en-US" w:eastAsia="ru-RU"/>
        </w:rPr>
        <w:t>2 -</w:t>
      </w:r>
      <w:r w:rsidR="003D39DF" w:rsidRPr="00071ACF">
        <w:rPr>
          <w:rFonts w:ascii="Times New Roman" w:eastAsia="DejaVu Sans" w:hAnsi="Times New Roman" w:cs="Times New Roman"/>
          <w:kern w:val="1"/>
          <w:sz w:val="20"/>
          <w:lang w:val="en-US" w:eastAsia="ru-RU"/>
        </w:rPr>
        <w:t xml:space="preserve"> URL: </w:t>
      </w:r>
      <w:hyperlink r:id="rId12" w:history="1">
        <w:r w:rsidR="004C0F2B" w:rsidRPr="00071ACF">
          <w:rPr>
            <w:rFonts w:ascii="Times New Roman" w:eastAsia="DejaVu Sans" w:hAnsi="Times New Roman" w:cs="Times New Roman"/>
            <w:kern w:val="1"/>
            <w:sz w:val="20"/>
            <w:lang w:val="en-US" w:eastAsia="ru-RU"/>
          </w:rPr>
          <w:t>https://xn----ctbjnaatncev9av3a8f8b.xn--p1ai/%D1%82%D0%B0%D0%B1%D0%BB%D0%B8%D1%86%D1%8B-%D0%B8%D0%BD%D1%84%D0%BB%D1%8F%D1%86%D0%B8%D0%B8</w:t>
        </w:r>
      </w:hyperlink>
    </w:p>
    <w:p w:rsidR="004C0F2B" w:rsidRDefault="00624B24" w:rsidP="003D39DF">
      <w:pPr>
        <w:widowControl w:val="0"/>
        <w:suppressAutoHyphens/>
        <w:spacing w:after="0" w:line="247" w:lineRule="auto"/>
        <w:ind w:firstLine="425"/>
        <w:jc w:val="both"/>
        <w:rPr>
          <w:rFonts w:ascii="Times New Roman" w:eastAsia="DejaVu Sans" w:hAnsi="Times New Roman" w:cs="Times New Roman"/>
          <w:kern w:val="1"/>
          <w:sz w:val="20"/>
          <w:lang w:eastAsia="ru-RU"/>
        </w:rPr>
      </w:pPr>
      <w:r>
        <w:rPr>
          <w:rFonts w:ascii="Times New Roman" w:eastAsia="DejaVu Sans" w:hAnsi="Times New Roman" w:cs="Times New Roman"/>
          <w:kern w:val="1"/>
          <w:sz w:val="20"/>
          <w:lang w:eastAsia="ru-RU"/>
        </w:rPr>
        <w:t>3 -</w:t>
      </w:r>
      <w:r w:rsidR="004C0F2B" w:rsidRPr="004C0F2B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 Рынок драгметаллов </w:t>
      </w:r>
      <w:r w:rsidR="00D82EB2">
        <w:rPr>
          <w:rFonts w:ascii="Times New Roman" w:eastAsia="DejaVu Sans" w:hAnsi="Times New Roman" w:cs="Times New Roman"/>
          <w:kern w:val="1"/>
          <w:sz w:val="20"/>
          <w:lang w:eastAsia="ru-RU"/>
        </w:rPr>
        <w:t>–</w:t>
      </w:r>
      <w:r w:rsidR="004C0F2B" w:rsidRPr="004C0F2B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 </w:t>
      </w:r>
      <w:r w:rsidR="00D82EB2" w:rsidRPr="00624B24">
        <w:rPr>
          <w:rFonts w:ascii="Times New Roman" w:eastAsia="DejaVu Sans" w:hAnsi="Times New Roman" w:cs="Times New Roman"/>
          <w:kern w:val="1"/>
          <w:sz w:val="20"/>
          <w:lang w:eastAsia="ru-RU"/>
        </w:rPr>
        <w:t>URL</w:t>
      </w:r>
      <w:r w:rsidR="00D82EB2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: </w:t>
      </w:r>
      <w:hyperlink r:id="rId13" w:history="1">
        <w:r w:rsidR="00D82EB2" w:rsidRPr="00624B24">
          <w:rPr>
            <w:lang w:eastAsia="ru-RU"/>
          </w:rPr>
          <w:t>https://gold.ru/news/rynok-dragmetallov-po-itogam-fevralya-2022-goda.html</w:t>
        </w:r>
      </w:hyperlink>
    </w:p>
    <w:p w:rsidR="00D82EB2" w:rsidRDefault="00624B24" w:rsidP="003D39DF">
      <w:pPr>
        <w:widowControl w:val="0"/>
        <w:suppressAutoHyphens/>
        <w:spacing w:after="0" w:line="247" w:lineRule="auto"/>
        <w:ind w:firstLine="425"/>
        <w:jc w:val="both"/>
        <w:rPr>
          <w:rFonts w:ascii="Times New Roman" w:eastAsia="DejaVu Sans" w:hAnsi="Times New Roman" w:cs="Times New Roman"/>
          <w:kern w:val="1"/>
          <w:sz w:val="20"/>
          <w:lang w:eastAsia="ru-RU"/>
        </w:rPr>
      </w:pPr>
      <w:r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4 - </w:t>
      </w:r>
      <w:r w:rsidR="00D82EB2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Цены на серебро в российских рублях – </w:t>
      </w:r>
      <w:r w:rsidR="00D82EB2" w:rsidRPr="00624B24">
        <w:rPr>
          <w:rFonts w:ascii="Times New Roman" w:eastAsia="DejaVu Sans" w:hAnsi="Times New Roman" w:cs="Times New Roman"/>
          <w:kern w:val="1"/>
          <w:sz w:val="20"/>
          <w:lang w:eastAsia="ru-RU"/>
        </w:rPr>
        <w:t>URL</w:t>
      </w:r>
      <w:r w:rsidR="00D82EB2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: </w:t>
      </w:r>
      <w:hyperlink r:id="rId14" w:history="1">
        <w:r w:rsidR="00105AFE" w:rsidRPr="00624B24">
          <w:rPr>
            <w:lang w:eastAsia="ru-RU"/>
          </w:rPr>
          <w:t>https://ru.bullion-rates.com/silver/RUB/2022-3-history.htm</w:t>
        </w:r>
      </w:hyperlink>
    </w:p>
    <w:p w:rsidR="00105AFE" w:rsidRPr="00105AFE" w:rsidRDefault="00624B24" w:rsidP="003D39DF">
      <w:pPr>
        <w:widowControl w:val="0"/>
        <w:suppressAutoHyphens/>
        <w:spacing w:after="0" w:line="247" w:lineRule="auto"/>
        <w:ind w:firstLine="425"/>
        <w:jc w:val="both"/>
        <w:rPr>
          <w:rFonts w:ascii="Times New Roman" w:eastAsia="DejaVu Sans" w:hAnsi="Times New Roman" w:cs="Times New Roman"/>
          <w:kern w:val="1"/>
          <w:sz w:val="20"/>
          <w:lang w:eastAsia="ru-RU"/>
        </w:rPr>
      </w:pPr>
      <w:r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5 - </w:t>
      </w:r>
      <w:r w:rsidR="00105AFE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Динамика индекса </w:t>
      </w:r>
      <w:proofErr w:type="spellStart"/>
      <w:r w:rsidR="00105AFE">
        <w:rPr>
          <w:rFonts w:ascii="Times New Roman" w:eastAsia="DejaVu Sans" w:hAnsi="Times New Roman" w:cs="Times New Roman"/>
          <w:kern w:val="1"/>
          <w:sz w:val="20"/>
          <w:lang w:eastAsia="ru-RU"/>
        </w:rPr>
        <w:t>Мосбиржи</w:t>
      </w:r>
      <w:proofErr w:type="spellEnd"/>
      <w:r w:rsidR="00105AFE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 -  </w:t>
      </w:r>
      <w:r w:rsidR="00105AFE" w:rsidRPr="00624B24">
        <w:rPr>
          <w:rFonts w:ascii="Times New Roman" w:eastAsia="DejaVu Sans" w:hAnsi="Times New Roman" w:cs="Times New Roman"/>
          <w:kern w:val="1"/>
          <w:sz w:val="20"/>
          <w:lang w:eastAsia="ru-RU"/>
        </w:rPr>
        <w:t>URL</w:t>
      </w:r>
      <w:r w:rsidR="00105AFE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: </w:t>
      </w:r>
      <w:r w:rsidR="00105AFE" w:rsidRPr="00105AFE">
        <w:rPr>
          <w:rFonts w:ascii="Times New Roman" w:eastAsia="DejaVu Sans" w:hAnsi="Times New Roman" w:cs="Times New Roman"/>
          <w:kern w:val="1"/>
          <w:sz w:val="20"/>
          <w:lang w:eastAsia="ru-RU"/>
        </w:rPr>
        <w:t>https://investfunds.ru/indexes/216/</w:t>
      </w:r>
    </w:p>
    <w:p w:rsidR="00105AFE" w:rsidRDefault="00624B24" w:rsidP="003D39DF">
      <w:pPr>
        <w:widowControl w:val="0"/>
        <w:suppressAutoHyphens/>
        <w:spacing w:after="0" w:line="247" w:lineRule="auto"/>
        <w:ind w:firstLine="425"/>
        <w:jc w:val="both"/>
        <w:rPr>
          <w:rFonts w:ascii="Times New Roman" w:eastAsia="DejaVu Sans" w:hAnsi="Times New Roman" w:cs="Times New Roman"/>
          <w:kern w:val="1"/>
          <w:sz w:val="20"/>
          <w:lang w:eastAsia="ru-RU"/>
        </w:rPr>
      </w:pPr>
      <w:r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6 - История курса доллара СЩА к рублю – </w:t>
      </w:r>
      <w:r w:rsidRPr="00624B24">
        <w:rPr>
          <w:rFonts w:ascii="Times New Roman" w:eastAsia="DejaVu Sans" w:hAnsi="Times New Roman" w:cs="Times New Roman"/>
          <w:kern w:val="1"/>
          <w:sz w:val="20"/>
          <w:lang w:eastAsia="ru-RU"/>
        </w:rPr>
        <w:t>URL</w:t>
      </w:r>
      <w:r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: </w:t>
      </w:r>
      <w:hyperlink r:id="rId15" w:anchor="january2022" w:history="1">
        <w:r w:rsidRPr="00624B24">
          <w:rPr>
            <w:lang w:eastAsia="ru-RU"/>
          </w:rPr>
          <w:t>https://markets-today.ru/rate/usdrub/2022/#january2022</w:t>
        </w:r>
      </w:hyperlink>
    </w:p>
    <w:p w:rsidR="00624B24" w:rsidRPr="00624B24" w:rsidRDefault="00624B24" w:rsidP="003D39DF">
      <w:pPr>
        <w:widowControl w:val="0"/>
        <w:suppressAutoHyphens/>
        <w:spacing w:after="0" w:line="247" w:lineRule="auto"/>
        <w:ind w:firstLine="425"/>
        <w:jc w:val="both"/>
        <w:rPr>
          <w:rFonts w:ascii="Times New Roman" w:eastAsia="DejaVu Sans" w:hAnsi="Times New Roman" w:cs="Times New Roman"/>
          <w:kern w:val="1"/>
          <w:sz w:val="20"/>
          <w:lang w:eastAsia="ru-RU"/>
        </w:rPr>
      </w:pPr>
      <w:r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7 - История курса доллара СЩА к рублю – </w:t>
      </w:r>
      <w:r w:rsidRPr="00624B24">
        <w:rPr>
          <w:rFonts w:ascii="Times New Roman" w:eastAsia="DejaVu Sans" w:hAnsi="Times New Roman" w:cs="Times New Roman"/>
          <w:kern w:val="1"/>
          <w:sz w:val="20"/>
          <w:lang w:eastAsia="ru-RU"/>
        </w:rPr>
        <w:t>URL</w:t>
      </w:r>
      <w:r>
        <w:rPr>
          <w:rFonts w:ascii="Times New Roman" w:eastAsia="DejaVu Sans" w:hAnsi="Times New Roman" w:cs="Times New Roman"/>
          <w:kern w:val="1"/>
          <w:sz w:val="20"/>
          <w:lang w:eastAsia="ru-RU"/>
        </w:rPr>
        <w:t>:</w:t>
      </w:r>
      <w:r w:rsidRPr="00624B24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 https://markets-today.ru/rate/eurrub/2022/</w:t>
      </w:r>
    </w:p>
    <w:p w:rsidR="001456D1" w:rsidRDefault="001456D1" w:rsidP="005F5AF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1456D1" w:rsidRDefault="001456D1" w:rsidP="005F5AF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5F5AF9" w:rsidRDefault="00466F7E" w:rsidP="005F5AF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Среди всех анализируемых финансовых инструментов</w:t>
      </w:r>
      <w:r w:rsidR="00183C07">
        <w:rPr>
          <w:rFonts w:ascii="Times New Roman" w:hAnsi="Times New Roman" w:cs="Times New Roman"/>
        </w:rPr>
        <w:t xml:space="preserve"> положительная реальная доходность наблюдалась только в январе и феврале у драгоценных металлов и иностранной валюты. В марте на рынке иностранной валюты, несомненно, можно было бы прогнозировать положительную высокую реальную доходность в случае правильного выбора</w:t>
      </w:r>
      <w:r w:rsidR="00CC78B3">
        <w:rPr>
          <w:rFonts w:ascii="Times New Roman" w:hAnsi="Times New Roman" w:cs="Times New Roman"/>
        </w:rPr>
        <w:t xml:space="preserve"> момента времени</w:t>
      </w:r>
      <w:r w:rsidR="00183C07">
        <w:rPr>
          <w:rFonts w:ascii="Times New Roman" w:hAnsi="Times New Roman" w:cs="Times New Roman"/>
        </w:rPr>
        <w:t xml:space="preserve"> </w:t>
      </w:r>
      <w:r w:rsidR="00CC78B3">
        <w:rPr>
          <w:rFonts w:ascii="Times New Roman" w:hAnsi="Times New Roman" w:cs="Times New Roman"/>
        </w:rPr>
        <w:t xml:space="preserve">для </w:t>
      </w:r>
      <w:r w:rsidR="00183C07">
        <w:rPr>
          <w:rFonts w:ascii="Times New Roman" w:hAnsi="Times New Roman" w:cs="Times New Roman"/>
        </w:rPr>
        <w:t>покупки и продажи валюты. К сожалению, далеко не все инвесторы обладают достаточной финансовой грамотностью и способностью ожидать и идти на риск, поэтому заработать смогли на разнице валютного курса в марте лишь немногие.</w:t>
      </w:r>
    </w:p>
    <w:p w:rsidR="00EA4672" w:rsidRDefault="0028582F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Рынок акций показывает прогнозируемую положительную доходность в марте по вполне объяснимым причинам: приостановка торгов на российских рынках ценных бумаг и возобновление торговли в середине марта</w:t>
      </w:r>
      <w:r w:rsidR="00CA3C3E">
        <w:rPr>
          <w:rFonts w:ascii="Times New Roman" w:hAnsi="Times New Roman" w:cs="Times New Roman"/>
        </w:rPr>
        <w:t>, а также медленное восстановление рынка ценных бумаг после пика кризиса в экономике страны.</w:t>
      </w:r>
    </w:p>
    <w:p w:rsidR="00964764" w:rsidRDefault="00964764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Несмотря на резкий рост процентных ставок по рублевым депозитам в марте 2022 года, реальная доходность банковских депозитов имеет отрицательные значения, и самая высокая убыточность представлена именно в марте, т.е. высокие процентные ставки не смогли покрыть уровень инфляции.</w:t>
      </w:r>
    </w:p>
    <w:p w:rsidR="00071ACF" w:rsidRDefault="00071ACF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Какой финансовый рынок предпочтет частный инвестор, зависит от разных факторов</w:t>
      </w:r>
      <w:r w:rsidR="001B1D86">
        <w:rPr>
          <w:rFonts w:ascii="Times New Roman" w:hAnsi="Times New Roman" w:cs="Times New Roman"/>
        </w:rPr>
        <w:t xml:space="preserve"> [2</w:t>
      </w:r>
      <w:r w:rsidR="001B1D86" w:rsidRPr="001B1D86">
        <w:rPr>
          <w:rFonts w:ascii="Times New Roman" w:hAnsi="Times New Roman" w:cs="Times New Roman"/>
        </w:rPr>
        <w:t>, 7]</w:t>
      </w:r>
      <w:r>
        <w:rPr>
          <w:rFonts w:ascii="Times New Roman" w:hAnsi="Times New Roman" w:cs="Times New Roman"/>
        </w:rPr>
        <w:t>: обладание навыками финансовой грамотности; умение ждать; характер управления своими ресурсами (агрессивный или консервативный); порог вхождения на рынок; срок, на который инвестор обладает свободными ресурсами; состояние экономики и финансовых рынков.</w:t>
      </w:r>
    </w:p>
    <w:p w:rsidR="00CE0F53" w:rsidRDefault="00CE0F53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bookmarkStart w:id="1" w:name="_GoBack"/>
      <w:bookmarkEnd w:id="1"/>
    </w:p>
    <w:p w:rsidR="00827E82" w:rsidRPr="002422EA" w:rsidRDefault="00827E82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  <w:r w:rsidRPr="002422EA">
        <w:rPr>
          <w:rFonts w:ascii="Times New Roman" w:hAnsi="Times New Roman" w:cs="Times New Roman"/>
          <w:b/>
        </w:rPr>
        <w:t>ЛИТЕРАТУРА</w:t>
      </w:r>
    </w:p>
    <w:p w:rsidR="006B3F3E" w:rsidRPr="00CE0F53" w:rsidRDefault="00710650" w:rsidP="006B3F3E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Воеводина А.С., Селина</w:t>
      </w:r>
      <w:r w:rsidR="006B3F3E" w:rsidRPr="006B3F3E">
        <w:rPr>
          <w:rFonts w:ascii="Times New Roman" w:eastAsia="Calibri" w:hAnsi="Times New Roman" w:cs="Times New Roman"/>
        </w:rPr>
        <w:t xml:space="preserve"> М.Н. Анализ и прогнозирование финансовой устойчивости банковского сектора Вологодского региона // В сборнике: Молодые ученые - экономике региона. Материалы </w:t>
      </w:r>
      <w:r w:rsidR="006B3F3E" w:rsidRPr="006B3F3E">
        <w:rPr>
          <w:rFonts w:ascii="Times New Roman" w:eastAsia="Calibri" w:hAnsi="Times New Roman" w:cs="Times New Roman"/>
          <w:lang w:val="en-US"/>
        </w:rPr>
        <w:t>XIX</w:t>
      </w:r>
      <w:r w:rsidR="006B3F3E" w:rsidRPr="006B3F3E">
        <w:rPr>
          <w:rFonts w:ascii="Times New Roman" w:eastAsia="Calibri" w:hAnsi="Times New Roman" w:cs="Times New Roman"/>
        </w:rPr>
        <w:t xml:space="preserve"> Всероссийской научно-практической конференции с международным участием. Вологда, 2020. </w:t>
      </w:r>
      <w:r w:rsidR="00940017">
        <w:rPr>
          <w:rFonts w:ascii="Times New Roman" w:eastAsia="Calibri" w:hAnsi="Times New Roman" w:cs="Times New Roman"/>
        </w:rPr>
        <w:t>– С.</w:t>
      </w:r>
      <w:r w:rsidR="00CE0F53">
        <w:rPr>
          <w:rFonts w:ascii="Times New Roman" w:eastAsia="Calibri" w:hAnsi="Times New Roman" w:cs="Times New Roman"/>
        </w:rPr>
        <w:t xml:space="preserve"> </w:t>
      </w:r>
      <w:r w:rsidR="006B3F3E" w:rsidRPr="00CE0F53">
        <w:rPr>
          <w:rFonts w:ascii="Times New Roman" w:eastAsia="Calibri" w:hAnsi="Times New Roman" w:cs="Times New Roman"/>
        </w:rPr>
        <w:t xml:space="preserve">11-16. – </w:t>
      </w:r>
      <w:r w:rsidR="006B3F3E" w:rsidRPr="006B3F3E">
        <w:rPr>
          <w:rFonts w:ascii="Times New Roman" w:eastAsia="Calibri" w:hAnsi="Times New Roman" w:cs="Times New Roman"/>
          <w:lang w:val="en-US"/>
        </w:rPr>
        <w:t>URL</w:t>
      </w:r>
      <w:r w:rsidR="006B3F3E" w:rsidRPr="00CE0F53">
        <w:rPr>
          <w:rFonts w:ascii="Times New Roman" w:eastAsia="Calibri" w:hAnsi="Times New Roman" w:cs="Times New Roman"/>
        </w:rPr>
        <w:t xml:space="preserve">: </w:t>
      </w:r>
      <w:hyperlink r:id="rId16" w:history="1">
        <w:r w:rsidR="006B3F3E" w:rsidRPr="00A26052">
          <w:rPr>
            <w:rStyle w:val="a6"/>
            <w:rFonts w:ascii="Times New Roman" w:eastAsia="Calibri" w:hAnsi="Times New Roman" w:cs="Times New Roman"/>
            <w:lang w:val="en-US"/>
          </w:rPr>
          <w:t>https</w:t>
        </w:r>
        <w:r w:rsidR="006B3F3E" w:rsidRPr="00CE0F53">
          <w:rPr>
            <w:rStyle w:val="a6"/>
            <w:rFonts w:ascii="Times New Roman" w:eastAsia="Calibri" w:hAnsi="Times New Roman" w:cs="Times New Roman"/>
          </w:rPr>
          <w:t>://</w:t>
        </w:r>
        <w:r w:rsidR="006B3F3E" w:rsidRPr="00A26052">
          <w:rPr>
            <w:rStyle w:val="a6"/>
            <w:rFonts w:ascii="Times New Roman" w:eastAsia="Calibri" w:hAnsi="Times New Roman" w:cs="Times New Roman"/>
            <w:lang w:val="en-US"/>
          </w:rPr>
          <w:t>www</w:t>
        </w:r>
        <w:r w:rsidR="006B3F3E" w:rsidRPr="00CE0F53">
          <w:rPr>
            <w:rStyle w:val="a6"/>
            <w:rFonts w:ascii="Times New Roman" w:eastAsia="Calibri" w:hAnsi="Times New Roman" w:cs="Times New Roman"/>
          </w:rPr>
          <w:t>.</w:t>
        </w:r>
        <w:proofErr w:type="spellStart"/>
        <w:r w:rsidR="006B3F3E" w:rsidRPr="00A26052">
          <w:rPr>
            <w:rStyle w:val="a6"/>
            <w:rFonts w:ascii="Times New Roman" w:eastAsia="Calibri" w:hAnsi="Times New Roman" w:cs="Times New Roman"/>
            <w:lang w:val="en-US"/>
          </w:rPr>
          <w:t>elibrary</w:t>
        </w:r>
        <w:proofErr w:type="spellEnd"/>
        <w:r w:rsidR="006B3F3E" w:rsidRPr="00CE0F53">
          <w:rPr>
            <w:rStyle w:val="a6"/>
            <w:rFonts w:ascii="Times New Roman" w:eastAsia="Calibri" w:hAnsi="Times New Roman" w:cs="Times New Roman"/>
          </w:rPr>
          <w:t>.</w:t>
        </w:r>
        <w:proofErr w:type="spellStart"/>
        <w:r w:rsidR="006B3F3E" w:rsidRPr="00A26052">
          <w:rPr>
            <w:rStyle w:val="a6"/>
            <w:rFonts w:ascii="Times New Roman" w:eastAsia="Calibri" w:hAnsi="Times New Roman" w:cs="Times New Roman"/>
            <w:lang w:val="en-US"/>
          </w:rPr>
          <w:t>ru</w:t>
        </w:r>
        <w:proofErr w:type="spellEnd"/>
        <w:r w:rsidR="006B3F3E" w:rsidRPr="00CE0F53">
          <w:rPr>
            <w:rStyle w:val="a6"/>
            <w:rFonts w:ascii="Times New Roman" w:eastAsia="Calibri" w:hAnsi="Times New Roman" w:cs="Times New Roman"/>
          </w:rPr>
          <w:t>/</w:t>
        </w:r>
        <w:r w:rsidR="006B3F3E" w:rsidRPr="00A26052">
          <w:rPr>
            <w:rStyle w:val="a6"/>
            <w:rFonts w:ascii="Times New Roman" w:eastAsia="Calibri" w:hAnsi="Times New Roman" w:cs="Times New Roman"/>
            <w:lang w:val="en-US"/>
          </w:rPr>
          <w:t>download</w:t>
        </w:r>
        <w:r w:rsidR="006B3F3E" w:rsidRPr="00CE0F53">
          <w:rPr>
            <w:rStyle w:val="a6"/>
            <w:rFonts w:ascii="Times New Roman" w:eastAsia="Calibri" w:hAnsi="Times New Roman" w:cs="Times New Roman"/>
          </w:rPr>
          <w:t>/</w:t>
        </w:r>
        <w:proofErr w:type="spellStart"/>
        <w:r w:rsidR="006B3F3E" w:rsidRPr="00A26052">
          <w:rPr>
            <w:rStyle w:val="a6"/>
            <w:rFonts w:ascii="Times New Roman" w:eastAsia="Calibri" w:hAnsi="Times New Roman" w:cs="Times New Roman"/>
            <w:lang w:val="en-US"/>
          </w:rPr>
          <w:t>elibrary</w:t>
        </w:r>
        <w:proofErr w:type="spellEnd"/>
        <w:r w:rsidR="006B3F3E" w:rsidRPr="00CE0F53">
          <w:rPr>
            <w:rStyle w:val="a6"/>
            <w:rFonts w:ascii="Times New Roman" w:eastAsia="Calibri" w:hAnsi="Times New Roman" w:cs="Times New Roman"/>
          </w:rPr>
          <w:t>_43930048_56931893.</w:t>
        </w:r>
        <w:r w:rsidR="006B3F3E" w:rsidRPr="00A26052">
          <w:rPr>
            <w:rStyle w:val="a6"/>
            <w:rFonts w:ascii="Times New Roman" w:eastAsia="Calibri" w:hAnsi="Times New Roman" w:cs="Times New Roman"/>
            <w:lang w:val="en-US"/>
          </w:rPr>
          <w:t>pdf</w:t>
        </w:r>
      </w:hyperlink>
    </w:p>
    <w:p w:rsidR="001A586C" w:rsidRDefault="00940017" w:rsidP="0071065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1A586C">
        <w:rPr>
          <w:rFonts w:ascii="Times New Roman" w:eastAsia="Calibri" w:hAnsi="Times New Roman" w:cs="Times New Roman"/>
        </w:rPr>
        <w:t>Воеводина А.С. Селина</w:t>
      </w:r>
      <w:r w:rsidR="00710650" w:rsidRPr="001A586C">
        <w:rPr>
          <w:rFonts w:ascii="Times New Roman" w:eastAsia="Calibri" w:hAnsi="Times New Roman" w:cs="Times New Roman"/>
        </w:rPr>
        <w:t xml:space="preserve"> М.Н. Кредитные организации на финансовом рынке Вологодской области //В сборнике: Развитие финансовой науки: дискуссионные вопросы современных исследований сборник научных трудов по материалам </w:t>
      </w:r>
      <w:r w:rsidR="00710650" w:rsidRPr="001A586C">
        <w:rPr>
          <w:rFonts w:ascii="Times New Roman" w:eastAsia="Calibri" w:hAnsi="Times New Roman" w:cs="Times New Roman"/>
          <w:lang w:val="en-US"/>
        </w:rPr>
        <w:t>V</w:t>
      </w:r>
      <w:r w:rsidR="00710650" w:rsidRPr="001A586C">
        <w:rPr>
          <w:rFonts w:ascii="Times New Roman" w:eastAsia="Calibri" w:hAnsi="Times New Roman" w:cs="Times New Roman"/>
        </w:rPr>
        <w:t xml:space="preserve">-й Всероссийской </w:t>
      </w:r>
      <w:r w:rsidR="00710650" w:rsidRPr="001A586C">
        <w:rPr>
          <w:rFonts w:ascii="Times New Roman" w:eastAsia="Calibri" w:hAnsi="Times New Roman" w:cs="Times New Roman"/>
          <w:lang w:val="en-US"/>
        </w:rPr>
        <w:t>c</w:t>
      </w:r>
      <w:r w:rsidR="00710650" w:rsidRPr="001A586C">
        <w:rPr>
          <w:rFonts w:ascii="Times New Roman" w:eastAsia="Calibri" w:hAnsi="Times New Roman" w:cs="Times New Roman"/>
        </w:rPr>
        <w:t xml:space="preserve"> международным участием научно-практической конференции молодых ученых. </w:t>
      </w:r>
      <w:r w:rsidRPr="001A586C">
        <w:rPr>
          <w:rFonts w:ascii="Times New Roman" w:eastAsia="Calibri" w:hAnsi="Times New Roman" w:cs="Times New Roman"/>
        </w:rPr>
        <w:t xml:space="preserve">Ставрополь, </w:t>
      </w:r>
      <w:r w:rsidR="00171956" w:rsidRPr="001A586C">
        <w:rPr>
          <w:rFonts w:ascii="Times New Roman" w:eastAsia="Calibri" w:hAnsi="Times New Roman" w:cs="Times New Roman"/>
        </w:rPr>
        <w:t xml:space="preserve">Издательство «АГРУС», </w:t>
      </w:r>
      <w:r w:rsidR="00710650" w:rsidRPr="001A586C">
        <w:rPr>
          <w:rFonts w:ascii="Times New Roman" w:eastAsia="Calibri" w:hAnsi="Times New Roman" w:cs="Times New Roman"/>
        </w:rPr>
        <w:t xml:space="preserve">2019. </w:t>
      </w:r>
      <w:r w:rsidRPr="001A586C">
        <w:rPr>
          <w:rFonts w:ascii="Times New Roman" w:eastAsia="Calibri" w:hAnsi="Times New Roman" w:cs="Times New Roman"/>
        </w:rPr>
        <w:t xml:space="preserve">– </w:t>
      </w:r>
      <w:r w:rsidR="00710650" w:rsidRPr="001A586C">
        <w:rPr>
          <w:rFonts w:ascii="Times New Roman" w:eastAsia="Calibri" w:hAnsi="Times New Roman" w:cs="Times New Roman"/>
        </w:rPr>
        <w:t>С. 81-85.</w:t>
      </w:r>
    </w:p>
    <w:p w:rsidR="001A586C" w:rsidRDefault="001A586C" w:rsidP="001A586C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proofErr w:type="spellStart"/>
      <w:r w:rsidRPr="001A586C">
        <w:rPr>
          <w:rFonts w:ascii="Times New Roman" w:eastAsia="Calibri" w:hAnsi="Times New Roman" w:cs="Times New Roman"/>
        </w:rPr>
        <w:t>Кувалдина</w:t>
      </w:r>
      <w:proofErr w:type="spellEnd"/>
      <w:r w:rsidRPr="001A586C">
        <w:rPr>
          <w:rFonts w:ascii="Times New Roman" w:eastAsia="Calibri" w:hAnsi="Times New Roman" w:cs="Times New Roman"/>
        </w:rPr>
        <w:t xml:space="preserve"> А.А. Оценка выгодности инвестирования на рынке драгоценных металлов //В сборнике: Развитие финансовой науки: дискуссионные вопросы современных исследований. Сборник научных трудов. Ставрополь, Издательство «АГРУС», 2018. </w:t>
      </w:r>
      <w:r>
        <w:rPr>
          <w:rFonts w:ascii="Times New Roman" w:eastAsia="Calibri" w:hAnsi="Times New Roman" w:cs="Times New Roman"/>
        </w:rPr>
        <w:t xml:space="preserve">– </w:t>
      </w:r>
      <w:r w:rsidRPr="001A586C">
        <w:rPr>
          <w:rFonts w:ascii="Times New Roman" w:eastAsia="Calibri" w:hAnsi="Times New Roman" w:cs="Times New Roman"/>
        </w:rPr>
        <w:t>С. 146-150.</w:t>
      </w:r>
    </w:p>
    <w:p w:rsidR="001A586C" w:rsidRDefault="001A586C" w:rsidP="001A586C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proofErr w:type="spellStart"/>
      <w:r w:rsidRPr="001A586C">
        <w:rPr>
          <w:rFonts w:ascii="Times New Roman" w:eastAsia="Calibri" w:hAnsi="Times New Roman" w:cs="Times New Roman"/>
        </w:rPr>
        <w:t>Кувалдина</w:t>
      </w:r>
      <w:proofErr w:type="spellEnd"/>
      <w:r w:rsidRPr="001A586C">
        <w:rPr>
          <w:rFonts w:ascii="Times New Roman" w:eastAsia="Calibri" w:hAnsi="Times New Roman" w:cs="Times New Roman"/>
        </w:rPr>
        <w:t xml:space="preserve"> А.А., Рыжкова А.С. Оценка эффективности инвестиций на рынке ценных бумаг //В сборнике: Первая ступень в науке. Сборник трудов по результатам работы VI Международной научно-практической студенческой конференции. </w:t>
      </w:r>
      <w:proofErr w:type="gramStart"/>
      <w:r w:rsidRPr="001A586C">
        <w:rPr>
          <w:rFonts w:ascii="Times New Roman" w:eastAsia="Calibri" w:hAnsi="Times New Roman" w:cs="Times New Roman"/>
        </w:rPr>
        <w:t>Вологда-Молочное</w:t>
      </w:r>
      <w:proofErr w:type="gramEnd"/>
      <w:r w:rsidRPr="001A586C">
        <w:rPr>
          <w:rFonts w:ascii="Times New Roman" w:eastAsia="Calibri" w:hAnsi="Times New Roman" w:cs="Times New Roman"/>
        </w:rPr>
        <w:t>, 2018. – С. 28-31.</w:t>
      </w:r>
    </w:p>
    <w:p w:rsidR="001A586C" w:rsidRDefault="001A586C" w:rsidP="001A586C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1A586C">
        <w:rPr>
          <w:rFonts w:ascii="Times New Roman" w:eastAsia="Calibri" w:hAnsi="Times New Roman" w:cs="Times New Roman"/>
        </w:rPr>
        <w:t xml:space="preserve">Рыжкова А.С. Формирование портфеля ценных бумаг частным инвестором // В сборнике: Развитие финансовой науки: дискуссионные вопросы современных исследований. Сборник научных трудов. Ставрополь, Издательство «АГРУС», 2018. </w:t>
      </w:r>
      <w:r>
        <w:rPr>
          <w:rFonts w:ascii="Times New Roman" w:eastAsia="Calibri" w:hAnsi="Times New Roman" w:cs="Times New Roman"/>
        </w:rPr>
        <w:t xml:space="preserve">– </w:t>
      </w:r>
      <w:r w:rsidRPr="001A586C">
        <w:rPr>
          <w:rFonts w:ascii="Times New Roman" w:eastAsia="Calibri" w:hAnsi="Times New Roman" w:cs="Times New Roman"/>
        </w:rPr>
        <w:t>С. 257-261.</w:t>
      </w:r>
    </w:p>
    <w:p w:rsidR="00710650" w:rsidRPr="001A586C" w:rsidRDefault="000277C8" w:rsidP="001A586C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1A586C">
        <w:rPr>
          <w:rFonts w:ascii="Times New Roman" w:eastAsia="Calibri" w:hAnsi="Times New Roman" w:cs="Times New Roman"/>
        </w:rPr>
        <w:t>Селина</w:t>
      </w:r>
      <w:r w:rsidR="00710650" w:rsidRPr="001A586C">
        <w:rPr>
          <w:rFonts w:ascii="Times New Roman" w:eastAsia="Calibri" w:hAnsi="Times New Roman" w:cs="Times New Roman"/>
        </w:rPr>
        <w:t xml:space="preserve"> М.Н. Анализ развития банковского сектора Вологодской области в условиях кризиса 2014 года // В сборнике: Финансы: международный опыт и российские реалии. Сборник научных трудов по материалам </w:t>
      </w:r>
      <w:proofErr w:type="gramStart"/>
      <w:r w:rsidR="00710650" w:rsidRPr="001A586C">
        <w:rPr>
          <w:rFonts w:ascii="Times New Roman" w:eastAsia="Calibri" w:hAnsi="Times New Roman" w:cs="Times New Roman"/>
        </w:rPr>
        <w:t>международной</w:t>
      </w:r>
      <w:proofErr w:type="gramEnd"/>
      <w:r w:rsidR="00710650" w:rsidRPr="001A586C">
        <w:rPr>
          <w:rFonts w:ascii="Times New Roman" w:eastAsia="Calibri" w:hAnsi="Times New Roman" w:cs="Times New Roman"/>
        </w:rPr>
        <w:t xml:space="preserve"> очно-заочной научно-</w:t>
      </w:r>
      <w:r w:rsidR="00171956" w:rsidRPr="001A586C">
        <w:rPr>
          <w:rFonts w:ascii="Times New Roman" w:eastAsia="Calibri" w:hAnsi="Times New Roman" w:cs="Times New Roman"/>
        </w:rPr>
        <w:t xml:space="preserve">практической онлайн-конференции. Ярославль, </w:t>
      </w:r>
      <w:r w:rsidR="00710650" w:rsidRPr="001A586C">
        <w:rPr>
          <w:rFonts w:ascii="Times New Roman" w:eastAsia="Calibri" w:hAnsi="Times New Roman" w:cs="Times New Roman"/>
        </w:rPr>
        <w:t>2016. – С. 256-260.</w:t>
      </w:r>
    </w:p>
    <w:p w:rsidR="00710650" w:rsidRPr="00710650" w:rsidRDefault="00171956" w:rsidP="0071065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Тыщенко А.А., </w:t>
      </w:r>
      <w:proofErr w:type="spellStart"/>
      <w:r>
        <w:rPr>
          <w:rFonts w:ascii="Times New Roman" w:eastAsia="Calibri" w:hAnsi="Times New Roman" w:cs="Times New Roman"/>
        </w:rPr>
        <w:t>Рогалева</w:t>
      </w:r>
      <w:proofErr w:type="spellEnd"/>
      <w:r w:rsidR="00710650" w:rsidRPr="00710650">
        <w:rPr>
          <w:rFonts w:ascii="Times New Roman" w:eastAsia="Calibri" w:hAnsi="Times New Roman" w:cs="Times New Roman"/>
        </w:rPr>
        <w:t xml:space="preserve">  У.Е.</w:t>
      </w:r>
      <w:r>
        <w:rPr>
          <w:rFonts w:ascii="Times New Roman" w:eastAsia="Calibri" w:hAnsi="Times New Roman" w:cs="Times New Roman"/>
        </w:rPr>
        <w:t xml:space="preserve"> </w:t>
      </w:r>
      <w:r w:rsidR="00710650" w:rsidRPr="00710650">
        <w:rPr>
          <w:rFonts w:ascii="Times New Roman" w:eastAsia="Calibri" w:hAnsi="Times New Roman" w:cs="Times New Roman"/>
        </w:rPr>
        <w:t>К</w:t>
      </w:r>
      <w:r w:rsidRPr="00710650">
        <w:rPr>
          <w:rFonts w:ascii="Times New Roman" w:eastAsia="Calibri" w:hAnsi="Times New Roman" w:cs="Times New Roman"/>
        </w:rPr>
        <w:t xml:space="preserve">оммерческие банки </w:t>
      </w:r>
      <w:r>
        <w:rPr>
          <w:rFonts w:ascii="Times New Roman" w:eastAsia="Calibri" w:hAnsi="Times New Roman" w:cs="Times New Roman"/>
        </w:rPr>
        <w:t>как участники финансового рынка</w:t>
      </w:r>
      <w:r w:rsidR="00710650" w:rsidRPr="00710650">
        <w:rPr>
          <w:rFonts w:ascii="Times New Roman" w:eastAsia="Calibri" w:hAnsi="Times New Roman" w:cs="Times New Roman"/>
        </w:rPr>
        <w:t xml:space="preserve"> //В сборнике: Развитие финансовой науки: дискуссионные вопросы современных исследований</w:t>
      </w:r>
      <w:proofErr w:type="gramStart"/>
      <w:r w:rsidR="00710650" w:rsidRPr="00710650">
        <w:rPr>
          <w:rFonts w:ascii="Times New Roman" w:eastAsia="Calibri" w:hAnsi="Times New Roman" w:cs="Times New Roman"/>
        </w:rPr>
        <w:t>.</w:t>
      </w:r>
      <w:proofErr w:type="gramEnd"/>
      <w:r w:rsidR="00710650" w:rsidRPr="00710650">
        <w:rPr>
          <w:rFonts w:ascii="Times New Roman" w:eastAsia="Calibri" w:hAnsi="Times New Roman" w:cs="Times New Roman"/>
        </w:rPr>
        <w:t xml:space="preserve"> </w:t>
      </w:r>
      <w:proofErr w:type="gramStart"/>
      <w:r w:rsidR="00710650" w:rsidRPr="00710650">
        <w:rPr>
          <w:rFonts w:ascii="Times New Roman" w:eastAsia="Calibri" w:hAnsi="Times New Roman" w:cs="Times New Roman"/>
        </w:rPr>
        <w:t>с</w:t>
      </w:r>
      <w:proofErr w:type="gramEnd"/>
      <w:r w:rsidR="00710650" w:rsidRPr="00710650">
        <w:rPr>
          <w:rFonts w:ascii="Times New Roman" w:eastAsia="Calibri" w:hAnsi="Times New Roman" w:cs="Times New Roman"/>
        </w:rPr>
        <w:t xml:space="preserve">борник научных трудов по материалам V-й Всероссийской c международным участием научно-практической конференции молодых ученых. </w:t>
      </w:r>
      <w:r>
        <w:rPr>
          <w:rFonts w:ascii="Times New Roman" w:eastAsia="Calibri" w:hAnsi="Times New Roman" w:cs="Times New Roman"/>
        </w:rPr>
        <w:t xml:space="preserve">Ставрополь, Издательство «АГРУС», </w:t>
      </w:r>
      <w:r w:rsidR="00710650" w:rsidRPr="00710650">
        <w:rPr>
          <w:rFonts w:ascii="Times New Roman" w:eastAsia="Calibri" w:hAnsi="Times New Roman" w:cs="Times New Roman"/>
        </w:rPr>
        <w:t xml:space="preserve">2019. </w:t>
      </w:r>
      <w:r>
        <w:rPr>
          <w:rFonts w:ascii="Times New Roman" w:eastAsia="Calibri" w:hAnsi="Times New Roman" w:cs="Times New Roman"/>
        </w:rPr>
        <w:t xml:space="preserve">– </w:t>
      </w:r>
      <w:r w:rsidR="00710650" w:rsidRPr="00710650">
        <w:rPr>
          <w:rFonts w:ascii="Times New Roman" w:eastAsia="Calibri" w:hAnsi="Times New Roman" w:cs="Times New Roman"/>
        </w:rPr>
        <w:t xml:space="preserve">С. 368-372. </w:t>
      </w:r>
    </w:p>
    <w:p w:rsidR="00854770" w:rsidRPr="006B3F3E" w:rsidRDefault="00854770"/>
    <w:sectPr w:rsidR="00854770" w:rsidRPr="006B3F3E" w:rsidSect="00827E82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7DA8" w:rsidRDefault="006D7DA8" w:rsidP="00827E82">
      <w:pPr>
        <w:spacing w:after="0" w:line="240" w:lineRule="auto"/>
      </w:pPr>
      <w:r>
        <w:separator/>
      </w:r>
    </w:p>
  </w:endnote>
  <w:endnote w:type="continuationSeparator" w:id="0">
    <w:p w:rsidR="006D7DA8" w:rsidRDefault="006D7DA8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7DA8" w:rsidRDefault="006D7DA8" w:rsidP="00827E82">
      <w:pPr>
        <w:spacing w:after="0" w:line="240" w:lineRule="auto"/>
      </w:pPr>
      <w:r>
        <w:separator/>
      </w:r>
    </w:p>
  </w:footnote>
  <w:footnote w:type="continuationSeparator" w:id="0">
    <w:p w:rsidR="006D7DA8" w:rsidRDefault="006D7DA8" w:rsidP="00827E82">
      <w:pPr>
        <w:spacing w:after="0" w:line="240" w:lineRule="auto"/>
      </w:pPr>
      <w:r>
        <w:continuationSeparator/>
      </w:r>
    </w:p>
  </w:footnote>
  <w:footnote w:id="1">
    <w:p w:rsidR="00827E82" w:rsidRPr="00CA7DF7" w:rsidRDefault="00827E82" w:rsidP="00827E82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 w:rsidR="00AD126D">
        <w:rPr>
          <w:rFonts w:ascii="Times New Roman" w:hAnsi="Times New Roman" w:cs="Times New Roman"/>
          <w:sz w:val="20"/>
          <w:szCs w:val="20"/>
        </w:rPr>
        <w:t>Селина Марина Николаевна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AD126D">
        <w:rPr>
          <w:rFonts w:ascii="Times New Roman" w:hAnsi="Times New Roman" w:cs="Times New Roman"/>
          <w:sz w:val="20"/>
          <w:szCs w:val="20"/>
        </w:rPr>
        <w:t>кандидат экономических наук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AD126D">
        <w:rPr>
          <w:rFonts w:ascii="Times New Roman" w:hAnsi="Times New Roman" w:cs="Times New Roman"/>
          <w:sz w:val="20"/>
          <w:szCs w:val="20"/>
        </w:rPr>
        <w:t>доцент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AD126D" w:rsidRPr="00AD126D">
        <w:rPr>
          <w:rFonts w:ascii="Times New Roman" w:hAnsi="Times New Roman" w:cs="Times New Roman"/>
          <w:sz w:val="20"/>
          <w:szCs w:val="20"/>
        </w:rPr>
        <w:t xml:space="preserve">федеральное государственное бюджетное образовательное учреждение высшего образования «Вологодская государственная </w:t>
      </w:r>
      <w:proofErr w:type="spellStart"/>
      <w:r w:rsidR="00AD126D" w:rsidRPr="00AD126D">
        <w:rPr>
          <w:rFonts w:ascii="Times New Roman" w:hAnsi="Times New Roman" w:cs="Times New Roman"/>
          <w:sz w:val="20"/>
          <w:szCs w:val="20"/>
        </w:rPr>
        <w:t>молочнохозяйственная</w:t>
      </w:r>
      <w:proofErr w:type="spellEnd"/>
      <w:r w:rsidR="00AD126D" w:rsidRPr="00AD126D">
        <w:rPr>
          <w:rFonts w:ascii="Times New Roman" w:hAnsi="Times New Roman" w:cs="Times New Roman"/>
          <w:sz w:val="20"/>
          <w:szCs w:val="20"/>
        </w:rPr>
        <w:t xml:space="preserve"> академия имени Н.В. Верещагина»</w:t>
      </w:r>
      <w:r w:rsidRPr="00CA7DF7">
        <w:rPr>
          <w:rFonts w:ascii="Times New Roman" w:hAnsi="Times New Roman" w:cs="Times New Roman"/>
          <w:sz w:val="20"/>
          <w:szCs w:val="20"/>
        </w:rPr>
        <w:t xml:space="preserve"> (Адрес: </w:t>
      </w:r>
      <w:r w:rsidR="00AD126D">
        <w:rPr>
          <w:rFonts w:ascii="Times New Roman" w:hAnsi="Times New Roman" w:cs="Times New Roman"/>
          <w:sz w:val="20"/>
          <w:szCs w:val="20"/>
        </w:rPr>
        <w:t>160555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AD126D">
        <w:rPr>
          <w:rFonts w:ascii="Times New Roman" w:hAnsi="Times New Roman" w:cs="Times New Roman"/>
          <w:sz w:val="20"/>
          <w:szCs w:val="20"/>
        </w:rPr>
        <w:t>Россия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AD126D">
        <w:rPr>
          <w:rFonts w:ascii="Times New Roman" w:hAnsi="Times New Roman" w:cs="Times New Roman"/>
          <w:sz w:val="20"/>
          <w:szCs w:val="20"/>
        </w:rPr>
        <w:t>г. Вологда, с. Молочное</w:t>
      </w:r>
      <w:r w:rsidRPr="00CA7DF7">
        <w:rPr>
          <w:rFonts w:ascii="Times New Roman" w:hAnsi="Times New Roman" w:cs="Times New Roman"/>
          <w:sz w:val="20"/>
          <w:szCs w:val="20"/>
        </w:rPr>
        <w:t xml:space="preserve">, ул. </w:t>
      </w:r>
      <w:r w:rsidR="00AD126D">
        <w:rPr>
          <w:rFonts w:ascii="Times New Roman" w:hAnsi="Times New Roman" w:cs="Times New Roman"/>
          <w:sz w:val="20"/>
          <w:szCs w:val="20"/>
        </w:rPr>
        <w:t>Ленина, д. 5а</w:t>
      </w:r>
      <w:r w:rsidRPr="00CA7DF7">
        <w:rPr>
          <w:rFonts w:ascii="Times New Roman" w:hAnsi="Times New Roman" w:cs="Times New Roman"/>
          <w:sz w:val="20"/>
          <w:szCs w:val="20"/>
        </w:rPr>
        <w:t>, стр. 3</w:t>
      </w:r>
      <w:r w:rsidR="00AD126D">
        <w:rPr>
          <w:rFonts w:ascii="Times New Roman" w:hAnsi="Times New Roman" w:cs="Times New Roman"/>
          <w:sz w:val="20"/>
          <w:szCs w:val="20"/>
        </w:rPr>
        <w:t>7</w:t>
      </w:r>
      <w:r w:rsidRPr="00CA7DF7">
        <w:rPr>
          <w:rFonts w:ascii="Times New Roman" w:hAnsi="Times New Roman" w:cs="Times New Roman"/>
          <w:sz w:val="20"/>
          <w:szCs w:val="20"/>
        </w:rPr>
        <w:t>; E-</w:t>
      </w:r>
      <w:proofErr w:type="spellStart"/>
      <w:r w:rsidRPr="00CA7DF7">
        <w:rPr>
          <w:rFonts w:ascii="Times New Roman" w:hAnsi="Times New Roman" w:cs="Times New Roman"/>
          <w:sz w:val="20"/>
          <w:szCs w:val="20"/>
        </w:rPr>
        <w:t>mail</w:t>
      </w:r>
      <w:proofErr w:type="spellEnd"/>
      <w:r w:rsidRPr="00CA7DF7">
        <w:rPr>
          <w:rFonts w:ascii="Times New Roman" w:hAnsi="Times New Roman" w:cs="Times New Roman"/>
          <w:sz w:val="20"/>
          <w:szCs w:val="20"/>
        </w:rPr>
        <w:t>:</w:t>
      </w:r>
      <w:r w:rsidR="00AD126D">
        <w:rPr>
          <w:rFonts w:ascii="Times New Roman" w:hAnsi="Times New Roman" w:cs="Times New Roman"/>
          <w:sz w:val="20"/>
          <w:szCs w:val="20"/>
        </w:rPr>
        <w:t xml:space="preserve"> </w:t>
      </w:r>
      <w:hyperlink r:id="rId1" w:history="1">
        <w:r w:rsidR="00AD126D" w:rsidRPr="005447E0">
          <w:rPr>
            <w:rStyle w:val="a6"/>
            <w:rFonts w:ascii="Times New Roman" w:hAnsi="Times New Roman" w:cs="Times New Roman"/>
            <w:sz w:val="20"/>
            <w:szCs w:val="20"/>
            <w:lang w:val="en-US"/>
          </w:rPr>
          <w:t>art</w:t>
        </w:r>
        <w:r w:rsidR="00AD126D" w:rsidRPr="00AD126D">
          <w:rPr>
            <w:rStyle w:val="a6"/>
            <w:rFonts w:ascii="Times New Roman" w:hAnsi="Times New Roman" w:cs="Times New Roman"/>
            <w:sz w:val="20"/>
            <w:szCs w:val="20"/>
          </w:rPr>
          <w:t>-</w:t>
        </w:r>
        <w:r w:rsidR="00AD126D" w:rsidRPr="005447E0">
          <w:rPr>
            <w:rStyle w:val="a6"/>
            <w:rFonts w:ascii="Times New Roman" w:hAnsi="Times New Roman" w:cs="Times New Roman"/>
            <w:sz w:val="20"/>
            <w:szCs w:val="20"/>
            <w:lang w:val="en-US"/>
          </w:rPr>
          <w:t>fish</w:t>
        </w:r>
        <w:r w:rsidR="00AD126D" w:rsidRPr="00AD126D">
          <w:rPr>
            <w:rStyle w:val="a6"/>
            <w:rFonts w:ascii="Times New Roman" w:hAnsi="Times New Roman" w:cs="Times New Roman"/>
            <w:sz w:val="20"/>
            <w:szCs w:val="20"/>
          </w:rPr>
          <w:t>.</w:t>
        </w:r>
        <w:r w:rsidR="00AD126D" w:rsidRPr="005447E0">
          <w:rPr>
            <w:rStyle w:val="a6"/>
            <w:rFonts w:ascii="Times New Roman" w:hAnsi="Times New Roman" w:cs="Times New Roman"/>
            <w:sz w:val="20"/>
            <w:szCs w:val="20"/>
            <w:lang w:val="en-US"/>
          </w:rPr>
          <w:t>smn</w:t>
        </w:r>
        <w:r w:rsidR="00AD126D" w:rsidRPr="00AD126D">
          <w:rPr>
            <w:rStyle w:val="a6"/>
            <w:rFonts w:ascii="Times New Roman" w:hAnsi="Times New Roman" w:cs="Times New Roman"/>
            <w:sz w:val="20"/>
            <w:szCs w:val="20"/>
          </w:rPr>
          <w:t>@</w:t>
        </w:r>
        <w:r w:rsidR="00AD126D" w:rsidRPr="005447E0">
          <w:rPr>
            <w:rStyle w:val="a6"/>
            <w:rFonts w:ascii="Times New Roman" w:hAnsi="Times New Roman" w:cs="Times New Roman"/>
            <w:sz w:val="20"/>
            <w:szCs w:val="20"/>
            <w:lang w:val="en-US"/>
          </w:rPr>
          <w:t>mail</w:t>
        </w:r>
        <w:r w:rsidR="00AD126D" w:rsidRPr="00AD126D">
          <w:rPr>
            <w:rStyle w:val="a6"/>
            <w:rFonts w:ascii="Times New Roman" w:hAnsi="Times New Roman" w:cs="Times New Roman"/>
            <w:sz w:val="20"/>
            <w:szCs w:val="20"/>
          </w:rPr>
          <w:t>.</w:t>
        </w:r>
        <w:proofErr w:type="spellStart"/>
        <w:r w:rsidR="00AD126D" w:rsidRPr="005447E0">
          <w:rPr>
            <w:rStyle w:val="a6"/>
            <w:rFonts w:ascii="Times New Roman" w:hAnsi="Times New Roman" w:cs="Times New Roman"/>
            <w:sz w:val="20"/>
            <w:szCs w:val="20"/>
            <w:lang w:val="en-US"/>
          </w:rPr>
          <w:t>ru</w:t>
        </w:r>
        <w:proofErr w:type="spellEnd"/>
      </w:hyperlink>
      <w:proofErr w:type="gramStart"/>
      <w:r w:rsidR="00AD126D" w:rsidRPr="00AD126D">
        <w:rPr>
          <w:rFonts w:ascii="Times New Roman" w:hAnsi="Times New Roman" w:cs="Times New Roman"/>
          <w:sz w:val="20"/>
          <w:szCs w:val="20"/>
        </w:rPr>
        <w:t xml:space="preserve"> </w:t>
      </w:r>
      <w:r w:rsidRPr="00CA7DF7">
        <w:rPr>
          <w:rFonts w:ascii="Times New Roman" w:hAnsi="Times New Roman" w:cs="Times New Roman"/>
          <w:sz w:val="20"/>
          <w:szCs w:val="20"/>
        </w:rPr>
        <w:t>)</w:t>
      </w:r>
      <w:proofErr w:type="gramEnd"/>
      <w:r w:rsidRPr="00CA7DF7">
        <w:rPr>
          <w:rFonts w:ascii="Times New Roman" w:hAnsi="Times New Roman" w:cs="Times New Roman"/>
          <w:sz w:val="20"/>
          <w:szCs w:val="20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E82"/>
    <w:rsid w:val="00025AA9"/>
    <w:rsid w:val="000277C8"/>
    <w:rsid w:val="0007168A"/>
    <w:rsid w:val="00071ACF"/>
    <w:rsid w:val="0009173F"/>
    <w:rsid w:val="00093BEC"/>
    <w:rsid w:val="00105AFE"/>
    <w:rsid w:val="001456D1"/>
    <w:rsid w:val="00171956"/>
    <w:rsid w:val="00183C07"/>
    <w:rsid w:val="001A586C"/>
    <w:rsid w:val="001B1D86"/>
    <w:rsid w:val="0028582F"/>
    <w:rsid w:val="00295137"/>
    <w:rsid w:val="003D39DF"/>
    <w:rsid w:val="0044325D"/>
    <w:rsid w:val="00466F7E"/>
    <w:rsid w:val="004C0F2B"/>
    <w:rsid w:val="004F2E4D"/>
    <w:rsid w:val="00506642"/>
    <w:rsid w:val="00554551"/>
    <w:rsid w:val="005D7A2A"/>
    <w:rsid w:val="005F5AF9"/>
    <w:rsid w:val="00624B24"/>
    <w:rsid w:val="006970AD"/>
    <w:rsid w:val="006B3F3E"/>
    <w:rsid w:val="006C0A82"/>
    <w:rsid w:val="006D2713"/>
    <w:rsid w:val="006D7DA8"/>
    <w:rsid w:val="00710650"/>
    <w:rsid w:val="007476F4"/>
    <w:rsid w:val="00761851"/>
    <w:rsid w:val="00787640"/>
    <w:rsid w:val="007D79E0"/>
    <w:rsid w:val="00827E82"/>
    <w:rsid w:val="00854770"/>
    <w:rsid w:val="00916BF7"/>
    <w:rsid w:val="00940017"/>
    <w:rsid w:val="00964764"/>
    <w:rsid w:val="009F72C0"/>
    <w:rsid w:val="00A4714E"/>
    <w:rsid w:val="00A5222E"/>
    <w:rsid w:val="00A751A1"/>
    <w:rsid w:val="00AA474D"/>
    <w:rsid w:val="00AA53CB"/>
    <w:rsid w:val="00AD126D"/>
    <w:rsid w:val="00AE6035"/>
    <w:rsid w:val="00B30F45"/>
    <w:rsid w:val="00BC155A"/>
    <w:rsid w:val="00C55063"/>
    <w:rsid w:val="00C84796"/>
    <w:rsid w:val="00CA3C3E"/>
    <w:rsid w:val="00CC78B3"/>
    <w:rsid w:val="00CE0F53"/>
    <w:rsid w:val="00D10DC7"/>
    <w:rsid w:val="00D82EB2"/>
    <w:rsid w:val="00DB2A9B"/>
    <w:rsid w:val="00E6229A"/>
    <w:rsid w:val="00EA4672"/>
    <w:rsid w:val="00FA1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5137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Balloon Text"/>
    <w:basedOn w:val="a"/>
    <w:link w:val="a5"/>
    <w:uiPriority w:val="99"/>
    <w:semiHidden/>
    <w:unhideWhenUsed/>
    <w:rsid w:val="00AD12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D126D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AD126D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5137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Balloon Text"/>
    <w:basedOn w:val="a"/>
    <w:link w:val="a5"/>
    <w:uiPriority w:val="99"/>
    <w:semiHidden/>
    <w:unhideWhenUsed/>
    <w:rsid w:val="00AD12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D126D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AD126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gold.ru/news/rynok-dragmetallov-po-itogam-fevralya-2022-goda.html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xn----ctbjnaatncev9av3a8f8b.xn--p1ai/%D1%82%D0%B0%D0%B1%D0%BB%D0%B8%D1%86%D1%8B-%D0%B8%D0%BD%D1%84%D0%BB%D1%8F%D1%86%D0%B8%D0%B8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elibrary.ru/download/elibrary_43930048_56931893.pdf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5" Type="http://schemas.openxmlformats.org/officeDocument/2006/relationships/webSettings" Target="webSettings.xml"/><Relationship Id="rId15" Type="http://schemas.openxmlformats.org/officeDocument/2006/relationships/hyperlink" Target="https://markets-today.ru/rate/usdrub/2022/" TargetMode="External"/><Relationship Id="rId10" Type="http://schemas.openxmlformats.org/officeDocument/2006/relationships/chart" Target="charts/chart2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hyperlink" Target="https://ru.bullion-rates.com/silver/RUB/2022-3-history.htm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art-fish.smn@mail.ru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../embeddings/oleObject1.bin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.xlsx"/><Relationship Id="rId1" Type="http://schemas.openxmlformats.org/officeDocument/2006/relationships/themeOverride" Target="../theme/themeOverrid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4153018372703413"/>
          <c:y val="5.1400554097404488E-2"/>
          <c:w val="0.85846981627296592"/>
          <c:h val="0.8326195683872849"/>
        </c:manualLayout>
      </c:layout>
      <c:lineChart>
        <c:grouping val="standard"/>
        <c:varyColors val="0"/>
        <c:ser>
          <c:idx val="0"/>
          <c:order val="0"/>
          <c:spPr>
            <a:ln w="44450">
              <a:solidFill>
                <a:schemeClr val="tx1"/>
              </a:solidFill>
            </a:ln>
          </c:spPr>
          <c:marker>
            <c:symbol val="none"/>
          </c:marker>
          <c:cat>
            <c:numRef>
              <c:f>[ртс.xlsx]ртс!$A$2:$A$68</c:f>
              <c:numCache>
                <c:formatCode>m/d/yyyy</c:formatCode>
                <c:ptCount val="67"/>
                <c:pt idx="0">
                  <c:v>44685</c:v>
                </c:pt>
                <c:pt idx="1">
                  <c:v>44680</c:v>
                </c:pt>
                <c:pt idx="2">
                  <c:v>44679</c:v>
                </c:pt>
                <c:pt idx="3">
                  <c:v>44678</c:v>
                </c:pt>
                <c:pt idx="4">
                  <c:v>44677</c:v>
                </c:pt>
                <c:pt idx="5">
                  <c:v>44676</c:v>
                </c:pt>
                <c:pt idx="6">
                  <c:v>44673</c:v>
                </c:pt>
                <c:pt idx="7">
                  <c:v>44672</c:v>
                </c:pt>
                <c:pt idx="8">
                  <c:v>44671</c:v>
                </c:pt>
                <c:pt idx="9">
                  <c:v>44670</c:v>
                </c:pt>
                <c:pt idx="10">
                  <c:v>44669</c:v>
                </c:pt>
                <c:pt idx="11">
                  <c:v>44666</c:v>
                </c:pt>
                <c:pt idx="12">
                  <c:v>44665</c:v>
                </c:pt>
                <c:pt idx="13">
                  <c:v>44664</c:v>
                </c:pt>
                <c:pt idx="14">
                  <c:v>44663</c:v>
                </c:pt>
                <c:pt idx="15">
                  <c:v>44662</c:v>
                </c:pt>
                <c:pt idx="16">
                  <c:v>44659</c:v>
                </c:pt>
                <c:pt idx="17">
                  <c:v>44658</c:v>
                </c:pt>
                <c:pt idx="18">
                  <c:v>44657</c:v>
                </c:pt>
                <c:pt idx="19">
                  <c:v>44656</c:v>
                </c:pt>
                <c:pt idx="20">
                  <c:v>44655</c:v>
                </c:pt>
                <c:pt idx="21">
                  <c:v>44652</c:v>
                </c:pt>
                <c:pt idx="22">
                  <c:v>44651</c:v>
                </c:pt>
                <c:pt idx="23">
                  <c:v>44650</c:v>
                </c:pt>
                <c:pt idx="24">
                  <c:v>44649</c:v>
                </c:pt>
                <c:pt idx="25">
                  <c:v>44648</c:v>
                </c:pt>
                <c:pt idx="26">
                  <c:v>44645</c:v>
                </c:pt>
                <c:pt idx="27">
                  <c:v>44644</c:v>
                </c:pt>
                <c:pt idx="28">
                  <c:v>44617</c:v>
                </c:pt>
                <c:pt idx="29">
                  <c:v>44616</c:v>
                </c:pt>
                <c:pt idx="30">
                  <c:v>44615</c:v>
                </c:pt>
                <c:pt idx="31">
                  <c:v>44614</c:v>
                </c:pt>
                <c:pt idx="32">
                  <c:v>44613</c:v>
                </c:pt>
                <c:pt idx="33">
                  <c:v>44610</c:v>
                </c:pt>
                <c:pt idx="34">
                  <c:v>44609</c:v>
                </c:pt>
                <c:pt idx="35">
                  <c:v>44608</c:v>
                </c:pt>
                <c:pt idx="36">
                  <c:v>44607</c:v>
                </c:pt>
                <c:pt idx="37">
                  <c:v>44606</c:v>
                </c:pt>
                <c:pt idx="38">
                  <c:v>44603</c:v>
                </c:pt>
                <c:pt idx="39">
                  <c:v>44602</c:v>
                </c:pt>
                <c:pt idx="40">
                  <c:v>44601</c:v>
                </c:pt>
                <c:pt idx="41">
                  <c:v>44600</c:v>
                </c:pt>
                <c:pt idx="42">
                  <c:v>44599</c:v>
                </c:pt>
                <c:pt idx="43">
                  <c:v>44596</c:v>
                </c:pt>
                <c:pt idx="44">
                  <c:v>44595</c:v>
                </c:pt>
                <c:pt idx="45">
                  <c:v>44594</c:v>
                </c:pt>
                <c:pt idx="46">
                  <c:v>44593</c:v>
                </c:pt>
                <c:pt idx="47">
                  <c:v>44592</c:v>
                </c:pt>
                <c:pt idx="48">
                  <c:v>44589</c:v>
                </c:pt>
                <c:pt idx="49">
                  <c:v>44588</c:v>
                </c:pt>
                <c:pt idx="50">
                  <c:v>44587</c:v>
                </c:pt>
                <c:pt idx="51">
                  <c:v>44586</c:v>
                </c:pt>
                <c:pt idx="52">
                  <c:v>44585</c:v>
                </c:pt>
                <c:pt idx="53">
                  <c:v>44582</c:v>
                </c:pt>
                <c:pt idx="54">
                  <c:v>44581</c:v>
                </c:pt>
                <c:pt idx="55">
                  <c:v>44580</c:v>
                </c:pt>
                <c:pt idx="56">
                  <c:v>44579</c:v>
                </c:pt>
                <c:pt idx="57">
                  <c:v>44578</c:v>
                </c:pt>
                <c:pt idx="58">
                  <c:v>44575</c:v>
                </c:pt>
                <c:pt idx="59">
                  <c:v>44574</c:v>
                </c:pt>
                <c:pt idx="60">
                  <c:v>44573</c:v>
                </c:pt>
                <c:pt idx="61">
                  <c:v>44572</c:v>
                </c:pt>
                <c:pt idx="62">
                  <c:v>44571</c:v>
                </c:pt>
                <c:pt idx="63">
                  <c:v>44567</c:v>
                </c:pt>
                <c:pt idx="64">
                  <c:v>44566</c:v>
                </c:pt>
                <c:pt idx="65">
                  <c:v>44565</c:v>
                </c:pt>
                <c:pt idx="66">
                  <c:v>44564</c:v>
                </c:pt>
              </c:numCache>
            </c:numRef>
          </c:cat>
          <c:val>
            <c:numRef>
              <c:f>[ртс.xlsx]ртс!$B$2:$B$68</c:f>
              <c:numCache>
                <c:formatCode>#\ ##0.00</c:formatCode>
                <c:ptCount val="67"/>
                <c:pt idx="0">
                  <c:v>1087.05</c:v>
                </c:pt>
                <c:pt idx="1">
                  <c:v>1081.52</c:v>
                </c:pt>
                <c:pt idx="2">
                  <c:v>1041.9100000000001</c:v>
                </c:pt>
                <c:pt idx="3">
                  <c:v>1049.04</c:v>
                </c:pt>
                <c:pt idx="4" formatCode="#0.00">
                  <c:v>999.84</c:v>
                </c:pt>
                <c:pt idx="5" formatCode="#0.00">
                  <c:v>941.08</c:v>
                </c:pt>
                <c:pt idx="6" formatCode="#0.00">
                  <c:v>928.3</c:v>
                </c:pt>
                <c:pt idx="7" formatCode="#0.00">
                  <c:v>961.46</c:v>
                </c:pt>
                <c:pt idx="8" formatCode="#0.00">
                  <c:v>960.42</c:v>
                </c:pt>
                <c:pt idx="9" formatCode="#0.00">
                  <c:v>931.86</c:v>
                </c:pt>
                <c:pt idx="10" formatCode="#0.00">
                  <c:v>926.08</c:v>
                </c:pt>
                <c:pt idx="11" formatCode="#0.00">
                  <c:v>955.46</c:v>
                </c:pt>
                <c:pt idx="12" formatCode="#0.00">
                  <c:v>941.05</c:v>
                </c:pt>
                <c:pt idx="13" formatCode="#0.00">
                  <c:v>997.04</c:v>
                </c:pt>
                <c:pt idx="14">
                  <c:v>1004.7</c:v>
                </c:pt>
                <c:pt idx="15">
                  <c:v>1017.05</c:v>
                </c:pt>
                <c:pt idx="16">
                  <c:v>1079.99</c:v>
                </c:pt>
                <c:pt idx="17">
                  <c:v>1092.4100000000001</c:v>
                </c:pt>
                <c:pt idx="18">
                  <c:v>1034.79</c:v>
                </c:pt>
                <c:pt idx="19">
                  <c:v>1004.78</c:v>
                </c:pt>
                <c:pt idx="20">
                  <c:v>1051.68</c:v>
                </c:pt>
                <c:pt idx="21">
                  <c:v>1033.58</c:v>
                </c:pt>
                <c:pt idx="22">
                  <c:v>1021.28</c:v>
                </c:pt>
                <c:pt idx="23" formatCode="#0.00">
                  <c:v>949.23</c:v>
                </c:pt>
                <c:pt idx="24" formatCode="#0.00">
                  <c:v>881.59</c:v>
                </c:pt>
                <c:pt idx="25" formatCode="#0.00">
                  <c:v>823.04</c:v>
                </c:pt>
                <c:pt idx="26" formatCode="#0.00">
                  <c:v>829.62</c:v>
                </c:pt>
                <c:pt idx="27" formatCode="#0.00">
                  <c:v>852.64</c:v>
                </c:pt>
                <c:pt idx="28" formatCode="#0.00">
                  <c:v>936.94</c:v>
                </c:pt>
                <c:pt idx="29" formatCode="#0.00">
                  <c:v>742.91</c:v>
                </c:pt>
                <c:pt idx="30">
                  <c:v>1204.1099999999999</c:v>
                </c:pt>
                <c:pt idx="31">
                  <c:v>1226.69</c:v>
                </c:pt>
                <c:pt idx="32">
                  <c:v>1207.5</c:v>
                </c:pt>
                <c:pt idx="33">
                  <c:v>1391.31</c:v>
                </c:pt>
                <c:pt idx="34">
                  <c:v>1450.02</c:v>
                </c:pt>
                <c:pt idx="35">
                  <c:v>1524.51</c:v>
                </c:pt>
                <c:pt idx="36">
                  <c:v>1498.04</c:v>
                </c:pt>
                <c:pt idx="37">
                  <c:v>1426.09</c:v>
                </c:pt>
                <c:pt idx="38">
                  <c:v>1470.1</c:v>
                </c:pt>
                <c:pt idx="39">
                  <c:v>1546.79</c:v>
                </c:pt>
                <c:pt idx="40">
                  <c:v>1534.82</c:v>
                </c:pt>
                <c:pt idx="41">
                  <c:v>1489.18</c:v>
                </c:pt>
                <c:pt idx="42">
                  <c:v>1445.2</c:v>
                </c:pt>
                <c:pt idx="43">
                  <c:v>1436</c:v>
                </c:pt>
                <c:pt idx="44">
                  <c:v>1431.99</c:v>
                </c:pt>
                <c:pt idx="45">
                  <c:v>1463.9</c:v>
                </c:pt>
                <c:pt idx="46">
                  <c:v>1457.64</c:v>
                </c:pt>
                <c:pt idx="47">
                  <c:v>1435.23</c:v>
                </c:pt>
                <c:pt idx="48">
                  <c:v>1407.04</c:v>
                </c:pt>
                <c:pt idx="49">
                  <c:v>1399.64</c:v>
                </c:pt>
                <c:pt idx="50">
                  <c:v>1324.4</c:v>
                </c:pt>
                <c:pt idx="51">
                  <c:v>1296.8</c:v>
                </c:pt>
                <c:pt idx="52">
                  <c:v>1288.17</c:v>
                </c:pt>
                <c:pt idx="53">
                  <c:v>1401.88</c:v>
                </c:pt>
                <c:pt idx="54">
                  <c:v>1450.59</c:v>
                </c:pt>
                <c:pt idx="55">
                  <c:v>1414.68</c:v>
                </c:pt>
                <c:pt idx="56">
                  <c:v>1367.45</c:v>
                </c:pt>
                <c:pt idx="57">
                  <c:v>1474.99</c:v>
                </c:pt>
                <c:pt idx="58">
                  <c:v>1485.86</c:v>
                </c:pt>
                <c:pt idx="59">
                  <c:v>1516.99</c:v>
                </c:pt>
                <c:pt idx="60">
                  <c:v>1612.8</c:v>
                </c:pt>
                <c:pt idx="61">
                  <c:v>1595.45</c:v>
                </c:pt>
                <c:pt idx="62">
                  <c:v>1565.31</c:v>
                </c:pt>
                <c:pt idx="63">
                  <c:v>1545.24</c:v>
                </c:pt>
                <c:pt idx="64">
                  <c:v>1586.2</c:v>
                </c:pt>
                <c:pt idx="65">
                  <c:v>1622.58</c:v>
                </c:pt>
                <c:pt idx="66">
                  <c:v>1622.75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95671936"/>
        <c:axId val="195673472"/>
      </c:lineChart>
      <c:dateAx>
        <c:axId val="195671936"/>
        <c:scaling>
          <c:orientation val="minMax"/>
        </c:scaling>
        <c:delete val="0"/>
        <c:axPos val="b"/>
        <c:numFmt formatCode="m/d/yyyy" sourceLinked="1"/>
        <c:majorTickMark val="out"/>
        <c:minorTickMark val="none"/>
        <c:tickLblPos val="nextTo"/>
        <c:crossAx val="195673472"/>
        <c:crosses val="autoZero"/>
        <c:auto val="1"/>
        <c:lblOffset val="100"/>
        <c:baseTimeUnit val="days"/>
      </c:dateAx>
      <c:valAx>
        <c:axId val="195673472"/>
        <c:scaling>
          <c:orientation val="minMax"/>
        </c:scaling>
        <c:delete val="0"/>
        <c:axPos val="l"/>
        <c:majorGridlines/>
        <c:numFmt formatCode="#\ ##0.00" sourceLinked="1"/>
        <c:majorTickMark val="out"/>
        <c:minorTickMark val="none"/>
        <c:tickLblPos val="nextTo"/>
        <c:crossAx val="195671936"/>
        <c:crosses val="autoZero"/>
        <c:crossBetween val="between"/>
      </c:valAx>
    </c:plotArea>
    <c:plotVisOnly val="1"/>
    <c:dispBlanksAs val="gap"/>
    <c:showDLblsOverMax val="0"/>
  </c:chart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Лист1!$A$3</c:f>
              <c:strCache>
                <c:ptCount val="1"/>
                <c:pt idx="0">
                  <c:v>инфляция</c:v>
                </c:pt>
              </c:strCache>
            </c:strRef>
          </c:tx>
          <c:spPr>
            <a:ln w="44450">
              <a:solidFill>
                <a:schemeClr val="tx1"/>
              </a:solidFill>
            </a:ln>
          </c:spPr>
          <c:marker>
            <c:spPr>
              <a:solidFill>
                <a:schemeClr val="tx1"/>
              </a:solidFill>
              <a:ln>
                <a:solidFill>
                  <a:schemeClr val="tx1"/>
                </a:solidFill>
              </a:ln>
            </c:spPr>
          </c:marker>
          <c:cat>
            <c:strRef>
              <c:f>Лист1!$B$2:$E$2</c:f>
              <c:strCache>
                <c:ptCount val="4"/>
                <c:pt idx="0">
                  <c:v>январь</c:v>
                </c:pt>
                <c:pt idx="1">
                  <c:v>февраль</c:v>
                </c:pt>
                <c:pt idx="2">
                  <c:v>март</c:v>
                </c:pt>
                <c:pt idx="3">
                  <c:v>22 апреля</c:v>
                </c:pt>
              </c:strCache>
            </c:strRef>
          </c:cat>
          <c:val>
            <c:numRef>
              <c:f>Лист1!$B$3:$E$3</c:f>
              <c:numCache>
                <c:formatCode>General</c:formatCode>
                <c:ptCount val="4"/>
                <c:pt idx="0">
                  <c:v>8.74</c:v>
                </c:pt>
                <c:pt idx="1">
                  <c:v>9.16</c:v>
                </c:pt>
                <c:pt idx="2">
                  <c:v>16.7</c:v>
                </c:pt>
                <c:pt idx="3">
                  <c:v>17.7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83348864"/>
        <c:axId val="44946944"/>
      </c:lineChart>
      <c:catAx>
        <c:axId val="83348864"/>
        <c:scaling>
          <c:orientation val="minMax"/>
        </c:scaling>
        <c:delete val="0"/>
        <c:axPos val="b"/>
        <c:majorTickMark val="out"/>
        <c:minorTickMark val="none"/>
        <c:tickLblPos val="nextTo"/>
        <c:crossAx val="44946944"/>
        <c:crosses val="autoZero"/>
        <c:auto val="1"/>
        <c:lblAlgn val="ctr"/>
        <c:lblOffset val="100"/>
        <c:noMultiLvlLbl val="0"/>
      </c:catAx>
      <c:valAx>
        <c:axId val="4494694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83348864"/>
        <c:crosses val="autoZero"/>
        <c:crossBetween val="between"/>
      </c:valAx>
    </c:plotArea>
    <c:plotVisOnly val="1"/>
    <c:dispBlanksAs val="gap"/>
    <c:showDLblsOverMax val="0"/>
  </c:chart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6.8421144048170443E-2"/>
          <c:y val="6.6382778385885619E-2"/>
          <c:w val="0.90952003242241775"/>
          <c:h val="0.78383155020420658"/>
        </c:manualLayout>
      </c:layout>
      <c:lineChart>
        <c:grouping val="standard"/>
        <c:varyColors val="0"/>
        <c:ser>
          <c:idx val="0"/>
          <c:order val="0"/>
          <c:tx>
            <c:strRef>
              <c:f>Лист1!$A$28</c:f>
              <c:strCache>
                <c:ptCount val="1"/>
                <c:pt idx="0">
                  <c:v>базовый уровень доходности по депозитам на срок 6-12 месяцев</c:v>
                </c:pt>
              </c:strCache>
            </c:strRef>
          </c:tx>
          <c:spPr>
            <a:ln w="41275">
              <a:solidFill>
                <a:schemeClr val="tx1"/>
              </a:solidFill>
            </a:ln>
          </c:spPr>
          <c:marker>
            <c:symbol val="diamond"/>
            <c:size val="7"/>
            <c:spPr>
              <a:solidFill>
                <a:schemeClr val="tx1"/>
              </a:solidFill>
              <a:ln>
                <a:solidFill>
                  <a:schemeClr val="tx1"/>
                </a:solidFill>
              </a:ln>
            </c:spPr>
          </c:marker>
          <c:cat>
            <c:strRef>
              <c:f>Лист1!$B$27:$E$27</c:f>
              <c:strCache>
                <c:ptCount val="4"/>
                <c:pt idx="0">
                  <c:v>январь</c:v>
                </c:pt>
                <c:pt idx="1">
                  <c:v>февраль</c:v>
                </c:pt>
                <c:pt idx="2">
                  <c:v>март</c:v>
                </c:pt>
                <c:pt idx="3">
                  <c:v>апрель</c:v>
                </c:pt>
              </c:strCache>
            </c:strRef>
          </c:cat>
          <c:val>
            <c:numRef>
              <c:f>Лист1!$B$28:$E$28</c:f>
              <c:numCache>
                <c:formatCode>General</c:formatCode>
                <c:ptCount val="4"/>
                <c:pt idx="0">
                  <c:v>8.3659999999999997</c:v>
                </c:pt>
                <c:pt idx="1">
                  <c:v>8.7050000000000001</c:v>
                </c:pt>
                <c:pt idx="2">
                  <c:v>8.9960000000000004</c:v>
                </c:pt>
                <c:pt idx="3">
                  <c:v>12.789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44368256"/>
        <c:axId val="44370176"/>
      </c:lineChart>
      <c:catAx>
        <c:axId val="44368256"/>
        <c:scaling>
          <c:orientation val="minMax"/>
        </c:scaling>
        <c:delete val="0"/>
        <c:axPos val="b"/>
        <c:majorTickMark val="out"/>
        <c:minorTickMark val="none"/>
        <c:tickLblPos val="nextTo"/>
        <c:crossAx val="44370176"/>
        <c:crosses val="autoZero"/>
        <c:auto val="1"/>
        <c:lblAlgn val="ctr"/>
        <c:lblOffset val="100"/>
        <c:noMultiLvlLbl val="0"/>
      </c:catAx>
      <c:valAx>
        <c:axId val="4437017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44368256"/>
        <c:crosses val="autoZero"/>
        <c:crossBetween val="between"/>
      </c:valAx>
    </c:plotArea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5</Pages>
  <Words>1302</Words>
  <Characters>7426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Георгиевна Леонидова</dc:creator>
  <cp:lastModifiedBy>Марина</cp:lastModifiedBy>
  <cp:revision>24</cp:revision>
  <dcterms:created xsi:type="dcterms:W3CDTF">2022-05-04T17:17:00Z</dcterms:created>
  <dcterms:modified xsi:type="dcterms:W3CDTF">2022-05-05T06:13:00Z</dcterms:modified>
</cp:coreProperties>
</file>