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82" w:rsidRPr="002422EA" w:rsidRDefault="00C46882" w:rsidP="00827E82">
      <w:pPr>
        <w:pStyle w:val="12"/>
        <w:rPr>
          <w:rFonts w:asciiTheme="majorHAnsi" w:hAnsiTheme="majorHAnsi" w:cstheme="majorBidi"/>
          <w:caps/>
          <w:szCs w:val="24"/>
        </w:rPr>
      </w:pPr>
      <w:bookmarkStart w:id="0" w:name="_Toc76714064"/>
      <w:r>
        <w:rPr>
          <w:lang w:eastAsia="ru-RU"/>
        </w:rPr>
        <w:t>Палкина Д.С</w:t>
      </w:r>
      <w:r w:rsidR="00827E82">
        <w:rPr>
          <w:lang w:eastAsia="ru-RU"/>
        </w:rPr>
        <w:t>.</w:t>
      </w:r>
      <w:bookmarkEnd w:id="0"/>
      <w:r w:rsidR="00D9749C">
        <w:rPr>
          <w:rStyle w:val="a3"/>
          <w:lang w:eastAsia="ru-RU"/>
        </w:rPr>
        <w:footnoteReference w:id="1"/>
      </w:r>
    </w:p>
    <w:p w:rsidR="00827E82" w:rsidRPr="002422EA" w:rsidRDefault="00827E82" w:rsidP="00827E82">
      <w:pPr>
        <w:spacing w:after="0" w:line="252" w:lineRule="auto"/>
        <w:ind w:firstLine="425"/>
        <w:jc w:val="right"/>
        <w:rPr>
          <w:rFonts w:ascii="Times New Roman" w:hAnsi="Times New Roman" w:cs="Times New Roman"/>
          <w:b/>
          <w:sz w:val="24"/>
        </w:rPr>
      </w:pPr>
    </w:p>
    <w:p w:rsidR="00827E82" w:rsidRPr="002422EA" w:rsidRDefault="00F722C4" w:rsidP="00827E82">
      <w:pPr>
        <w:pStyle w:val="123"/>
        <w:rPr>
          <w:rFonts w:eastAsia="Times New Roman"/>
        </w:rPr>
      </w:pPr>
      <w:r w:rsidRPr="00F722C4">
        <w:rPr>
          <w:rFonts w:eastAsia="Times New Roman"/>
        </w:rPr>
        <w:t xml:space="preserve">Анализ влияния отрасли цветной металлургии на социально-экономическое развитие регионов базирования </w:t>
      </w:r>
    </w:p>
    <w:p w:rsidR="00827E82" w:rsidRPr="002422EA" w:rsidRDefault="00827E82" w:rsidP="00827E82">
      <w:pPr>
        <w:spacing w:after="0" w:line="240" w:lineRule="auto"/>
        <w:ind w:firstLine="425"/>
        <w:jc w:val="center"/>
        <w:rPr>
          <w:rFonts w:ascii="Times New Roman" w:hAnsi="Times New Roman"/>
          <w:b/>
          <w:color w:val="231F20"/>
          <w:sz w:val="24"/>
          <w:szCs w:val="24"/>
        </w:rPr>
      </w:pPr>
    </w:p>
    <w:p w:rsidR="00BC48A2" w:rsidRDefault="00827E82" w:rsidP="00827E82">
      <w:pPr>
        <w:spacing w:after="0" w:line="247" w:lineRule="auto"/>
        <w:ind w:firstLine="425"/>
        <w:jc w:val="both"/>
        <w:rPr>
          <w:rFonts w:ascii="Times New Roman" w:hAnsi="Times New Roman" w:cs="Times New Roman"/>
          <w:i/>
        </w:rPr>
      </w:pPr>
      <w:r w:rsidRPr="002422EA">
        <w:rPr>
          <w:rFonts w:ascii="Times New Roman" w:hAnsi="Times New Roman" w:cs="Times New Roman"/>
          <w:i/>
        </w:rPr>
        <w:t xml:space="preserve">Аннотация: </w:t>
      </w:r>
      <w:r w:rsidR="00BC48A2">
        <w:rPr>
          <w:rFonts w:ascii="Times New Roman" w:hAnsi="Times New Roman" w:cs="Times New Roman"/>
          <w:i/>
        </w:rPr>
        <w:t>В статье рассмотрена х</w:t>
      </w:r>
      <w:r w:rsidR="00BC48A2" w:rsidRPr="00BC48A2">
        <w:rPr>
          <w:rFonts w:ascii="Times New Roman" w:hAnsi="Times New Roman" w:cs="Times New Roman"/>
          <w:i/>
        </w:rPr>
        <w:t>арактеристика развития отрасли цветной металлургии в РФ за 2017-2020 гг.</w:t>
      </w:r>
      <w:r w:rsidR="00BC48A2">
        <w:rPr>
          <w:rFonts w:ascii="Times New Roman" w:hAnsi="Times New Roman" w:cs="Times New Roman"/>
          <w:i/>
        </w:rPr>
        <w:t xml:space="preserve"> и проведен а</w:t>
      </w:r>
      <w:r w:rsidR="00BC48A2" w:rsidRPr="00BC48A2">
        <w:rPr>
          <w:rFonts w:ascii="Times New Roman" w:hAnsi="Times New Roman" w:cs="Times New Roman"/>
          <w:i/>
        </w:rPr>
        <w:t xml:space="preserve">нализ </w:t>
      </w:r>
      <w:r w:rsidR="00BC48A2">
        <w:rPr>
          <w:rFonts w:ascii="Times New Roman" w:hAnsi="Times New Roman" w:cs="Times New Roman"/>
          <w:i/>
        </w:rPr>
        <w:t>бюджетных поступлений в регион</w:t>
      </w:r>
      <w:r w:rsidR="00BC48A2" w:rsidRPr="00BC48A2">
        <w:rPr>
          <w:rFonts w:ascii="Times New Roman" w:hAnsi="Times New Roman" w:cs="Times New Roman"/>
          <w:i/>
        </w:rPr>
        <w:t xml:space="preserve"> базирования отрасли цветной металлургии</w:t>
      </w:r>
      <w:r w:rsidR="00BC48A2">
        <w:rPr>
          <w:rFonts w:ascii="Times New Roman" w:hAnsi="Times New Roman" w:cs="Times New Roman"/>
          <w:i/>
        </w:rPr>
        <w:t>. Проведённый анализ позволяет сделать вывод о значительном вкладе крупного бизнеса в формирование ВВП и ВРП.</w:t>
      </w:r>
    </w:p>
    <w:p w:rsidR="00827E82" w:rsidRPr="002422EA" w:rsidRDefault="00827E82" w:rsidP="00827E82">
      <w:pPr>
        <w:spacing w:after="0" w:line="247" w:lineRule="auto"/>
        <w:ind w:firstLine="425"/>
        <w:jc w:val="both"/>
        <w:rPr>
          <w:rFonts w:ascii="Times New Roman" w:hAnsi="Times New Roman" w:cs="Times New Roman"/>
          <w:i/>
        </w:rPr>
      </w:pPr>
      <w:r w:rsidRPr="002422EA">
        <w:rPr>
          <w:rFonts w:ascii="Times New Roman" w:hAnsi="Times New Roman" w:cs="Times New Roman"/>
          <w:i/>
        </w:rPr>
        <w:t xml:space="preserve">Ключевые слова: </w:t>
      </w:r>
      <w:r w:rsidR="00BC48A2">
        <w:rPr>
          <w:rFonts w:ascii="Times New Roman" w:hAnsi="Times New Roman" w:cs="Times New Roman"/>
          <w:i/>
        </w:rPr>
        <w:t>цветная металлургия, бюджет, динамика развития, крупный бизнес, алюминий</w:t>
      </w:r>
      <w:r>
        <w:rPr>
          <w:rFonts w:ascii="Times New Roman" w:hAnsi="Times New Roman" w:cs="Times New Roman"/>
          <w:i/>
        </w:rPr>
        <w:t>.</w:t>
      </w:r>
    </w:p>
    <w:p w:rsidR="00D9749C" w:rsidRDefault="00D9749C" w:rsidP="00F722C4">
      <w:pPr>
        <w:spacing w:after="0" w:line="360" w:lineRule="auto"/>
        <w:ind w:firstLine="425"/>
        <w:jc w:val="both"/>
        <w:rPr>
          <w:rFonts w:ascii="Times New Roman" w:hAnsi="Times New Roman" w:cs="Times New Roman"/>
        </w:rPr>
      </w:pPr>
    </w:p>
    <w:p w:rsidR="00D9749C" w:rsidRDefault="00D9749C" w:rsidP="00F722C4">
      <w:pPr>
        <w:spacing w:after="0" w:line="360" w:lineRule="auto"/>
        <w:ind w:firstLine="425"/>
        <w:jc w:val="both"/>
        <w:rPr>
          <w:rFonts w:ascii="Times New Roman" w:hAnsi="Times New Roman" w:cs="Times New Roman"/>
        </w:rPr>
      </w:pPr>
    </w:p>
    <w:p w:rsidR="00E53CD7" w:rsidRDefault="00E53CD7" w:rsidP="00F722C4">
      <w:pPr>
        <w:spacing w:after="0" w:line="360" w:lineRule="auto"/>
        <w:ind w:firstLine="425"/>
        <w:jc w:val="both"/>
        <w:rPr>
          <w:rFonts w:ascii="Times New Roman" w:hAnsi="Times New Roman" w:cs="Times New Roman"/>
        </w:rPr>
      </w:pPr>
      <w:r w:rsidRPr="00E53CD7">
        <w:rPr>
          <w:rFonts w:ascii="Times New Roman" w:eastAsia="+mn-ea" w:hAnsi="Times New Roman" w:cs="Times New Roman"/>
        </w:rPr>
        <w:t>Крупный бизнес для Российской Федерации играет ключевую роль в формировании доходов как федерального, так и регионального уровня бюджетной системы. Об этом говорит его удельный вес во внутреннем валовом продукте, который в период с 2012 по 2020 год варьировался в интервале от 78 до 81%</w:t>
      </w:r>
      <w:r w:rsidR="00BC48A2">
        <w:rPr>
          <w:rFonts w:ascii="Times New Roman" w:eastAsia="+mn-ea" w:hAnsi="Times New Roman" w:cs="Times New Roman"/>
        </w:rPr>
        <w:t xml:space="preserve"> (рис. 1)</w:t>
      </w:r>
      <w:r w:rsidRPr="00E53CD7">
        <w:rPr>
          <w:rFonts w:ascii="Times New Roman" w:eastAsia="+mn-ea" w:hAnsi="Times New Roman" w:cs="Times New Roman"/>
        </w:rPr>
        <w:t xml:space="preserve">. Этот факт подтверждает необходимость </w:t>
      </w:r>
      <w:r w:rsidRPr="00E53CD7">
        <w:rPr>
          <w:rFonts w:ascii="Times New Roman" w:hAnsi="Times New Roman" w:cs="Times New Roman"/>
        </w:rPr>
        <w:t>эффективного финансового взаимодействия государства с крупными корпорациями.</w:t>
      </w:r>
    </w:p>
    <w:p w:rsidR="00F722C4" w:rsidRDefault="00F722C4" w:rsidP="00F722C4">
      <w:pPr>
        <w:spacing w:after="0" w:line="360" w:lineRule="auto"/>
        <w:ind w:firstLine="425"/>
        <w:jc w:val="both"/>
        <w:rPr>
          <w:rFonts w:ascii="Times New Roman" w:hAnsi="Times New Roman" w:cs="Times New Roman"/>
        </w:rPr>
      </w:pPr>
    </w:p>
    <w:p w:rsidR="00E53CD7" w:rsidRPr="00E53CD7" w:rsidRDefault="00F722C4" w:rsidP="00F722C4">
      <w:pPr>
        <w:spacing w:after="0" w:line="360" w:lineRule="auto"/>
        <w:rPr>
          <w:rFonts w:eastAsia="+mn-ea"/>
          <w:color w:val="000000"/>
          <w:kern w:val="24"/>
        </w:rPr>
      </w:pPr>
      <w:r>
        <w:rPr>
          <w:rFonts w:ascii="Times New Roman" w:hAnsi="Times New Roman" w:cs="Times New Roman"/>
          <w:noProof/>
          <w:lang w:eastAsia="ru-RU"/>
        </w:rPr>
        <w:drawing>
          <wp:inline distT="0" distB="0" distL="0" distR="0" wp14:anchorId="5214E908" wp14:editId="073CC4DB">
            <wp:extent cx="5390866" cy="2210938"/>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8450"/>
                    <a:stretch/>
                  </pic:blipFill>
                  <pic:spPr bwMode="auto">
                    <a:xfrm>
                      <a:off x="0" y="0"/>
                      <a:ext cx="5389245" cy="2210273"/>
                    </a:xfrm>
                    <a:prstGeom prst="rect">
                      <a:avLst/>
                    </a:prstGeom>
                    <a:noFill/>
                    <a:ln>
                      <a:noFill/>
                    </a:ln>
                    <a:extLst>
                      <a:ext uri="{53640926-AAD7-44D8-BBD7-CCE9431645EC}">
                        <a14:shadowObscured xmlns:a14="http://schemas.microsoft.com/office/drawing/2010/main"/>
                      </a:ext>
                    </a:extLst>
                  </pic:spPr>
                </pic:pic>
              </a:graphicData>
            </a:graphic>
          </wp:inline>
        </w:drawing>
      </w:r>
    </w:p>
    <w:p w:rsidR="00E53CD7" w:rsidRPr="00D9749C" w:rsidRDefault="00E53CD7" w:rsidP="00E53CD7">
      <w:pPr>
        <w:pStyle w:val="a6"/>
        <w:kinsoku w:val="0"/>
        <w:overflowPunct w:val="0"/>
        <w:spacing w:before="0" w:beforeAutospacing="0" w:after="0" w:afterAutospacing="0" w:line="360" w:lineRule="auto"/>
        <w:jc w:val="center"/>
        <w:textAlignment w:val="baseline"/>
        <w:rPr>
          <w:rFonts w:eastAsia="+mn-ea"/>
          <w:b/>
          <w:color w:val="000000"/>
          <w:kern w:val="24"/>
          <w:sz w:val="22"/>
          <w:szCs w:val="22"/>
        </w:rPr>
      </w:pPr>
      <w:r w:rsidRPr="00E53CD7">
        <w:rPr>
          <w:rFonts w:eastAsia="+mn-ea"/>
          <w:color w:val="000000"/>
          <w:kern w:val="24"/>
          <w:sz w:val="22"/>
          <w:szCs w:val="22"/>
        </w:rPr>
        <w:t>Рис</w:t>
      </w:r>
      <w:r w:rsidR="00D9749C">
        <w:rPr>
          <w:rFonts w:eastAsia="+mn-ea"/>
          <w:color w:val="000000"/>
          <w:kern w:val="24"/>
          <w:sz w:val="22"/>
          <w:szCs w:val="22"/>
        </w:rPr>
        <w:t>.</w:t>
      </w:r>
      <w:r w:rsidR="00BC48A2">
        <w:rPr>
          <w:rFonts w:eastAsia="+mn-ea"/>
          <w:color w:val="000000"/>
          <w:kern w:val="24"/>
          <w:sz w:val="22"/>
          <w:szCs w:val="22"/>
        </w:rPr>
        <w:t xml:space="preserve"> 1</w:t>
      </w:r>
      <w:r w:rsidR="00D9749C">
        <w:rPr>
          <w:rFonts w:eastAsia="+mn-ea"/>
          <w:color w:val="000000"/>
          <w:kern w:val="24"/>
          <w:sz w:val="22"/>
          <w:szCs w:val="22"/>
        </w:rPr>
        <w:t>.</w:t>
      </w:r>
      <w:r w:rsidRPr="00E53CD7">
        <w:rPr>
          <w:rFonts w:eastAsia="+mn-ea"/>
          <w:color w:val="000000"/>
          <w:kern w:val="24"/>
          <w:sz w:val="22"/>
          <w:szCs w:val="22"/>
        </w:rPr>
        <w:t xml:space="preserve"> </w:t>
      </w:r>
      <w:r w:rsidRPr="00D9749C">
        <w:rPr>
          <w:rFonts w:eastAsia="+mn-ea"/>
          <w:b/>
          <w:color w:val="000000"/>
          <w:kern w:val="24"/>
          <w:sz w:val="22"/>
          <w:szCs w:val="22"/>
        </w:rPr>
        <w:t>Доля крупного бизнеса в общем объеме ВВП России за 2012-2020 гг., %</w:t>
      </w:r>
    </w:p>
    <w:p w:rsidR="00E53CD7" w:rsidRPr="00E53CD7" w:rsidRDefault="00D9749C" w:rsidP="00E53CD7">
      <w:pPr>
        <w:spacing w:after="0" w:line="360" w:lineRule="auto"/>
        <w:jc w:val="both"/>
        <w:rPr>
          <w:rFonts w:ascii="Times New Roman" w:eastAsia="+mn-ea" w:hAnsi="Times New Roman" w:cs="Times New Roman"/>
        </w:rPr>
      </w:pPr>
      <w:r w:rsidRPr="00EA4672">
        <w:rPr>
          <w:rFonts w:ascii="Times New Roman" w:eastAsia="DejaVu Sans" w:hAnsi="Times New Roman" w:cs="Times New Roman"/>
          <w:kern w:val="1"/>
          <w:sz w:val="20"/>
          <w:lang w:eastAsia="ru-RU"/>
        </w:rPr>
        <w:t>*</w:t>
      </w:r>
      <w:r w:rsidR="00E53CD7" w:rsidRPr="00E53CD7">
        <w:rPr>
          <w:rFonts w:ascii="Times New Roman" w:eastAsia="+mn-ea" w:hAnsi="Times New Roman" w:cs="Times New Roman"/>
        </w:rPr>
        <w:t xml:space="preserve">Источник: данные ЕМИСС </w:t>
      </w:r>
      <w:r>
        <w:rPr>
          <w:rStyle w:val="a3"/>
          <w:rFonts w:ascii="Times New Roman" w:eastAsia="+mn-ea" w:hAnsi="Times New Roman" w:cs="Times New Roman"/>
        </w:rPr>
        <w:footnoteReference w:id="2"/>
      </w:r>
    </w:p>
    <w:p w:rsidR="00E53CD7" w:rsidRPr="00E53CD7" w:rsidRDefault="00E53CD7" w:rsidP="00F722C4">
      <w:pPr>
        <w:spacing w:after="0" w:line="360" w:lineRule="auto"/>
        <w:ind w:firstLine="425"/>
        <w:jc w:val="both"/>
        <w:rPr>
          <w:rFonts w:ascii="Times New Roman" w:hAnsi="Times New Roman" w:cs="Times New Roman"/>
        </w:rPr>
      </w:pPr>
      <w:r w:rsidRPr="00E53CD7">
        <w:rPr>
          <w:rFonts w:ascii="Times New Roman" w:hAnsi="Times New Roman" w:cs="Times New Roman"/>
        </w:rPr>
        <w:lastRenderedPageBreak/>
        <w:t>Отрасль цветной металлургии играет значительную роль в мировой экономике, оказывая влияние на ведущие отрасли промышленности. Практически все государства нацелены на развитие производства данной отрасли как одного из перспективных секторов экономики.</w:t>
      </w:r>
    </w:p>
    <w:p w:rsidR="00E53CD7" w:rsidRPr="00E53CD7" w:rsidRDefault="00E53CD7" w:rsidP="00F722C4">
      <w:pPr>
        <w:spacing w:after="0" w:line="360" w:lineRule="auto"/>
        <w:ind w:firstLine="425"/>
        <w:jc w:val="both"/>
        <w:rPr>
          <w:rFonts w:ascii="Times New Roman" w:hAnsi="Times New Roman" w:cs="Times New Roman"/>
        </w:rPr>
      </w:pPr>
      <w:bookmarkStart w:id="1" w:name="_Hlk101344603"/>
      <w:r w:rsidRPr="00E53CD7">
        <w:rPr>
          <w:rFonts w:ascii="Times New Roman" w:hAnsi="Times New Roman" w:cs="Times New Roman"/>
        </w:rPr>
        <w:t>На территории Российской Федерации можно выделить ряд крупных баз производства продукции цветной металлургии различной специализации. Их пространственное размещение предприятий цветной металлургии зависит от ряда факторов: сырьевого, топливно-энергетического, инфраструктурного, сбытового.</w:t>
      </w:r>
    </w:p>
    <w:p w:rsidR="00E53CD7" w:rsidRPr="00E53CD7" w:rsidRDefault="00E53CD7" w:rsidP="00F722C4">
      <w:pPr>
        <w:spacing w:after="0" w:line="360" w:lineRule="auto"/>
        <w:ind w:firstLine="425"/>
        <w:jc w:val="both"/>
        <w:rPr>
          <w:rFonts w:ascii="Times New Roman" w:hAnsi="Times New Roman" w:cs="Times New Roman"/>
        </w:rPr>
      </w:pPr>
      <w:r w:rsidRPr="00E53CD7">
        <w:rPr>
          <w:rFonts w:ascii="Times New Roman" w:hAnsi="Times New Roman" w:cs="Times New Roman"/>
        </w:rPr>
        <w:t>Для производства тяжелых цветных металлов (медь, никель, кобальт, свинец, цинк) приоритетным является минерально-ресурсный фактор, поэтому производства локализованы рядом с месторождениями.</w:t>
      </w:r>
    </w:p>
    <w:bookmarkEnd w:id="1"/>
    <w:p w:rsidR="00E53CD7" w:rsidRPr="00E53CD7" w:rsidRDefault="00E53CD7" w:rsidP="00F722C4">
      <w:pPr>
        <w:spacing w:after="0" w:line="360" w:lineRule="auto"/>
        <w:ind w:firstLine="425"/>
        <w:jc w:val="both"/>
        <w:rPr>
          <w:rFonts w:ascii="Times New Roman" w:hAnsi="Times New Roman" w:cs="Times New Roman"/>
        </w:rPr>
      </w:pPr>
      <w:r w:rsidRPr="00E53CD7">
        <w:rPr>
          <w:rFonts w:ascii="Times New Roman" w:hAnsi="Times New Roman" w:cs="Times New Roman"/>
        </w:rPr>
        <w:t>Заводы по обработке металлов и их сплавов располагаются обычно в районах потребления готовой продукции – промышленных районах с развитым машиностроением.</w:t>
      </w:r>
    </w:p>
    <w:p w:rsidR="00E53CD7" w:rsidRPr="00E53CD7" w:rsidRDefault="00E53CD7" w:rsidP="00F722C4">
      <w:pPr>
        <w:spacing w:after="0" w:line="360" w:lineRule="auto"/>
        <w:ind w:firstLine="425"/>
        <w:jc w:val="both"/>
        <w:rPr>
          <w:rFonts w:ascii="Times New Roman" w:hAnsi="Times New Roman" w:cs="Times New Roman"/>
        </w:rPr>
      </w:pPr>
      <w:r w:rsidRPr="00E53CD7">
        <w:rPr>
          <w:rFonts w:ascii="Times New Roman" w:hAnsi="Times New Roman" w:cs="Times New Roman"/>
        </w:rPr>
        <w:t>Анализ динамики выпуска продукции за 2017-2020 гг. позволяет отследить темп</w:t>
      </w:r>
      <w:r w:rsidR="00BC48A2">
        <w:rPr>
          <w:rFonts w:ascii="Times New Roman" w:hAnsi="Times New Roman" w:cs="Times New Roman"/>
        </w:rPr>
        <w:t>ы развития отрасли в РФ (табл. 1</w:t>
      </w:r>
      <w:r w:rsidRPr="00E53CD7">
        <w:rPr>
          <w:rFonts w:ascii="Times New Roman" w:hAnsi="Times New Roman" w:cs="Times New Roman"/>
        </w:rPr>
        <w:t>).</w:t>
      </w:r>
    </w:p>
    <w:p w:rsidR="00E53CD7" w:rsidRPr="00E53CD7" w:rsidRDefault="00E53CD7" w:rsidP="00D9749C">
      <w:pPr>
        <w:spacing w:after="0" w:line="247" w:lineRule="auto"/>
        <w:ind w:firstLine="425"/>
        <w:jc w:val="center"/>
        <w:rPr>
          <w:rFonts w:ascii="Times New Roman" w:hAnsi="Times New Roman" w:cs="Times New Roman"/>
        </w:rPr>
      </w:pPr>
    </w:p>
    <w:p w:rsidR="00E53CD7" w:rsidRPr="00E53CD7" w:rsidRDefault="00BC48A2" w:rsidP="00D9749C">
      <w:pPr>
        <w:spacing w:after="0" w:line="247" w:lineRule="auto"/>
        <w:ind w:firstLine="425"/>
        <w:jc w:val="center"/>
        <w:rPr>
          <w:rFonts w:ascii="Times New Roman" w:hAnsi="Times New Roman" w:cs="Times New Roman"/>
        </w:rPr>
      </w:pPr>
      <w:r>
        <w:rPr>
          <w:rFonts w:ascii="Times New Roman" w:hAnsi="Times New Roman" w:cs="Times New Roman"/>
        </w:rPr>
        <w:t>Таблица 1</w:t>
      </w:r>
      <w:r w:rsidR="00E53CD7" w:rsidRPr="00E53CD7">
        <w:rPr>
          <w:rFonts w:ascii="Times New Roman" w:hAnsi="Times New Roman" w:cs="Times New Roman"/>
        </w:rPr>
        <w:t xml:space="preserve">. </w:t>
      </w:r>
      <w:r w:rsidR="00E53CD7" w:rsidRPr="00D9749C">
        <w:rPr>
          <w:rFonts w:ascii="Times New Roman" w:hAnsi="Times New Roman" w:cs="Times New Roman"/>
          <w:b/>
        </w:rPr>
        <w:t>Объем отгруженных товаров по цветной металлургии за 2017-2020 гг., млрд. руб.</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1140"/>
        <w:gridCol w:w="1420"/>
        <w:gridCol w:w="1340"/>
        <w:gridCol w:w="1580"/>
      </w:tblGrid>
      <w:tr w:rsidR="00E53CD7" w:rsidRPr="00E53CD7" w:rsidTr="00A07633">
        <w:trPr>
          <w:trHeight w:val="300"/>
        </w:trPr>
        <w:tc>
          <w:tcPr>
            <w:tcW w:w="3580" w:type="dxa"/>
            <w:shd w:val="clear" w:color="auto" w:fill="auto"/>
            <w:noWrap/>
            <w:vAlign w:val="bottom"/>
            <w:hideMark/>
          </w:tcPr>
          <w:p w:rsidR="00E53CD7" w:rsidRPr="00E53CD7" w:rsidRDefault="00E53CD7" w:rsidP="00E53CD7">
            <w:pPr>
              <w:spacing w:after="0" w:line="360" w:lineRule="auto"/>
              <w:jc w:val="center"/>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Вид экономической деятельности</w:t>
            </w:r>
          </w:p>
        </w:tc>
        <w:tc>
          <w:tcPr>
            <w:tcW w:w="1140" w:type="dxa"/>
            <w:shd w:val="clear" w:color="auto" w:fill="auto"/>
            <w:noWrap/>
            <w:vAlign w:val="bottom"/>
            <w:hideMark/>
          </w:tcPr>
          <w:p w:rsidR="00E53CD7" w:rsidRPr="00E53CD7" w:rsidRDefault="00E53CD7" w:rsidP="00E53CD7">
            <w:pPr>
              <w:spacing w:after="0" w:line="360" w:lineRule="auto"/>
              <w:jc w:val="center"/>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2017</w:t>
            </w:r>
          </w:p>
        </w:tc>
        <w:tc>
          <w:tcPr>
            <w:tcW w:w="1420" w:type="dxa"/>
            <w:shd w:val="clear" w:color="auto" w:fill="auto"/>
            <w:noWrap/>
            <w:vAlign w:val="bottom"/>
            <w:hideMark/>
          </w:tcPr>
          <w:p w:rsidR="00E53CD7" w:rsidRPr="00E53CD7" w:rsidRDefault="00E53CD7" w:rsidP="00E53CD7">
            <w:pPr>
              <w:spacing w:after="0" w:line="360" w:lineRule="auto"/>
              <w:jc w:val="center"/>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2018</w:t>
            </w:r>
          </w:p>
        </w:tc>
        <w:tc>
          <w:tcPr>
            <w:tcW w:w="1340" w:type="dxa"/>
            <w:shd w:val="clear" w:color="auto" w:fill="auto"/>
            <w:noWrap/>
            <w:vAlign w:val="bottom"/>
            <w:hideMark/>
          </w:tcPr>
          <w:p w:rsidR="00E53CD7" w:rsidRPr="00E53CD7" w:rsidRDefault="00E53CD7" w:rsidP="00E53CD7">
            <w:pPr>
              <w:spacing w:after="0" w:line="360" w:lineRule="auto"/>
              <w:jc w:val="center"/>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2019</w:t>
            </w:r>
          </w:p>
        </w:tc>
        <w:tc>
          <w:tcPr>
            <w:tcW w:w="1580" w:type="dxa"/>
            <w:shd w:val="clear" w:color="auto" w:fill="auto"/>
            <w:noWrap/>
            <w:vAlign w:val="bottom"/>
            <w:hideMark/>
          </w:tcPr>
          <w:p w:rsidR="00E53CD7" w:rsidRPr="00E53CD7" w:rsidRDefault="00E53CD7" w:rsidP="00E53CD7">
            <w:pPr>
              <w:spacing w:after="0" w:line="360" w:lineRule="auto"/>
              <w:jc w:val="center"/>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2020</w:t>
            </w:r>
          </w:p>
        </w:tc>
      </w:tr>
      <w:tr w:rsidR="00E53CD7" w:rsidRPr="00E53CD7" w:rsidTr="00A07633">
        <w:trPr>
          <w:trHeight w:val="300"/>
        </w:trPr>
        <w:tc>
          <w:tcPr>
            <w:tcW w:w="3580" w:type="dxa"/>
            <w:shd w:val="clear" w:color="auto" w:fill="auto"/>
            <w:noWrap/>
            <w:vAlign w:val="bottom"/>
            <w:hideMark/>
          </w:tcPr>
          <w:p w:rsidR="00E53CD7" w:rsidRPr="00E53CD7" w:rsidRDefault="00E53CD7" w:rsidP="00E53CD7">
            <w:pPr>
              <w:spacing w:after="0" w:line="360" w:lineRule="auto"/>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Производство алюминия</w:t>
            </w:r>
          </w:p>
        </w:tc>
        <w:tc>
          <w:tcPr>
            <w:tcW w:w="1140" w:type="dxa"/>
            <w:shd w:val="clear" w:color="auto" w:fill="auto"/>
            <w:noWrap/>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474,5</w:t>
            </w:r>
          </w:p>
        </w:tc>
        <w:tc>
          <w:tcPr>
            <w:tcW w:w="1420" w:type="dxa"/>
            <w:shd w:val="clear" w:color="auto" w:fill="auto"/>
            <w:noWrap/>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547,6</w:t>
            </w:r>
          </w:p>
        </w:tc>
        <w:tc>
          <w:tcPr>
            <w:tcW w:w="1340" w:type="dxa"/>
            <w:shd w:val="clear" w:color="auto" w:fill="auto"/>
            <w:noWrap/>
            <w:vAlign w:val="center"/>
            <w:hideMark/>
          </w:tcPr>
          <w:p w:rsidR="00E53CD7" w:rsidRPr="00E53CD7" w:rsidRDefault="00E53CD7" w:rsidP="00E53CD7">
            <w:pPr>
              <w:spacing w:after="0" w:line="360" w:lineRule="auto"/>
              <w:jc w:val="center"/>
              <w:rPr>
                <w:rFonts w:ascii="Times New Roman" w:eastAsia="Times New Roman" w:hAnsi="Times New Roman" w:cs="Times New Roman"/>
                <w:lang w:eastAsia="ru-RU"/>
              </w:rPr>
            </w:pPr>
            <w:r w:rsidRPr="00E53CD7">
              <w:rPr>
                <w:rFonts w:ascii="Times New Roman" w:eastAsia="Times New Roman" w:hAnsi="Times New Roman" w:cs="Times New Roman"/>
                <w:lang w:eastAsia="ru-RU"/>
              </w:rPr>
              <w:t>562,8</w:t>
            </w:r>
          </w:p>
        </w:tc>
        <w:tc>
          <w:tcPr>
            <w:tcW w:w="1580" w:type="dxa"/>
            <w:shd w:val="clear" w:color="auto" w:fill="auto"/>
            <w:noWrap/>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968,7</w:t>
            </w:r>
          </w:p>
        </w:tc>
      </w:tr>
      <w:tr w:rsidR="00E53CD7" w:rsidRPr="00E53CD7" w:rsidTr="00A07633">
        <w:trPr>
          <w:trHeight w:val="300"/>
        </w:trPr>
        <w:tc>
          <w:tcPr>
            <w:tcW w:w="3580" w:type="dxa"/>
            <w:shd w:val="clear" w:color="auto" w:fill="auto"/>
            <w:noWrap/>
            <w:vAlign w:val="bottom"/>
            <w:hideMark/>
          </w:tcPr>
          <w:p w:rsidR="00E53CD7" w:rsidRPr="00E53CD7" w:rsidRDefault="00E53CD7" w:rsidP="00E53CD7">
            <w:pPr>
              <w:spacing w:after="0" w:line="360" w:lineRule="auto"/>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Производство свинца, цинка, олова</w:t>
            </w:r>
          </w:p>
        </w:tc>
        <w:tc>
          <w:tcPr>
            <w:tcW w:w="1140" w:type="dxa"/>
            <w:shd w:val="clear" w:color="auto" w:fill="auto"/>
            <w:noWrap/>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49,7</w:t>
            </w:r>
          </w:p>
        </w:tc>
        <w:tc>
          <w:tcPr>
            <w:tcW w:w="1420" w:type="dxa"/>
            <w:shd w:val="clear" w:color="auto" w:fill="auto"/>
            <w:noWrap/>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54,1</w:t>
            </w:r>
          </w:p>
        </w:tc>
        <w:tc>
          <w:tcPr>
            <w:tcW w:w="1340" w:type="dxa"/>
            <w:shd w:val="clear" w:color="auto" w:fill="auto"/>
            <w:noWrap/>
            <w:vAlign w:val="center"/>
            <w:hideMark/>
          </w:tcPr>
          <w:p w:rsidR="00E53CD7" w:rsidRPr="00E53CD7" w:rsidRDefault="00E53CD7" w:rsidP="00E53CD7">
            <w:pPr>
              <w:spacing w:after="0" w:line="360" w:lineRule="auto"/>
              <w:jc w:val="center"/>
              <w:rPr>
                <w:rFonts w:ascii="Times New Roman" w:eastAsia="Times New Roman" w:hAnsi="Times New Roman" w:cs="Times New Roman"/>
                <w:lang w:eastAsia="ru-RU"/>
              </w:rPr>
            </w:pPr>
            <w:r w:rsidRPr="00E53CD7">
              <w:rPr>
                <w:rFonts w:ascii="Times New Roman" w:eastAsia="Times New Roman" w:hAnsi="Times New Roman" w:cs="Times New Roman"/>
                <w:lang w:eastAsia="ru-RU"/>
              </w:rPr>
              <w:t>44,4</w:t>
            </w:r>
          </w:p>
        </w:tc>
        <w:tc>
          <w:tcPr>
            <w:tcW w:w="1580" w:type="dxa"/>
            <w:shd w:val="clear" w:color="auto" w:fill="auto"/>
            <w:noWrap/>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48,6</w:t>
            </w:r>
          </w:p>
        </w:tc>
      </w:tr>
      <w:tr w:rsidR="00E53CD7" w:rsidRPr="00E53CD7" w:rsidTr="00A07633">
        <w:trPr>
          <w:trHeight w:val="300"/>
        </w:trPr>
        <w:tc>
          <w:tcPr>
            <w:tcW w:w="3580" w:type="dxa"/>
            <w:shd w:val="clear" w:color="auto" w:fill="auto"/>
            <w:noWrap/>
            <w:vAlign w:val="bottom"/>
            <w:hideMark/>
          </w:tcPr>
          <w:p w:rsidR="00E53CD7" w:rsidRPr="00E53CD7" w:rsidRDefault="00E53CD7" w:rsidP="00E53CD7">
            <w:pPr>
              <w:spacing w:after="0" w:line="360" w:lineRule="auto"/>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Производство меди</w:t>
            </w:r>
          </w:p>
        </w:tc>
        <w:tc>
          <w:tcPr>
            <w:tcW w:w="1140" w:type="dxa"/>
            <w:shd w:val="clear" w:color="auto" w:fill="auto"/>
            <w:noWrap/>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321,8</w:t>
            </w:r>
          </w:p>
        </w:tc>
        <w:tc>
          <w:tcPr>
            <w:tcW w:w="1420" w:type="dxa"/>
            <w:shd w:val="clear" w:color="auto" w:fill="auto"/>
            <w:noWrap/>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379,2</w:t>
            </w:r>
          </w:p>
        </w:tc>
        <w:tc>
          <w:tcPr>
            <w:tcW w:w="1340" w:type="dxa"/>
            <w:shd w:val="clear" w:color="auto" w:fill="auto"/>
            <w:noWrap/>
            <w:vAlign w:val="center"/>
            <w:hideMark/>
          </w:tcPr>
          <w:p w:rsidR="00E53CD7" w:rsidRPr="00E53CD7" w:rsidRDefault="00E53CD7" w:rsidP="00E53CD7">
            <w:pPr>
              <w:spacing w:after="0" w:line="360" w:lineRule="auto"/>
              <w:jc w:val="center"/>
              <w:rPr>
                <w:rFonts w:ascii="Times New Roman" w:eastAsia="Times New Roman" w:hAnsi="Times New Roman" w:cs="Times New Roman"/>
                <w:lang w:eastAsia="ru-RU"/>
              </w:rPr>
            </w:pPr>
            <w:r w:rsidRPr="00E53CD7">
              <w:rPr>
                <w:rFonts w:ascii="Times New Roman" w:eastAsia="Times New Roman" w:hAnsi="Times New Roman" w:cs="Times New Roman"/>
                <w:lang w:eastAsia="ru-RU"/>
              </w:rPr>
              <w:t>386,2</w:t>
            </w:r>
          </w:p>
        </w:tc>
        <w:tc>
          <w:tcPr>
            <w:tcW w:w="1580" w:type="dxa"/>
            <w:shd w:val="clear" w:color="auto" w:fill="auto"/>
            <w:noWrap/>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lang w:eastAsia="ru-RU"/>
              </w:rPr>
            </w:pPr>
            <w:r w:rsidRPr="00E53CD7">
              <w:rPr>
                <w:rFonts w:ascii="Times New Roman" w:eastAsia="Times New Roman" w:hAnsi="Times New Roman" w:cs="Times New Roman"/>
                <w:color w:val="000000"/>
                <w:lang w:eastAsia="ru-RU"/>
              </w:rPr>
              <w:t>412,9</w:t>
            </w:r>
          </w:p>
        </w:tc>
      </w:tr>
    </w:tbl>
    <w:p w:rsidR="00E53CD7" w:rsidRPr="00E53CD7" w:rsidRDefault="00D9749C" w:rsidP="00E53CD7">
      <w:pPr>
        <w:spacing w:after="0" w:line="360" w:lineRule="auto"/>
        <w:ind w:firstLine="851"/>
        <w:jc w:val="both"/>
        <w:rPr>
          <w:rFonts w:ascii="Times New Roman" w:hAnsi="Times New Roman" w:cs="Times New Roman"/>
        </w:rPr>
      </w:pPr>
      <w:r w:rsidRPr="00EA4672">
        <w:rPr>
          <w:rFonts w:ascii="Times New Roman" w:eastAsia="DejaVu Sans" w:hAnsi="Times New Roman" w:cs="Times New Roman"/>
          <w:kern w:val="1"/>
          <w:sz w:val="20"/>
          <w:lang w:eastAsia="ru-RU"/>
        </w:rPr>
        <w:t>*</w:t>
      </w:r>
      <w:r w:rsidR="00E53CD7" w:rsidRPr="00E53CD7">
        <w:rPr>
          <w:rFonts w:ascii="Times New Roman" w:hAnsi="Times New Roman" w:cs="Times New Roman"/>
        </w:rPr>
        <w:t>Источник: данные ЕМИСС.</w:t>
      </w:r>
    </w:p>
    <w:p w:rsidR="00E53CD7" w:rsidRPr="00E53CD7" w:rsidRDefault="00E53CD7" w:rsidP="00E53CD7">
      <w:pPr>
        <w:spacing w:after="0" w:line="360" w:lineRule="auto"/>
        <w:ind w:firstLine="851"/>
        <w:jc w:val="both"/>
        <w:rPr>
          <w:rFonts w:ascii="Times New Roman" w:hAnsi="Times New Roman" w:cs="Times New Roman"/>
        </w:rPr>
      </w:pPr>
    </w:p>
    <w:p w:rsidR="00E53CD7" w:rsidRPr="00E53CD7" w:rsidRDefault="00E53CD7" w:rsidP="00F722C4">
      <w:pPr>
        <w:spacing w:after="0" w:line="360" w:lineRule="auto"/>
        <w:ind w:firstLine="425"/>
        <w:jc w:val="both"/>
        <w:rPr>
          <w:rFonts w:ascii="Times New Roman" w:hAnsi="Times New Roman" w:cs="Times New Roman"/>
        </w:rPr>
      </w:pPr>
      <w:r w:rsidRPr="00E53CD7">
        <w:rPr>
          <w:rFonts w:ascii="Times New Roman" w:hAnsi="Times New Roman" w:cs="Times New Roman"/>
        </w:rPr>
        <w:t>Динамика объемов отгрузки в РФ показывает стабильный рост, обусловленный как ростом цен на сырьевые товары, так и растущим спросом на продукцию цветной металлургии. Без учета ценового фактора рост объемов производства продукции составил 2 раза в производстве алюминия и 1,3 раза по производству меди. Производство свинца, олова, цинка замедлилось на 3%.</w:t>
      </w:r>
    </w:p>
    <w:p w:rsidR="00E53CD7" w:rsidRPr="00E53CD7" w:rsidRDefault="00E53CD7" w:rsidP="00C35711">
      <w:pPr>
        <w:spacing w:after="0" w:line="360" w:lineRule="auto"/>
        <w:ind w:firstLine="425"/>
        <w:jc w:val="both"/>
        <w:rPr>
          <w:rFonts w:ascii="Times New Roman" w:hAnsi="Times New Roman" w:cs="Times New Roman"/>
        </w:rPr>
      </w:pPr>
      <w:r w:rsidRPr="00E53CD7">
        <w:rPr>
          <w:rFonts w:ascii="Times New Roman" w:hAnsi="Times New Roman" w:cs="Times New Roman"/>
        </w:rPr>
        <w:t>Производство основных видов продукции позволяет оценить физический ро</w:t>
      </w:r>
      <w:r w:rsidR="00BC48A2">
        <w:rPr>
          <w:rFonts w:ascii="Times New Roman" w:hAnsi="Times New Roman" w:cs="Times New Roman"/>
        </w:rPr>
        <w:t>ст объемов производства (табл. 2</w:t>
      </w:r>
      <w:r w:rsidRPr="00E53CD7">
        <w:rPr>
          <w:rFonts w:ascii="Times New Roman" w:hAnsi="Times New Roman" w:cs="Times New Roman"/>
        </w:rPr>
        <w:t>).</w:t>
      </w:r>
    </w:p>
    <w:p w:rsidR="00E53CD7" w:rsidRPr="00D9749C" w:rsidRDefault="00E53CD7" w:rsidP="00D9749C">
      <w:pPr>
        <w:spacing w:after="0" w:line="247" w:lineRule="auto"/>
        <w:ind w:firstLine="425"/>
        <w:jc w:val="center"/>
        <w:rPr>
          <w:rFonts w:ascii="Times New Roman" w:hAnsi="Times New Roman" w:cs="Times New Roman"/>
          <w:b/>
        </w:rPr>
      </w:pPr>
      <w:r w:rsidRPr="00E53CD7">
        <w:rPr>
          <w:rFonts w:ascii="Times New Roman" w:hAnsi="Times New Roman" w:cs="Times New Roman"/>
        </w:rPr>
        <w:lastRenderedPageBreak/>
        <w:t>Таблица</w:t>
      </w:r>
      <w:r w:rsidR="00BC48A2">
        <w:rPr>
          <w:rFonts w:ascii="Times New Roman" w:hAnsi="Times New Roman" w:cs="Times New Roman"/>
        </w:rPr>
        <w:t xml:space="preserve"> 2</w:t>
      </w:r>
      <w:r w:rsidRPr="00E53CD7">
        <w:rPr>
          <w:rFonts w:ascii="Times New Roman" w:hAnsi="Times New Roman" w:cs="Times New Roman"/>
        </w:rPr>
        <w:t xml:space="preserve">. </w:t>
      </w:r>
      <w:r w:rsidRPr="00D9749C">
        <w:rPr>
          <w:rFonts w:ascii="Times New Roman" w:hAnsi="Times New Roman" w:cs="Times New Roman"/>
          <w:b/>
        </w:rPr>
        <w:t>Темпы роста объемов производства основных видов продукции цветной металлургии, в % к предыдущему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776"/>
        <w:gridCol w:w="700"/>
        <w:gridCol w:w="858"/>
        <w:gridCol w:w="910"/>
        <w:gridCol w:w="700"/>
      </w:tblGrid>
      <w:tr w:rsidR="00E53CD7" w:rsidRPr="00E53CD7" w:rsidTr="00E53CD7">
        <w:trPr>
          <w:trHeight w:val="315"/>
        </w:trPr>
        <w:tc>
          <w:tcPr>
            <w:tcW w:w="2724" w:type="pct"/>
            <w:shd w:val="clear" w:color="auto" w:fill="auto"/>
            <w:vAlign w:val="center"/>
            <w:hideMark/>
          </w:tcPr>
          <w:p w:rsidR="00E53CD7" w:rsidRPr="00E53CD7" w:rsidRDefault="00E53CD7" w:rsidP="00E53CD7">
            <w:pPr>
              <w:spacing w:after="0" w:line="360" w:lineRule="auto"/>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sz w:val="20"/>
                <w:szCs w:val="20"/>
                <w:lang w:eastAsia="ru-RU"/>
              </w:rPr>
              <w:t>Продукция</w:t>
            </w:r>
          </w:p>
        </w:tc>
        <w:tc>
          <w:tcPr>
            <w:tcW w:w="448"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sz w:val="20"/>
                <w:szCs w:val="20"/>
                <w:lang w:eastAsia="ru-RU"/>
              </w:rPr>
              <w:t>2016</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sz w:val="20"/>
                <w:szCs w:val="20"/>
                <w:lang w:eastAsia="ru-RU"/>
              </w:rPr>
              <w:t>2017</w:t>
            </w:r>
          </w:p>
        </w:tc>
        <w:tc>
          <w:tcPr>
            <w:tcW w:w="49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sz w:val="20"/>
                <w:szCs w:val="20"/>
                <w:lang w:eastAsia="ru-RU"/>
              </w:rPr>
              <w:t>2018</w:t>
            </w:r>
          </w:p>
        </w:tc>
        <w:tc>
          <w:tcPr>
            <w:tcW w:w="52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sz w:val="20"/>
                <w:szCs w:val="20"/>
                <w:lang w:eastAsia="ru-RU"/>
              </w:rPr>
              <w:t>2019</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sz w:val="20"/>
                <w:szCs w:val="20"/>
                <w:lang w:eastAsia="ru-RU"/>
              </w:rPr>
              <w:t>2020</w:t>
            </w:r>
          </w:p>
        </w:tc>
      </w:tr>
      <w:tr w:rsidR="00E53CD7" w:rsidRPr="00E53CD7" w:rsidTr="00E53CD7">
        <w:trPr>
          <w:trHeight w:val="300"/>
        </w:trPr>
        <w:tc>
          <w:tcPr>
            <w:tcW w:w="2724" w:type="pct"/>
            <w:shd w:val="clear" w:color="auto" w:fill="auto"/>
            <w:vAlign w:val="center"/>
            <w:hideMark/>
          </w:tcPr>
          <w:p w:rsidR="00E53CD7" w:rsidRPr="00E53CD7" w:rsidRDefault="00E53CD7" w:rsidP="00E53CD7">
            <w:pPr>
              <w:spacing w:after="0" w:line="360" w:lineRule="auto"/>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 xml:space="preserve">Алюминий первичный </w:t>
            </w:r>
          </w:p>
        </w:tc>
        <w:tc>
          <w:tcPr>
            <w:tcW w:w="448"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92,3</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94,9</w:t>
            </w:r>
          </w:p>
        </w:tc>
        <w:tc>
          <w:tcPr>
            <w:tcW w:w="49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114,5</w:t>
            </w:r>
          </w:p>
        </w:tc>
        <w:tc>
          <w:tcPr>
            <w:tcW w:w="52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103,6</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98,5</w:t>
            </w:r>
          </w:p>
        </w:tc>
      </w:tr>
      <w:tr w:rsidR="00E53CD7" w:rsidRPr="00E53CD7" w:rsidTr="00E53CD7">
        <w:trPr>
          <w:trHeight w:val="300"/>
        </w:trPr>
        <w:tc>
          <w:tcPr>
            <w:tcW w:w="2724" w:type="pct"/>
            <w:shd w:val="clear" w:color="auto" w:fill="auto"/>
            <w:vAlign w:val="center"/>
            <w:hideMark/>
          </w:tcPr>
          <w:p w:rsidR="00E53CD7" w:rsidRPr="00E53CD7" w:rsidRDefault="00E53CD7" w:rsidP="00E53CD7">
            <w:pPr>
              <w:spacing w:after="0" w:line="360" w:lineRule="auto"/>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Сплавы на основе первичного алюминия</w:t>
            </w:r>
          </w:p>
        </w:tc>
        <w:tc>
          <w:tcPr>
            <w:tcW w:w="448"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134,5</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108,9</w:t>
            </w:r>
          </w:p>
        </w:tc>
        <w:tc>
          <w:tcPr>
            <w:tcW w:w="49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80,4</w:t>
            </w:r>
          </w:p>
        </w:tc>
        <w:tc>
          <w:tcPr>
            <w:tcW w:w="52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101,5</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105</w:t>
            </w:r>
          </w:p>
        </w:tc>
      </w:tr>
      <w:tr w:rsidR="00E53CD7" w:rsidRPr="00E53CD7" w:rsidTr="00E53CD7">
        <w:trPr>
          <w:trHeight w:val="300"/>
        </w:trPr>
        <w:tc>
          <w:tcPr>
            <w:tcW w:w="2724" w:type="pct"/>
            <w:shd w:val="clear" w:color="auto" w:fill="auto"/>
            <w:vAlign w:val="center"/>
            <w:hideMark/>
          </w:tcPr>
          <w:p w:rsidR="00E53CD7" w:rsidRPr="00E53CD7" w:rsidRDefault="00E53CD7" w:rsidP="00E53CD7">
            <w:pPr>
              <w:spacing w:after="0" w:line="360" w:lineRule="auto"/>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Прутки, катанка и профили из алюминия</w:t>
            </w:r>
            <w:r w:rsidRPr="00E53CD7">
              <w:rPr>
                <w:rFonts w:ascii="Times New Roman" w:eastAsia="Times New Roman" w:hAnsi="Times New Roman" w:cs="Times New Roman"/>
                <w:color w:val="000000"/>
                <w:sz w:val="20"/>
                <w:szCs w:val="20"/>
                <w:lang w:eastAsia="ru-RU"/>
              </w:rPr>
              <w:t xml:space="preserve"> или алюминиевых сплавов</w:t>
            </w:r>
          </w:p>
        </w:tc>
        <w:tc>
          <w:tcPr>
            <w:tcW w:w="448"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108,6</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113,7</w:t>
            </w:r>
          </w:p>
        </w:tc>
        <w:tc>
          <w:tcPr>
            <w:tcW w:w="49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103,8</w:t>
            </w:r>
          </w:p>
        </w:tc>
        <w:tc>
          <w:tcPr>
            <w:tcW w:w="52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113,7</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100,9</w:t>
            </w:r>
          </w:p>
        </w:tc>
      </w:tr>
      <w:tr w:rsidR="00E53CD7" w:rsidRPr="00E53CD7" w:rsidTr="00E53CD7">
        <w:trPr>
          <w:trHeight w:val="300"/>
        </w:trPr>
        <w:tc>
          <w:tcPr>
            <w:tcW w:w="2724" w:type="pct"/>
            <w:shd w:val="clear" w:color="auto" w:fill="auto"/>
            <w:vAlign w:val="center"/>
            <w:hideMark/>
          </w:tcPr>
          <w:p w:rsidR="00E53CD7" w:rsidRPr="00E53CD7" w:rsidRDefault="00E53CD7" w:rsidP="00E53CD7">
            <w:pPr>
              <w:spacing w:after="0" w:line="360" w:lineRule="auto"/>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Плиты, листы, полосы и ленты алюминиевые</w:t>
            </w:r>
          </w:p>
        </w:tc>
        <w:tc>
          <w:tcPr>
            <w:tcW w:w="448"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106,5</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109,6</w:t>
            </w:r>
          </w:p>
        </w:tc>
        <w:tc>
          <w:tcPr>
            <w:tcW w:w="49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103,1</w:t>
            </w:r>
          </w:p>
        </w:tc>
        <w:tc>
          <w:tcPr>
            <w:tcW w:w="52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102,2</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101,2</w:t>
            </w:r>
          </w:p>
        </w:tc>
      </w:tr>
      <w:tr w:rsidR="00E53CD7" w:rsidRPr="00E53CD7" w:rsidTr="00E53CD7">
        <w:trPr>
          <w:trHeight w:val="300"/>
        </w:trPr>
        <w:tc>
          <w:tcPr>
            <w:tcW w:w="2724" w:type="pct"/>
            <w:shd w:val="clear" w:color="auto" w:fill="auto"/>
            <w:vAlign w:val="center"/>
            <w:hideMark/>
          </w:tcPr>
          <w:p w:rsidR="00E53CD7" w:rsidRPr="00E53CD7" w:rsidRDefault="00E53CD7" w:rsidP="00E53CD7">
            <w:pPr>
              <w:spacing w:after="0" w:line="360" w:lineRule="auto"/>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Проволока алюминиевая</w:t>
            </w:r>
          </w:p>
        </w:tc>
        <w:tc>
          <w:tcPr>
            <w:tcW w:w="448"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175</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168,7</w:t>
            </w:r>
          </w:p>
        </w:tc>
        <w:tc>
          <w:tcPr>
            <w:tcW w:w="49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45,3</w:t>
            </w:r>
          </w:p>
        </w:tc>
        <w:tc>
          <w:tcPr>
            <w:tcW w:w="52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45,1</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145,2</w:t>
            </w:r>
          </w:p>
        </w:tc>
      </w:tr>
      <w:tr w:rsidR="00E53CD7" w:rsidRPr="00E53CD7" w:rsidTr="00E53CD7">
        <w:trPr>
          <w:trHeight w:val="300"/>
        </w:trPr>
        <w:tc>
          <w:tcPr>
            <w:tcW w:w="2724" w:type="pct"/>
            <w:shd w:val="clear" w:color="auto" w:fill="auto"/>
            <w:vAlign w:val="center"/>
            <w:hideMark/>
          </w:tcPr>
          <w:p w:rsidR="00E53CD7" w:rsidRPr="00E53CD7" w:rsidRDefault="00E53CD7" w:rsidP="00E53CD7">
            <w:pPr>
              <w:spacing w:after="0" w:line="360" w:lineRule="auto"/>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Фольга алюминиевая</w:t>
            </w:r>
          </w:p>
        </w:tc>
        <w:tc>
          <w:tcPr>
            <w:tcW w:w="448"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91,1</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111,4</w:t>
            </w:r>
          </w:p>
        </w:tc>
        <w:tc>
          <w:tcPr>
            <w:tcW w:w="49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95,4</w:t>
            </w:r>
          </w:p>
        </w:tc>
        <w:tc>
          <w:tcPr>
            <w:tcW w:w="52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111,7</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102,4</w:t>
            </w:r>
          </w:p>
        </w:tc>
      </w:tr>
      <w:tr w:rsidR="00E53CD7" w:rsidRPr="00E53CD7" w:rsidTr="00E53CD7">
        <w:trPr>
          <w:trHeight w:val="300"/>
        </w:trPr>
        <w:tc>
          <w:tcPr>
            <w:tcW w:w="2724" w:type="pct"/>
            <w:shd w:val="clear" w:color="auto" w:fill="auto"/>
            <w:vAlign w:val="center"/>
            <w:hideMark/>
          </w:tcPr>
          <w:p w:rsidR="00E53CD7" w:rsidRPr="00E53CD7" w:rsidRDefault="00E53CD7" w:rsidP="00E53CD7">
            <w:pPr>
              <w:spacing w:after="0" w:line="360" w:lineRule="auto"/>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 xml:space="preserve">Свинец необработанный </w:t>
            </w:r>
          </w:p>
        </w:tc>
        <w:tc>
          <w:tcPr>
            <w:tcW w:w="448"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98,5</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120,2</w:t>
            </w:r>
          </w:p>
        </w:tc>
        <w:tc>
          <w:tcPr>
            <w:tcW w:w="49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101</w:t>
            </w:r>
          </w:p>
        </w:tc>
        <w:tc>
          <w:tcPr>
            <w:tcW w:w="52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114</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104,4</w:t>
            </w:r>
          </w:p>
        </w:tc>
      </w:tr>
      <w:tr w:rsidR="00E53CD7" w:rsidRPr="00E53CD7" w:rsidTr="00E53CD7">
        <w:trPr>
          <w:trHeight w:val="300"/>
        </w:trPr>
        <w:tc>
          <w:tcPr>
            <w:tcW w:w="2724" w:type="pct"/>
            <w:shd w:val="clear" w:color="auto" w:fill="auto"/>
            <w:vAlign w:val="center"/>
            <w:hideMark/>
          </w:tcPr>
          <w:p w:rsidR="00E53CD7" w:rsidRPr="00E53CD7" w:rsidRDefault="00E53CD7" w:rsidP="00E53CD7">
            <w:pPr>
              <w:spacing w:after="0" w:line="360" w:lineRule="auto"/>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 xml:space="preserve">Цинк необработанный </w:t>
            </w:r>
          </w:p>
        </w:tc>
        <w:tc>
          <w:tcPr>
            <w:tcW w:w="448"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107,1</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123,8</w:t>
            </w:r>
          </w:p>
        </w:tc>
        <w:tc>
          <w:tcPr>
            <w:tcW w:w="49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98,7</w:t>
            </w:r>
          </w:p>
        </w:tc>
        <w:tc>
          <w:tcPr>
            <w:tcW w:w="52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81,3</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103,7</w:t>
            </w:r>
          </w:p>
        </w:tc>
      </w:tr>
      <w:tr w:rsidR="00E53CD7" w:rsidRPr="00E53CD7" w:rsidTr="00E53CD7">
        <w:trPr>
          <w:trHeight w:val="300"/>
        </w:trPr>
        <w:tc>
          <w:tcPr>
            <w:tcW w:w="2724" w:type="pct"/>
            <w:shd w:val="clear" w:color="auto" w:fill="auto"/>
            <w:vAlign w:val="center"/>
            <w:hideMark/>
          </w:tcPr>
          <w:p w:rsidR="00E53CD7" w:rsidRPr="00E53CD7" w:rsidRDefault="00E53CD7" w:rsidP="00E53CD7">
            <w:pPr>
              <w:spacing w:after="0" w:line="360" w:lineRule="auto"/>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Медь рафинированная необработанная</w:t>
            </w:r>
          </w:p>
        </w:tc>
        <w:tc>
          <w:tcPr>
            <w:tcW w:w="448"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100,7</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108,4</w:t>
            </w:r>
          </w:p>
        </w:tc>
        <w:tc>
          <w:tcPr>
            <w:tcW w:w="49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106,6</w:t>
            </w:r>
          </w:p>
        </w:tc>
        <w:tc>
          <w:tcPr>
            <w:tcW w:w="52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101</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102,4</w:t>
            </w:r>
          </w:p>
        </w:tc>
      </w:tr>
      <w:tr w:rsidR="00E53CD7" w:rsidRPr="00E53CD7" w:rsidTr="00E53CD7">
        <w:trPr>
          <w:trHeight w:val="300"/>
        </w:trPr>
        <w:tc>
          <w:tcPr>
            <w:tcW w:w="2724" w:type="pct"/>
            <w:shd w:val="clear" w:color="auto" w:fill="auto"/>
            <w:vAlign w:val="center"/>
            <w:hideMark/>
          </w:tcPr>
          <w:p w:rsidR="00E53CD7" w:rsidRPr="00E53CD7" w:rsidRDefault="00E53CD7" w:rsidP="00E53CD7">
            <w:pPr>
              <w:spacing w:after="0" w:line="360" w:lineRule="auto"/>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Прутки и профили медные</w:t>
            </w:r>
          </w:p>
        </w:tc>
        <w:tc>
          <w:tcPr>
            <w:tcW w:w="448"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110,6</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82</w:t>
            </w:r>
          </w:p>
        </w:tc>
        <w:tc>
          <w:tcPr>
            <w:tcW w:w="49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94,3</w:t>
            </w:r>
          </w:p>
        </w:tc>
        <w:tc>
          <w:tcPr>
            <w:tcW w:w="52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98,3</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97,3</w:t>
            </w:r>
          </w:p>
        </w:tc>
      </w:tr>
      <w:tr w:rsidR="00E53CD7" w:rsidRPr="00E53CD7" w:rsidTr="00E53CD7">
        <w:trPr>
          <w:trHeight w:val="300"/>
        </w:trPr>
        <w:tc>
          <w:tcPr>
            <w:tcW w:w="2724" w:type="pct"/>
            <w:shd w:val="clear" w:color="auto" w:fill="auto"/>
            <w:vAlign w:val="center"/>
            <w:hideMark/>
          </w:tcPr>
          <w:p w:rsidR="00E53CD7" w:rsidRPr="00E53CD7" w:rsidRDefault="00E53CD7" w:rsidP="00E53CD7">
            <w:pPr>
              <w:spacing w:after="0" w:line="360" w:lineRule="auto"/>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 xml:space="preserve">Проволока медная </w:t>
            </w:r>
          </w:p>
        </w:tc>
        <w:tc>
          <w:tcPr>
            <w:tcW w:w="448"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91,4</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100,3</w:t>
            </w:r>
          </w:p>
        </w:tc>
        <w:tc>
          <w:tcPr>
            <w:tcW w:w="49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114</w:t>
            </w:r>
          </w:p>
        </w:tc>
        <w:tc>
          <w:tcPr>
            <w:tcW w:w="52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95,1</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94</w:t>
            </w:r>
          </w:p>
        </w:tc>
      </w:tr>
      <w:tr w:rsidR="00E53CD7" w:rsidRPr="00E53CD7" w:rsidTr="00E53CD7">
        <w:trPr>
          <w:trHeight w:val="300"/>
        </w:trPr>
        <w:tc>
          <w:tcPr>
            <w:tcW w:w="2724" w:type="pct"/>
            <w:shd w:val="clear" w:color="auto" w:fill="auto"/>
            <w:vAlign w:val="center"/>
            <w:hideMark/>
          </w:tcPr>
          <w:p w:rsidR="00E53CD7" w:rsidRPr="00E53CD7" w:rsidRDefault="00E53CD7" w:rsidP="00E53CD7">
            <w:pPr>
              <w:spacing w:after="0" w:line="360" w:lineRule="auto"/>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Никель необработанный</w:t>
            </w:r>
          </w:p>
        </w:tc>
        <w:tc>
          <w:tcPr>
            <w:tcW w:w="448"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82,9</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80</w:t>
            </w:r>
          </w:p>
        </w:tc>
        <w:tc>
          <w:tcPr>
            <w:tcW w:w="49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95,3</w:t>
            </w:r>
          </w:p>
        </w:tc>
        <w:tc>
          <w:tcPr>
            <w:tcW w:w="52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102,1</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102,2</w:t>
            </w:r>
          </w:p>
        </w:tc>
      </w:tr>
      <w:tr w:rsidR="00E53CD7" w:rsidRPr="00E53CD7" w:rsidTr="00E53CD7">
        <w:trPr>
          <w:trHeight w:val="300"/>
        </w:trPr>
        <w:tc>
          <w:tcPr>
            <w:tcW w:w="2724" w:type="pct"/>
            <w:shd w:val="clear" w:color="auto" w:fill="auto"/>
            <w:vAlign w:val="center"/>
            <w:hideMark/>
          </w:tcPr>
          <w:p w:rsidR="00E53CD7" w:rsidRPr="00E53CD7" w:rsidRDefault="00E53CD7" w:rsidP="00E53CD7">
            <w:pPr>
              <w:spacing w:after="0" w:line="360" w:lineRule="auto"/>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Прутки, профили и проволока никелевые</w:t>
            </w:r>
          </w:p>
        </w:tc>
        <w:tc>
          <w:tcPr>
            <w:tcW w:w="448"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110,3</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148,1</w:t>
            </w:r>
          </w:p>
        </w:tc>
        <w:tc>
          <w:tcPr>
            <w:tcW w:w="49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в 3,6 р.</w:t>
            </w:r>
          </w:p>
        </w:tc>
        <w:tc>
          <w:tcPr>
            <w:tcW w:w="52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148,5</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90,1</w:t>
            </w:r>
          </w:p>
        </w:tc>
      </w:tr>
      <w:tr w:rsidR="00E53CD7" w:rsidRPr="00E53CD7" w:rsidTr="00E53CD7">
        <w:trPr>
          <w:trHeight w:val="315"/>
        </w:trPr>
        <w:tc>
          <w:tcPr>
            <w:tcW w:w="2724" w:type="pct"/>
            <w:shd w:val="clear" w:color="auto" w:fill="auto"/>
            <w:vAlign w:val="center"/>
            <w:hideMark/>
          </w:tcPr>
          <w:p w:rsidR="00E53CD7" w:rsidRPr="00E53CD7" w:rsidRDefault="00E53CD7" w:rsidP="00E53CD7">
            <w:pPr>
              <w:spacing w:after="0" w:line="360" w:lineRule="auto"/>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Плиты, листы, полосы, лента и фольга никелевые</w:t>
            </w:r>
          </w:p>
        </w:tc>
        <w:tc>
          <w:tcPr>
            <w:tcW w:w="448"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121,6</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190,8</w:t>
            </w:r>
          </w:p>
        </w:tc>
        <w:tc>
          <w:tcPr>
            <w:tcW w:w="49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60,2</w:t>
            </w:r>
          </w:p>
        </w:tc>
        <w:tc>
          <w:tcPr>
            <w:tcW w:w="525"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в 4,3 р.</w:t>
            </w:r>
          </w:p>
        </w:tc>
        <w:tc>
          <w:tcPr>
            <w:tcW w:w="404" w:type="pct"/>
            <w:shd w:val="clear" w:color="auto" w:fill="auto"/>
            <w:vAlign w:val="center"/>
            <w:hideMark/>
          </w:tcPr>
          <w:p w:rsidR="00E53CD7" w:rsidRPr="00E53CD7" w:rsidRDefault="00E53CD7" w:rsidP="00E53CD7">
            <w:pPr>
              <w:spacing w:after="0" w:line="360" w:lineRule="auto"/>
              <w:jc w:val="center"/>
              <w:rPr>
                <w:rFonts w:ascii="Times New Roman" w:eastAsia="Times New Roman" w:hAnsi="Times New Roman" w:cs="Times New Roman"/>
                <w:color w:val="000000"/>
                <w:sz w:val="20"/>
                <w:szCs w:val="20"/>
                <w:lang w:eastAsia="ru-RU"/>
              </w:rPr>
            </w:pPr>
            <w:r w:rsidRPr="00E53CD7">
              <w:rPr>
                <w:rFonts w:ascii="Times New Roman" w:eastAsia="Times New Roman" w:hAnsi="Times New Roman" w:cs="Times New Roman"/>
                <w:color w:val="000000" w:themeColor="text1"/>
                <w:sz w:val="20"/>
                <w:szCs w:val="20"/>
                <w:lang w:eastAsia="ru-RU"/>
              </w:rPr>
              <w:t>42,2</w:t>
            </w:r>
          </w:p>
        </w:tc>
      </w:tr>
    </w:tbl>
    <w:p w:rsidR="00E53CD7" w:rsidRDefault="00D9749C" w:rsidP="00E53CD7">
      <w:pPr>
        <w:spacing w:after="0" w:line="360" w:lineRule="auto"/>
        <w:jc w:val="both"/>
        <w:rPr>
          <w:rFonts w:ascii="Times New Roman" w:hAnsi="Times New Roman" w:cs="Times New Roman"/>
        </w:rPr>
      </w:pPr>
      <w:r w:rsidRPr="00EA4672">
        <w:rPr>
          <w:rFonts w:ascii="Times New Roman" w:eastAsia="DejaVu Sans" w:hAnsi="Times New Roman" w:cs="Times New Roman"/>
          <w:kern w:val="1"/>
          <w:sz w:val="20"/>
          <w:lang w:eastAsia="ru-RU"/>
        </w:rPr>
        <w:t>*</w:t>
      </w:r>
      <w:r w:rsidR="00E53CD7" w:rsidRPr="00E53CD7">
        <w:rPr>
          <w:rFonts w:ascii="Times New Roman" w:hAnsi="Times New Roman" w:cs="Times New Roman"/>
        </w:rPr>
        <w:t xml:space="preserve">Источник: </w:t>
      </w:r>
      <w:r>
        <w:rPr>
          <w:rFonts w:ascii="Times New Roman" w:hAnsi="Times New Roman" w:cs="Times New Roman"/>
        </w:rPr>
        <w:t>данные ЕМИСС</w:t>
      </w:r>
    </w:p>
    <w:p w:rsidR="00C35711" w:rsidRPr="00E53CD7" w:rsidRDefault="00C35711" w:rsidP="00E53CD7">
      <w:pPr>
        <w:spacing w:after="0" w:line="360" w:lineRule="auto"/>
        <w:jc w:val="both"/>
        <w:rPr>
          <w:rFonts w:ascii="Times New Roman" w:hAnsi="Times New Roman" w:cs="Times New Roman"/>
        </w:rPr>
      </w:pPr>
    </w:p>
    <w:p w:rsidR="00BC48A2" w:rsidRDefault="00BC48A2" w:rsidP="00F722C4">
      <w:pPr>
        <w:spacing w:after="0" w:line="360" w:lineRule="auto"/>
        <w:ind w:firstLine="425"/>
        <w:jc w:val="both"/>
        <w:rPr>
          <w:rFonts w:ascii="Times New Roman" w:hAnsi="Times New Roman" w:cs="Times New Roman"/>
        </w:rPr>
      </w:pPr>
      <w:r w:rsidRPr="00BC48A2">
        <w:rPr>
          <w:rFonts w:ascii="Times New Roman" w:hAnsi="Times New Roman" w:cs="Times New Roman"/>
        </w:rPr>
        <w:t xml:space="preserve">Для целей нашего исследования был отобран ПАО «Норильский Никель» </w:t>
      </w:r>
      <w:r>
        <w:rPr>
          <w:rFonts w:ascii="Times New Roman" w:hAnsi="Times New Roman" w:cs="Times New Roman"/>
        </w:rPr>
        <w:t>в Красноярском крае как основа региона</w:t>
      </w:r>
      <w:r w:rsidRPr="00BC48A2">
        <w:rPr>
          <w:rFonts w:ascii="Times New Roman" w:hAnsi="Times New Roman" w:cs="Times New Roman"/>
        </w:rPr>
        <w:t xml:space="preserve"> базирования. Далее будут проанализированы проблемы социально-экономического развития </w:t>
      </w:r>
      <w:r>
        <w:rPr>
          <w:rFonts w:ascii="Times New Roman" w:hAnsi="Times New Roman" w:cs="Times New Roman"/>
        </w:rPr>
        <w:t xml:space="preserve">выбранного </w:t>
      </w:r>
      <w:r w:rsidRPr="00BC48A2">
        <w:rPr>
          <w:rFonts w:ascii="Times New Roman" w:hAnsi="Times New Roman" w:cs="Times New Roman"/>
        </w:rPr>
        <w:t>региона</w:t>
      </w:r>
      <w:r>
        <w:rPr>
          <w:rFonts w:ascii="Times New Roman" w:hAnsi="Times New Roman" w:cs="Times New Roman"/>
        </w:rPr>
        <w:t>.</w:t>
      </w:r>
    </w:p>
    <w:p w:rsidR="00F722C4" w:rsidRDefault="00F722C4" w:rsidP="00F722C4">
      <w:pPr>
        <w:spacing w:after="0" w:line="360" w:lineRule="auto"/>
        <w:ind w:firstLine="425"/>
        <w:jc w:val="both"/>
        <w:rPr>
          <w:rFonts w:ascii="Times New Roman" w:hAnsi="Times New Roman" w:cs="Times New Roman"/>
        </w:rPr>
      </w:pPr>
      <w:r w:rsidRPr="00F722C4">
        <w:rPr>
          <w:rFonts w:ascii="Times New Roman" w:hAnsi="Times New Roman" w:cs="Times New Roman"/>
        </w:rPr>
        <w:t xml:space="preserve">Анализ региона будет </w:t>
      </w:r>
      <w:r w:rsidR="004F6F06">
        <w:rPr>
          <w:rFonts w:ascii="Times New Roman" w:hAnsi="Times New Roman" w:cs="Times New Roman"/>
        </w:rPr>
        <w:t>проведён</w:t>
      </w:r>
      <w:r w:rsidRPr="00F722C4">
        <w:rPr>
          <w:rFonts w:ascii="Times New Roman" w:hAnsi="Times New Roman" w:cs="Times New Roman"/>
        </w:rPr>
        <w:t xml:space="preserve"> на основе оценки годовых темпов роста ряда ключевых показателей социально-</w:t>
      </w:r>
      <w:r w:rsidR="00BC48A2">
        <w:rPr>
          <w:rFonts w:ascii="Times New Roman" w:hAnsi="Times New Roman" w:cs="Times New Roman"/>
        </w:rPr>
        <w:t>экономического развития (табл. 3</w:t>
      </w:r>
      <w:r w:rsidRPr="00F722C4">
        <w:rPr>
          <w:rFonts w:ascii="Times New Roman" w:hAnsi="Times New Roman" w:cs="Times New Roman"/>
        </w:rPr>
        <w:t>).</w:t>
      </w:r>
    </w:p>
    <w:p w:rsidR="00C35711" w:rsidRPr="00F722C4" w:rsidRDefault="00C35711" w:rsidP="00F722C4">
      <w:pPr>
        <w:spacing w:after="0" w:line="360" w:lineRule="auto"/>
        <w:ind w:firstLine="425"/>
        <w:jc w:val="both"/>
        <w:rPr>
          <w:rFonts w:ascii="Times New Roman" w:hAnsi="Times New Roman" w:cs="Times New Roman"/>
        </w:rPr>
      </w:pPr>
    </w:p>
    <w:p w:rsidR="00F722C4" w:rsidRPr="00F722C4" w:rsidRDefault="00BC48A2" w:rsidP="00D9749C">
      <w:pPr>
        <w:spacing w:after="0" w:line="247" w:lineRule="auto"/>
        <w:ind w:firstLine="425"/>
        <w:jc w:val="center"/>
        <w:rPr>
          <w:rFonts w:ascii="Times New Roman" w:hAnsi="Times New Roman" w:cs="Times New Roman"/>
        </w:rPr>
      </w:pPr>
      <w:r w:rsidRPr="00D9749C">
        <w:rPr>
          <w:rFonts w:ascii="Times New Roman" w:hAnsi="Times New Roman" w:cs="Times New Roman"/>
        </w:rPr>
        <w:t>Таблица 3</w:t>
      </w:r>
      <w:r w:rsidR="00D9749C">
        <w:rPr>
          <w:rFonts w:ascii="Times New Roman" w:hAnsi="Times New Roman" w:cs="Times New Roman"/>
        </w:rPr>
        <w:t>.</w:t>
      </w:r>
      <w:r w:rsidR="00F722C4" w:rsidRPr="00F722C4">
        <w:rPr>
          <w:rFonts w:ascii="Times New Roman" w:hAnsi="Times New Roman" w:cs="Times New Roman"/>
        </w:rPr>
        <w:t xml:space="preserve"> </w:t>
      </w:r>
      <w:r w:rsidR="00F722C4" w:rsidRPr="00F722C4">
        <w:rPr>
          <w:rFonts w:ascii="Times New Roman" w:hAnsi="Times New Roman" w:cs="Times New Roman"/>
          <w:b/>
        </w:rPr>
        <w:t>Ключевые показатели социально-экономического развития Красноярского края и Иркутской области за 2017-2020 гг., % к предыдущему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825"/>
        <w:gridCol w:w="825"/>
        <w:gridCol w:w="825"/>
        <w:gridCol w:w="826"/>
      </w:tblGrid>
      <w:tr w:rsidR="00F722C4" w:rsidRPr="00F722C4" w:rsidTr="00AC7C57">
        <w:trPr>
          <w:trHeight w:val="315"/>
        </w:trPr>
        <w:tc>
          <w:tcPr>
            <w:tcW w:w="3095"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Показатель</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2017</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2018</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2019</w:t>
            </w:r>
          </w:p>
        </w:tc>
        <w:tc>
          <w:tcPr>
            <w:tcW w:w="477"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2020</w:t>
            </w:r>
          </w:p>
        </w:tc>
      </w:tr>
      <w:tr w:rsidR="00F722C4" w:rsidRPr="00F722C4" w:rsidTr="00AC7C57">
        <w:trPr>
          <w:trHeight w:val="315"/>
        </w:trPr>
        <w:tc>
          <w:tcPr>
            <w:tcW w:w="3095" w:type="pct"/>
            <w:shd w:val="clear" w:color="auto" w:fill="auto"/>
            <w:noWrap/>
            <w:vAlign w:val="center"/>
            <w:hideMark/>
          </w:tcPr>
          <w:p w:rsidR="00F722C4" w:rsidRPr="00F722C4" w:rsidRDefault="00F722C4" w:rsidP="00F722C4">
            <w:pPr>
              <w:spacing w:after="0" w:line="240" w:lineRule="auto"/>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Валовой региональный продукт (ВРП)</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103,3</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103,3</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100,3</w:t>
            </w:r>
          </w:p>
        </w:tc>
        <w:tc>
          <w:tcPr>
            <w:tcW w:w="477"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93,9</w:t>
            </w:r>
          </w:p>
        </w:tc>
      </w:tr>
      <w:tr w:rsidR="00F722C4" w:rsidRPr="00F722C4" w:rsidTr="00AC7C57">
        <w:trPr>
          <w:trHeight w:val="315"/>
        </w:trPr>
        <w:tc>
          <w:tcPr>
            <w:tcW w:w="3095" w:type="pct"/>
            <w:shd w:val="clear" w:color="auto" w:fill="auto"/>
            <w:noWrap/>
            <w:vAlign w:val="center"/>
            <w:hideMark/>
          </w:tcPr>
          <w:p w:rsidR="00F722C4" w:rsidRPr="00F722C4" w:rsidRDefault="00F722C4" w:rsidP="00F722C4">
            <w:pPr>
              <w:spacing w:after="0" w:line="240" w:lineRule="auto"/>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Промышленное производство</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103,9</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106,4</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101,7</w:t>
            </w:r>
          </w:p>
        </w:tc>
        <w:tc>
          <w:tcPr>
            <w:tcW w:w="477"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91,2</w:t>
            </w:r>
          </w:p>
        </w:tc>
      </w:tr>
      <w:tr w:rsidR="00F722C4" w:rsidRPr="00F722C4" w:rsidTr="00AC7C57">
        <w:trPr>
          <w:trHeight w:val="315"/>
        </w:trPr>
        <w:tc>
          <w:tcPr>
            <w:tcW w:w="3095" w:type="pct"/>
            <w:shd w:val="clear" w:color="auto" w:fill="auto"/>
            <w:noWrap/>
            <w:vAlign w:val="center"/>
            <w:hideMark/>
          </w:tcPr>
          <w:p w:rsidR="00F722C4" w:rsidRPr="00F722C4" w:rsidRDefault="00F722C4" w:rsidP="00F722C4">
            <w:pPr>
              <w:spacing w:after="0" w:line="240" w:lineRule="auto"/>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Продукция сельского хозяйства</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94,4</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101,6</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104,5</w:t>
            </w:r>
          </w:p>
        </w:tc>
        <w:tc>
          <w:tcPr>
            <w:tcW w:w="477"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108,1</w:t>
            </w:r>
          </w:p>
        </w:tc>
      </w:tr>
      <w:tr w:rsidR="00F722C4" w:rsidRPr="00F722C4" w:rsidTr="00AC7C57">
        <w:trPr>
          <w:trHeight w:val="315"/>
        </w:trPr>
        <w:tc>
          <w:tcPr>
            <w:tcW w:w="3095" w:type="pct"/>
            <w:shd w:val="clear" w:color="auto" w:fill="auto"/>
            <w:noWrap/>
            <w:vAlign w:val="center"/>
            <w:hideMark/>
          </w:tcPr>
          <w:p w:rsidR="00F722C4" w:rsidRPr="00F722C4" w:rsidRDefault="00F722C4" w:rsidP="00F722C4">
            <w:pPr>
              <w:spacing w:after="0" w:line="240" w:lineRule="auto"/>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Инвестиции в основной капитал</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96,6</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98,1</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98,0</w:t>
            </w:r>
          </w:p>
        </w:tc>
        <w:tc>
          <w:tcPr>
            <w:tcW w:w="477"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104,8</w:t>
            </w:r>
          </w:p>
        </w:tc>
      </w:tr>
      <w:tr w:rsidR="00F722C4" w:rsidRPr="00F722C4" w:rsidTr="00AC7C57">
        <w:trPr>
          <w:trHeight w:val="315"/>
        </w:trPr>
        <w:tc>
          <w:tcPr>
            <w:tcW w:w="3095" w:type="pct"/>
            <w:shd w:val="clear" w:color="auto" w:fill="auto"/>
            <w:noWrap/>
            <w:vAlign w:val="center"/>
            <w:hideMark/>
          </w:tcPr>
          <w:p w:rsidR="00F722C4" w:rsidRPr="00F722C4" w:rsidRDefault="00F722C4" w:rsidP="00F722C4">
            <w:pPr>
              <w:spacing w:after="0" w:line="240" w:lineRule="auto"/>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Ввод в действие общей площади жилых домов</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76,9</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108,7</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147,7</w:t>
            </w:r>
          </w:p>
        </w:tc>
        <w:tc>
          <w:tcPr>
            <w:tcW w:w="477"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77,1</w:t>
            </w:r>
          </w:p>
        </w:tc>
      </w:tr>
      <w:tr w:rsidR="00F722C4" w:rsidRPr="00F722C4" w:rsidTr="00AC7C57">
        <w:trPr>
          <w:trHeight w:val="315"/>
        </w:trPr>
        <w:tc>
          <w:tcPr>
            <w:tcW w:w="3095" w:type="pct"/>
            <w:shd w:val="clear" w:color="auto" w:fill="auto"/>
            <w:noWrap/>
            <w:vAlign w:val="center"/>
            <w:hideMark/>
          </w:tcPr>
          <w:p w:rsidR="00F722C4" w:rsidRPr="00F722C4" w:rsidRDefault="00F722C4" w:rsidP="00F722C4">
            <w:pPr>
              <w:spacing w:after="0" w:line="240" w:lineRule="auto"/>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Оборот розничной торговли</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98,8</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102,6</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103,0</w:t>
            </w:r>
          </w:p>
        </w:tc>
        <w:tc>
          <w:tcPr>
            <w:tcW w:w="477"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94,0</w:t>
            </w:r>
          </w:p>
        </w:tc>
      </w:tr>
      <w:tr w:rsidR="00F722C4" w:rsidRPr="00F722C4" w:rsidTr="00AC7C57">
        <w:trPr>
          <w:trHeight w:val="315"/>
        </w:trPr>
        <w:tc>
          <w:tcPr>
            <w:tcW w:w="3095" w:type="pct"/>
            <w:shd w:val="clear" w:color="auto" w:fill="auto"/>
            <w:noWrap/>
            <w:vAlign w:val="center"/>
            <w:hideMark/>
          </w:tcPr>
          <w:p w:rsidR="00F722C4" w:rsidRPr="00F722C4" w:rsidRDefault="00F722C4" w:rsidP="00F722C4">
            <w:pPr>
              <w:spacing w:after="0" w:line="240" w:lineRule="auto"/>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lastRenderedPageBreak/>
              <w:t>Платные услуги населению</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105,9</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101,3</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99,7</w:t>
            </w:r>
          </w:p>
        </w:tc>
        <w:tc>
          <w:tcPr>
            <w:tcW w:w="477"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90,3</w:t>
            </w:r>
          </w:p>
        </w:tc>
      </w:tr>
      <w:tr w:rsidR="00F722C4" w:rsidRPr="00F722C4" w:rsidTr="00AC7C57">
        <w:trPr>
          <w:trHeight w:val="315"/>
        </w:trPr>
        <w:tc>
          <w:tcPr>
            <w:tcW w:w="3095" w:type="pct"/>
            <w:shd w:val="clear" w:color="auto" w:fill="auto"/>
            <w:noWrap/>
            <w:vAlign w:val="center"/>
            <w:hideMark/>
          </w:tcPr>
          <w:p w:rsidR="00F722C4" w:rsidRPr="00F722C4" w:rsidRDefault="00F722C4" w:rsidP="00F722C4">
            <w:pPr>
              <w:spacing w:after="0" w:line="240" w:lineRule="auto"/>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Износ основных фондов, % от общего объема</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41,4</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43,5</w:t>
            </w:r>
          </w:p>
        </w:tc>
        <w:tc>
          <w:tcPr>
            <w:tcW w:w="476"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44,9</w:t>
            </w:r>
          </w:p>
        </w:tc>
        <w:tc>
          <w:tcPr>
            <w:tcW w:w="477" w:type="pct"/>
            <w:shd w:val="clear" w:color="auto" w:fill="auto"/>
            <w:noWrap/>
            <w:vAlign w:val="center"/>
            <w:hideMark/>
          </w:tcPr>
          <w:p w:rsidR="00F722C4" w:rsidRPr="00F722C4" w:rsidRDefault="00F722C4" w:rsidP="00F722C4">
            <w:pPr>
              <w:spacing w:after="0" w:line="240" w:lineRule="auto"/>
              <w:jc w:val="center"/>
              <w:rPr>
                <w:rFonts w:ascii="Times New Roman" w:eastAsia="Times New Roman" w:hAnsi="Times New Roman" w:cs="Times New Roman"/>
                <w:color w:val="000000"/>
                <w:lang w:eastAsia="ru-RU"/>
              </w:rPr>
            </w:pPr>
            <w:r w:rsidRPr="00F722C4">
              <w:rPr>
                <w:rFonts w:ascii="Times New Roman" w:eastAsia="Times New Roman" w:hAnsi="Times New Roman" w:cs="Times New Roman"/>
                <w:color w:val="000000"/>
                <w:lang w:eastAsia="ru-RU"/>
              </w:rPr>
              <w:t>46,7</w:t>
            </w:r>
          </w:p>
        </w:tc>
      </w:tr>
    </w:tbl>
    <w:p w:rsidR="00F722C4" w:rsidRPr="00F722C4" w:rsidRDefault="00D9749C" w:rsidP="00F722C4">
      <w:pPr>
        <w:spacing w:after="0" w:line="360" w:lineRule="auto"/>
        <w:jc w:val="both"/>
        <w:rPr>
          <w:rFonts w:ascii="Times New Roman" w:eastAsia="Calibri" w:hAnsi="Times New Roman" w:cs="Times New Roman"/>
        </w:rPr>
      </w:pPr>
      <w:r w:rsidRPr="00EA4672">
        <w:rPr>
          <w:rFonts w:ascii="Times New Roman" w:eastAsia="DejaVu Sans" w:hAnsi="Times New Roman" w:cs="Times New Roman"/>
          <w:kern w:val="1"/>
          <w:sz w:val="20"/>
          <w:lang w:eastAsia="ru-RU"/>
        </w:rPr>
        <w:t>*</w:t>
      </w:r>
      <w:r w:rsidR="00F722C4" w:rsidRPr="00F722C4">
        <w:rPr>
          <w:rFonts w:ascii="Times New Roman" w:eastAsia="Calibri" w:hAnsi="Times New Roman" w:cs="Times New Roman"/>
        </w:rPr>
        <w:t>Источник: данные Росстата</w:t>
      </w:r>
      <w:r w:rsidR="00AC7C57">
        <w:rPr>
          <w:rStyle w:val="a3"/>
          <w:rFonts w:ascii="Times New Roman" w:eastAsia="Calibri" w:hAnsi="Times New Roman" w:cs="Times New Roman"/>
        </w:rPr>
        <w:footnoteReference w:id="3"/>
      </w:r>
    </w:p>
    <w:p w:rsidR="00F722C4" w:rsidRPr="00F722C4" w:rsidRDefault="00F722C4" w:rsidP="00F722C4">
      <w:pPr>
        <w:spacing w:after="0" w:line="360" w:lineRule="auto"/>
        <w:jc w:val="both"/>
        <w:rPr>
          <w:rFonts w:ascii="Times New Roman" w:eastAsia="Calibri" w:hAnsi="Times New Roman" w:cs="Times New Roman"/>
          <w:sz w:val="24"/>
          <w:szCs w:val="24"/>
        </w:rPr>
      </w:pPr>
    </w:p>
    <w:p w:rsidR="00F722C4" w:rsidRPr="00F722C4" w:rsidRDefault="00F722C4" w:rsidP="00F722C4">
      <w:pPr>
        <w:spacing w:after="0" w:line="360" w:lineRule="auto"/>
        <w:ind w:firstLine="425"/>
        <w:jc w:val="both"/>
        <w:rPr>
          <w:rFonts w:ascii="Times New Roman" w:eastAsia="Calibri" w:hAnsi="Times New Roman" w:cs="Times New Roman"/>
        </w:rPr>
      </w:pPr>
      <w:r w:rsidRPr="00F722C4">
        <w:rPr>
          <w:rFonts w:ascii="Times New Roman" w:eastAsia="Calibri" w:hAnsi="Times New Roman" w:cs="Times New Roman"/>
        </w:rPr>
        <w:t xml:space="preserve">Темпы социально-экономического развития в начале исследуемого периода можно охарактеризовать как невысокие, к тому же пандемия и связанные с ней ограничения свели результаты развития к нулю. Объемы ВРП и промышленного производства не демонстрировали активного роста, сельское хозяйство, не являющееся отраслью специализации, нельзя назвать динамично развивающей отраслью. Сокращаются объемы строительства, увеличивается износ основных фондов, требуется значительное вливание инвестиционных ресурсов. Сократилась динамика внутреннего спроса, что может говорит о снижении уровня жизни и сокращении реальных доходов населения. </w:t>
      </w:r>
    </w:p>
    <w:p w:rsidR="00BC48A2" w:rsidRDefault="00F722C4" w:rsidP="00BC48A2">
      <w:pPr>
        <w:spacing w:after="0" w:line="360" w:lineRule="auto"/>
        <w:ind w:firstLine="425"/>
        <w:jc w:val="both"/>
        <w:rPr>
          <w:rFonts w:ascii="Times New Roman" w:hAnsi="Times New Roman" w:cs="Times New Roman"/>
        </w:rPr>
      </w:pPr>
      <w:r w:rsidRPr="00F722C4">
        <w:rPr>
          <w:rFonts w:ascii="Times New Roman" w:eastAsia="Calibri" w:hAnsi="Times New Roman" w:cs="Times New Roman"/>
        </w:rPr>
        <w:t>Решение этих проблем может быть возложено на бюджеты регионального уровня, что требует оценки уровней доходов, расх</w:t>
      </w:r>
      <w:r w:rsidR="00C35711">
        <w:rPr>
          <w:rFonts w:ascii="Times New Roman" w:eastAsia="Calibri" w:hAnsi="Times New Roman" w:cs="Times New Roman"/>
        </w:rPr>
        <w:t>одов и итогов бюджета.</w:t>
      </w:r>
      <w:r w:rsidR="00BC48A2">
        <w:rPr>
          <w:rFonts w:ascii="Times New Roman" w:eastAsia="Calibri" w:hAnsi="Times New Roman" w:cs="Times New Roman"/>
        </w:rPr>
        <w:t xml:space="preserve"> </w:t>
      </w:r>
      <w:r w:rsidR="00BC48A2">
        <w:rPr>
          <w:rFonts w:ascii="Times New Roman" w:hAnsi="Times New Roman" w:cs="Times New Roman"/>
        </w:rPr>
        <w:t>Данные представлены в таблице</w:t>
      </w:r>
      <w:r w:rsidR="00BC48A2" w:rsidRPr="00BC48A2">
        <w:rPr>
          <w:rFonts w:ascii="Times New Roman" w:hAnsi="Times New Roman" w:cs="Times New Roman"/>
        </w:rPr>
        <w:t xml:space="preserve"> </w:t>
      </w:r>
      <w:r w:rsidR="00BC48A2">
        <w:rPr>
          <w:rFonts w:ascii="Times New Roman" w:hAnsi="Times New Roman" w:cs="Times New Roman"/>
        </w:rPr>
        <w:t>4</w:t>
      </w:r>
      <w:r w:rsidR="00BC48A2" w:rsidRPr="00BC48A2">
        <w:rPr>
          <w:rFonts w:ascii="Times New Roman" w:hAnsi="Times New Roman" w:cs="Times New Roman"/>
        </w:rPr>
        <w:t>.</w:t>
      </w:r>
    </w:p>
    <w:p w:rsidR="00131672" w:rsidRPr="00BC48A2" w:rsidRDefault="00131672" w:rsidP="00BC48A2">
      <w:pPr>
        <w:spacing w:after="0" w:line="360" w:lineRule="auto"/>
        <w:ind w:firstLine="425"/>
        <w:jc w:val="both"/>
        <w:rPr>
          <w:rFonts w:ascii="Times New Roman" w:hAnsi="Times New Roman" w:cs="Times New Roman"/>
          <w:szCs w:val="20"/>
        </w:rPr>
      </w:pPr>
    </w:p>
    <w:p w:rsidR="00BC48A2" w:rsidRPr="00D9749C" w:rsidRDefault="00BC48A2" w:rsidP="00D9749C">
      <w:pPr>
        <w:spacing w:after="0" w:line="247" w:lineRule="auto"/>
        <w:ind w:firstLine="425"/>
        <w:jc w:val="center"/>
        <w:rPr>
          <w:rFonts w:ascii="Times New Roman" w:hAnsi="Times New Roman" w:cs="Times New Roman"/>
          <w:b/>
        </w:rPr>
      </w:pPr>
      <w:r w:rsidRPr="00D9749C">
        <w:rPr>
          <w:rFonts w:ascii="Times New Roman" w:hAnsi="Times New Roman" w:cs="Times New Roman"/>
        </w:rPr>
        <w:t>Таблица 4</w:t>
      </w:r>
      <w:r w:rsidR="00D9749C">
        <w:rPr>
          <w:rFonts w:ascii="Times New Roman" w:hAnsi="Times New Roman" w:cs="Times New Roman"/>
        </w:rPr>
        <w:t>.</w:t>
      </w:r>
      <w:r w:rsidRPr="00D9749C">
        <w:rPr>
          <w:rFonts w:ascii="Times New Roman" w:hAnsi="Times New Roman" w:cs="Times New Roman"/>
        </w:rPr>
        <w:t xml:space="preserve"> </w:t>
      </w:r>
      <w:r w:rsidR="00D9749C">
        <w:rPr>
          <w:rFonts w:ascii="Times New Roman" w:hAnsi="Times New Roman" w:cs="Times New Roman"/>
          <w:b/>
        </w:rPr>
        <w:t>Преобладающие</w:t>
      </w:r>
      <w:r w:rsidR="00D9749C" w:rsidRPr="00D9749C">
        <w:rPr>
          <w:rFonts w:ascii="Times New Roman" w:hAnsi="Times New Roman" w:cs="Times New Roman"/>
          <w:b/>
        </w:rPr>
        <w:t xml:space="preserve"> п</w:t>
      </w:r>
      <w:r w:rsidRPr="00D9749C">
        <w:rPr>
          <w:rFonts w:ascii="Times New Roman" w:hAnsi="Times New Roman" w:cs="Times New Roman"/>
          <w:b/>
        </w:rPr>
        <w:t>оказатели бюджета Красноярского Края как региона базирования предприятий цветной промышленности</w:t>
      </w:r>
    </w:p>
    <w:tbl>
      <w:tblPr>
        <w:tblW w:w="9279" w:type="dxa"/>
        <w:tblLook w:val="04A0" w:firstRow="1" w:lastRow="0" w:firstColumn="1" w:lastColumn="0" w:noHBand="0" w:noVBand="1"/>
      </w:tblPr>
      <w:tblGrid>
        <w:gridCol w:w="4815"/>
        <w:gridCol w:w="1116"/>
        <w:gridCol w:w="1116"/>
        <w:gridCol w:w="1116"/>
        <w:gridCol w:w="1116"/>
      </w:tblGrid>
      <w:tr w:rsidR="00BC48A2" w:rsidRPr="008D4B75" w:rsidTr="00A07633">
        <w:trPr>
          <w:trHeight w:val="2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8A2" w:rsidRPr="00BC48A2" w:rsidRDefault="00BC48A2" w:rsidP="00BC48A2">
            <w:pPr>
              <w:spacing w:after="0" w:line="276" w:lineRule="auto"/>
              <w:rPr>
                <w:rFonts w:ascii="Times New Roman" w:eastAsia="Times New Roman" w:hAnsi="Times New Roman" w:cs="Times New Roman"/>
                <w:color w:val="000000"/>
                <w:szCs w:val="20"/>
                <w:lang w:eastAsia="ru-RU"/>
              </w:rPr>
            </w:pPr>
            <w:r w:rsidRPr="00BC48A2">
              <w:rPr>
                <w:rFonts w:ascii="Times New Roman" w:eastAsia="Times New Roman" w:hAnsi="Times New Roman" w:cs="Times New Roman"/>
                <w:color w:val="000000"/>
                <w:szCs w:val="20"/>
                <w:lang w:eastAsia="ru-RU"/>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2017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2018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2019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2020</w:t>
            </w:r>
          </w:p>
        </w:tc>
      </w:tr>
      <w:tr w:rsidR="00BC48A2" w:rsidRPr="008D4B75" w:rsidTr="00A07633">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Доходы</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285872,8</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326143,1</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381117,6</w:t>
            </w:r>
          </w:p>
        </w:tc>
        <w:tc>
          <w:tcPr>
            <w:tcW w:w="1116" w:type="dxa"/>
            <w:tcBorders>
              <w:top w:val="nil"/>
              <w:left w:val="nil"/>
              <w:bottom w:val="single" w:sz="4" w:space="0" w:color="auto"/>
              <w:right w:val="single" w:sz="4" w:space="0" w:color="auto"/>
            </w:tcBorders>
            <w:shd w:val="clear" w:color="auto" w:fill="auto"/>
            <w:noWrap/>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394826,0</w:t>
            </w:r>
          </w:p>
        </w:tc>
      </w:tr>
      <w:tr w:rsidR="00BC48A2" w:rsidRPr="008D4B75" w:rsidTr="00A07633">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налог на прибыль организаций</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78830,8</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94012,9</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139849,9</w:t>
            </w:r>
          </w:p>
        </w:tc>
        <w:tc>
          <w:tcPr>
            <w:tcW w:w="1116" w:type="dxa"/>
            <w:tcBorders>
              <w:top w:val="nil"/>
              <w:left w:val="nil"/>
              <w:bottom w:val="single" w:sz="4" w:space="0" w:color="auto"/>
              <w:right w:val="single" w:sz="4" w:space="0" w:color="auto"/>
            </w:tcBorders>
            <w:shd w:val="clear" w:color="auto" w:fill="auto"/>
            <w:noWrap/>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120547,7</w:t>
            </w:r>
          </w:p>
        </w:tc>
      </w:tr>
      <w:tr w:rsidR="00BC48A2" w:rsidRPr="008D4B75" w:rsidTr="00A07633">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налог на доходы физических лиц</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64154,1</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70472,9</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76178,2</w:t>
            </w:r>
          </w:p>
        </w:tc>
        <w:tc>
          <w:tcPr>
            <w:tcW w:w="1116" w:type="dxa"/>
            <w:tcBorders>
              <w:top w:val="nil"/>
              <w:left w:val="nil"/>
              <w:bottom w:val="single" w:sz="4" w:space="0" w:color="auto"/>
              <w:right w:val="single" w:sz="4" w:space="0" w:color="auto"/>
            </w:tcBorders>
            <w:shd w:val="clear" w:color="auto" w:fill="auto"/>
            <w:noWrap/>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82885,6</w:t>
            </w:r>
          </w:p>
        </w:tc>
      </w:tr>
      <w:tr w:rsidR="00BC48A2" w:rsidRPr="008D4B75" w:rsidTr="00A07633">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налоги на имущество</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25496,8</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28470,1</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25907,2</w:t>
            </w:r>
          </w:p>
        </w:tc>
        <w:tc>
          <w:tcPr>
            <w:tcW w:w="1116" w:type="dxa"/>
            <w:tcBorders>
              <w:top w:val="nil"/>
              <w:left w:val="nil"/>
              <w:bottom w:val="single" w:sz="4" w:space="0" w:color="auto"/>
              <w:right w:val="single" w:sz="4" w:space="0" w:color="auto"/>
            </w:tcBorders>
            <w:shd w:val="clear" w:color="auto" w:fill="auto"/>
            <w:noWrap/>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23497,4</w:t>
            </w:r>
          </w:p>
        </w:tc>
      </w:tr>
      <w:tr w:rsidR="00BC48A2" w:rsidRPr="008D4B75" w:rsidTr="00A07633">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безвозмездные поступления</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74757,2</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88215,3</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89340,7</w:t>
            </w:r>
          </w:p>
        </w:tc>
        <w:tc>
          <w:tcPr>
            <w:tcW w:w="1116" w:type="dxa"/>
            <w:tcBorders>
              <w:top w:val="nil"/>
              <w:left w:val="nil"/>
              <w:bottom w:val="single" w:sz="4" w:space="0" w:color="auto"/>
              <w:right w:val="single" w:sz="4" w:space="0" w:color="auto"/>
            </w:tcBorders>
            <w:shd w:val="clear" w:color="auto" w:fill="auto"/>
            <w:noWrap/>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115608,6</w:t>
            </w:r>
          </w:p>
        </w:tc>
      </w:tr>
      <w:tr w:rsidR="00BC48A2" w:rsidRPr="008D4B75" w:rsidTr="00A07633">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Расходы</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291690,0</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327290,8</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342805,6</w:t>
            </w:r>
          </w:p>
        </w:tc>
        <w:tc>
          <w:tcPr>
            <w:tcW w:w="1116" w:type="dxa"/>
            <w:tcBorders>
              <w:top w:val="nil"/>
              <w:left w:val="nil"/>
              <w:bottom w:val="single" w:sz="4" w:space="0" w:color="auto"/>
              <w:right w:val="single" w:sz="4" w:space="0" w:color="auto"/>
            </w:tcBorders>
            <w:shd w:val="clear" w:color="auto" w:fill="auto"/>
            <w:noWrap/>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389702,6</w:t>
            </w:r>
          </w:p>
        </w:tc>
      </w:tr>
      <w:tr w:rsidR="00BC48A2" w:rsidRPr="008D4B75" w:rsidTr="00A07633">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общегосударственные вопросы</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17260,1</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18206,9</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19965,0</w:t>
            </w:r>
          </w:p>
        </w:tc>
        <w:tc>
          <w:tcPr>
            <w:tcW w:w="1116" w:type="dxa"/>
            <w:tcBorders>
              <w:top w:val="nil"/>
              <w:left w:val="nil"/>
              <w:bottom w:val="single" w:sz="4" w:space="0" w:color="auto"/>
              <w:right w:val="single" w:sz="4" w:space="0" w:color="auto"/>
            </w:tcBorders>
            <w:shd w:val="clear" w:color="auto" w:fill="auto"/>
            <w:noWrap/>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22916,7</w:t>
            </w:r>
          </w:p>
        </w:tc>
      </w:tr>
      <w:tr w:rsidR="00BC48A2" w:rsidRPr="008D4B75" w:rsidTr="00A07633">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национальную экономику</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32652,4</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37696,8</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38525,2</w:t>
            </w:r>
          </w:p>
        </w:tc>
        <w:tc>
          <w:tcPr>
            <w:tcW w:w="1116" w:type="dxa"/>
            <w:tcBorders>
              <w:top w:val="nil"/>
              <w:left w:val="nil"/>
              <w:bottom w:val="single" w:sz="4" w:space="0" w:color="auto"/>
              <w:right w:val="single" w:sz="4" w:space="0" w:color="auto"/>
            </w:tcBorders>
            <w:shd w:val="clear" w:color="auto" w:fill="auto"/>
            <w:noWrap/>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45008,7</w:t>
            </w:r>
          </w:p>
        </w:tc>
      </w:tr>
      <w:tr w:rsidR="00BC48A2" w:rsidRPr="008D4B75" w:rsidTr="00A07633">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образование</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77035,7</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81107,1</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88266,3</w:t>
            </w:r>
          </w:p>
        </w:tc>
        <w:tc>
          <w:tcPr>
            <w:tcW w:w="1116" w:type="dxa"/>
            <w:tcBorders>
              <w:top w:val="nil"/>
              <w:left w:val="nil"/>
              <w:bottom w:val="single" w:sz="4" w:space="0" w:color="auto"/>
              <w:right w:val="single" w:sz="4" w:space="0" w:color="auto"/>
            </w:tcBorders>
            <w:shd w:val="clear" w:color="auto" w:fill="auto"/>
            <w:noWrap/>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91806,6</w:t>
            </w:r>
          </w:p>
        </w:tc>
      </w:tr>
      <w:tr w:rsidR="00BC48A2" w:rsidRPr="008D4B75" w:rsidTr="00A07633">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здравоохранение</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53337,2</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67734,7</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74842,6</w:t>
            </w:r>
          </w:p>
        </w:tc>
        <w:tc>
          <w:tcPr>
            <w:tcW w:w="1116" w:type="dxa"/>
            <w:tcBorders>
              <w:top w:val="nil"/>
              <w:left w:val="nil"/>
              <w:bottom w:val="single" w:sz="4" w:space="0" w:color="auto"/>
              <w:right w:val="single" w:sz="4" w:space="0" w:color="auto"/>
            </w:tcBorders>
            <w:shd w:val="clear" w:color="auto" w:fill="auto"/>
            <w:noWrap/>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90461,4</w:t>
            </w:r>
          </w:p>
        </w:tc>
      </w:tr>
      <w:tr w:rsidR="00BC48A2" w:rsidRPr="008D4B75" w:rsidTr="00A07633">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социальную политику</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57115,1</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60293,1</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63150,5</w:t>
            </w:r>
          </w:p>
        </w:tc>
        <w:tc>
          <w:tcPr>
            <w:tcW w:w="1116" w:type="dxa"/>
            <w:tcBorders>
              <w:top w:val="nil"/>
              <w:left w:val="nil"/>
              <w:bottom w:val="single" w:sz="4" w:space="0" w:color="auto"/>
              <w:right w:val="single" w:sz="4" w:space="0" w:color="auto"/>
            </w:tcBorders>
            <w:shd w:val="clear" w:color="auto" w:fill="auto"/>
            <w:noWrap/>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82351,7</w:t>
            </w:r>
          </w:p>
        </w:tc>
      </w:tr>
      <w:tr w:rsidR="00BC48A2" w:rsidRPr="00BC48A2" w:rsidTr="00A07633">
        <w:trPr>
          <w:trHeight w:val="2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Дефицит (-), профицит бюджета</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-5817,2</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-1147,7</w:t>
            </w:r>
          </w:p>
        </w:tc>
        <w:tc>
          <w:tcPr>
            <w:tcW w:w="1116" w:type="dxa"/>
            <w:tcBorders>
              <w:top w:val="nil"/>
              <w:left w:val="nil"/>
              <w:bottom w:val="single" w:sz="4" w:space="0" w:color="auto"/>
              <w:right w:val="single" w:sz="4" w:space="0" w:color="auto"/>
            </w:tcBorders>
            <w:shd w:val="clear" w:color="auto" w:fill="auto"/>
            <w:vAlign w:val="bottom"/>
            <w:hideMark/>
          </w:tcPr>
          <w:p w:rsidR="00BC48A2" w:rsidRPr="008D4B75"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38312,0</w:t>
            </w:r>
          </w:p>
        </w:tc>
        <w:tc>
          <w:tcPr>
            <w:tcW w:w="1116" w:type="dxa"/>
            <w:tcBorders>
              <w:top w:val="nil"/>
              <w:left w:val="nil"/>
              <w:bottom w:val="single" w:sz="4" w:space="0" w:color="auto"/>
              <w:right w:val="single" w:sz="4" w:space="0" w:color="auto"/>
            </w:tcBorders>
            <w:shd w:val="clear" w:color="auto" w:fill="auto"/>
            <w:vAlign w:val="bottom"/>
            <w:hideMark/>
          </w:tcPr>
          <w:p w:rsidR="00BC48A2" w:rsidRPr="00BC48A2" w:rsidRDefault="00BC48A2" w:rsidP="00BC48A2">
            <w:pPr>
              <w:spacing w:after="0" w:line="276" w:lineRule="auto"/>
              <w:jc w:val="right"/>
              <w:rPr>
                <w:rFonts w:ascii="Times New Roman" w:eastAsia="Times New Roman" w:hAnsi="Times New Roman" w:cs="Times New Roman"/>
                <w:color w:val="000000"/>
                <w:szCs w:val="20"/>
                <w:lang w:eastAsia="ru-RU"/>
              </w:rPr>
            </w:pPr>
            <w:r w:rsidRPr="008D4B75">
              <w:rPr>
                <w:rFonts w:ascii="Times New Roman" w:eastAsia="Times New Roman" w:hAnsi="Times New Roman" w:cs="Times New Roman"/>
                <w:color w:val="000000"/>
                <w:szCs w:val="20"/>
                <w:lang w:eastAsia="ru-RU"/>
              </w:rPr>
              <w:t>5123,4</w:t>
            </w:r>
          </w:p>
        </w:tc>
      </w:tr>
    </w:tbl>
    <w:p w:rsidR="00BC48A2" w:rsidRPr="00BC48A2" w:rsidRDefault="00D9749C" w:rsidP="00BC48A2">
      <w:pPr>
        <w:spacing w:line="276" w:lineRule="auto"/>
        <w:rPr>
          <w:rStyle w:val="fontstyle01"/>
          <w:sz w:val="22"/>
          <w:szCs w:val="20"/>
        </w:rPr>
      </w:pPr>
      <w:r w:rsidRPr="00EA4672">
        <w:rPr>
          <w:rFonts w:ascii="Times New Roman" w:eastAsia="DejaVu Sans" w:hAnsi="Times New Roman" w:cs="Times New Roman"/>
          <w:kern w:val="1"/>
          <w:sz w:val="20"/>
          <w:lang w:eastAsia="ru-RU"/>
        </w:rPr>
        <w:t>*</w:t>
      </w:r>
      <w:r w:rsidR="00BC48A2" w:rsidRPr="00BC48A2">
        <w:rPr>
          <w:rStyle w:val="fontstyle01"/>
          <w:sz w:val="22"/>
          <w:szCs w:val="20"/>
        </w:rPr>
        <w:t>Источник: составлено автором по данным Федерального Казначейства</w:t>
      </w:r>
      <w:r>
        <w:rPr>
          <w:rStyle w:val="a3"/>
          <w:rFonts w:ascii="Times New Roman" w:hAnsi="Times New Roman" w:cs="Times New Roman"/>
          <w:color w:val="000000"/>
          <w:szCs w:val="20"/>
        </w:rPr>
        <w:footnoteReference w:id="4"/>
      </w:r>
      <w:bookmarkStart w:id="2" w:name="_GoBack"/>
      <w:bookmarkEnd w:id="2"/>
    </w:p>
    <w:p w:rsidR="00BC48A2" w:rsidRPr="00F722C4" w:rsidRDefault="00BC48A2" w:rsidP="00F722C4">
      <w:pPr>
        <w:spacing w:after="0" w:line="360" w:lineRule="auto"/>
        <w:ind w:firstLine="425"/>
        <w:jc w:val="both"/>
        <w:rPr>
          <w:rFonts w:ascii="Times New Roman" w:eastAsia="Calibri" w:hAnsi="Times New Roman" w:cs="Times New Roman"/>
        </w:rPr>
      </w:pPr>
    </w:p>
    <w:p w:rsidR="00F722C4" w:rsidRPr="00F722C4" w:rsidRDefault="00F722C4" w:rsidP="00F722C4">
      <w:pPr>
        <w:spacing w:after="0" w:line="360" w:lineRule="auto"/>
        <w:ind w:firstLine="425"/>
        <w:jc w:val="both"/>
        <w:rPr>
          <w:rFonts w:ascii="Times New Roman" w:eastAsia="Calibri" w:hAnsi="Times New Roman" w:cs="Times New Roman"/>
        </w:rPr>
      </w:pPr>
      <w:r w:rsidRPr="00F722C4">
        <w:rPr>
          <w:rFonts w:ascii="Times New Roman" w:eastAsia="Calibri" w:hAnsi="Times New Roman" w:cs="Times New Roman"/>
        </w:rPr>
        <w:t>В структуре доходной части бюджета преобладают налоговые доходы (в 2020 г. – 67,2%), основной вклад вносят налог на прибыль организаций и налог на доходы физических лиц (30,5% и 21% соответственно). Менее значимыми для бюджета являются налоги на имущество, сборы за пользование природными ресурсами и акцизы. При этом стоит отметить, что бюджет Красноярского края является дотационным, уровень безвозмездных поступлений составляет 26-29% от общего объема доходной части бюджета.</w:t>
      </w:r>
    </w:p>
    <w:p w:rsidR="00F722C4" w:rsidRPr="00F722C4" w:rsidRDefault="00F722C4" w:rsidP="00F722C4">
      <w:pPr>
        <w:spacing w:after="0" w:line="360" w:lineRule="auto"/>
        <w:ind w:firstLine="425"/>
        <w:jc w:val="both"/>
        <w:rPr>
          <w:rFonts w:ascii="Times New Roman" w:eastAsia="Calibri" w:hAnsi="Times New Roman" w:cs="Times New Roman"/>
        </w:rPr>
      </w:pPr>
      <w:r w:rsidRPr="00F722C4">
        <w:rPr>
          <w:rFonts w:ascii="Times New Roman" w:eastAsia="Calibri" w:hAnsi="Times New Roman" w:cs="Times New Roman"/>
        </w:rPr>
        <w:t>Структура расходов бюджета Красноярского края следующая: ключевыми статьями расходов являются образование (23,5%), здравоохранение (23,2%) и социальная политика (21,1%). Расходы на национальную экономику составляют чуть больше, чем 11% от объемов расходной части бюджета.</w:t>
      </w:r>
    </w:p>
    <w:p w:rsidR="00E53CD7" w:rsidRDefault="00F722C4" w:rsidP="004F6F06">
      <w:pPr>
        <w:spacing w:after="0" w:line="360" w:lineRule="auto"/>
        <w:ind w:firstLine="425"/>
        <w:jc w:val="both"/>
        <w:rPr>
          <w:rFonts w:ascii="Times New Roman" w:hAnsi="Times New Roman" w:cs="Times New Roman"/>
        </w:rPr>
      </w:pPr>
      <w:r w:rsidRPr="00F722C4">
        <w:rPr>
          <w:rFonts w:ascii="Times New Roman" w:eastAsia="Calibri" w:hAnsi="Times New Roman" w:cs="Times New Roman"/>
        </w:rPr>
        <w:t xml:space="preserve">На основании проанализированных данных по бюджету Красноярского Края можно сделать вывод о том, что сбор налога на прибыль и других корпоративных отчислений для региона является ключевым источником дохода, от которого зависит социальная программа региона и даже вопросы национальной экономики. В условиях высоких цен на сырьевые товары, особенно на цветные металлы (алюминий, никель, палладий и т.д.) ПАО «Норильский никель» имеет все шансы получить максимальные за последние годы прибыль. Однако ряд существующих инструментов налогового администрирования (льготы, консолидированные группы налогоплательщиков и т.д.) позволяют за счет дивидендной политики перераспределять эту прибыль частным акционерам, которые не направляют ее ни на социальное-экономическое развитие территории, ни на осуществление внутреннего потребления, а выводят большую часть капиталов в офшоры. </w:t>
      </w:r>
    </w:p>
    <w:p w:rsidR="00D9749C" w:rsidRDefault="00D9749C" w:rsidP="00827E82">
      <w:pPr>
        <w:spacing w:after="0" w:line="252" w:lineRule="auto"/>
        <w:ind w:firstLine="425"/>
        <w:jc w:val="both"/>
        <w:rPr>
          <w:rFonts w:ascii="Times New Roman" w:hAnsi="Times New Roman" w:cs="Times New Roman"/>
          <w:i/>
        </w:rPr>
      </w:pPr>
    </w:p>
    <w:p w:rsidR="00827E82" w:rsidRPr="002422EA" w:rsidRDefault="00827E82" w:rsidP="00827E82">
      <w:pPr>
        <w:spacing w:after="0" w:line="252" w:lineRule="auto"/>
        <w:ind w:firstLine="425"/>
        <w:jc w:val="both"/>
        <w:rPr>
          <w:rFonts w:ascii="Times New Roman" w:hAnsi="Times New Roman" w:cs="Times New Roman"/>
          <w:b/>
        </w:rPr>
      </w:pPr>
      <w:r w:rsidRPr="002422EA">
        <w:rPr>
          <w:rFonts w:ascii="Times New Roman" w:hAnsi="Times New Roman" w:cs="Times New Roman"/>
          <w:b/>
        </w:rPr>
        <w:t>ЛИТЕРАТУРА</w:t>
      </w:r>
    </w:p>
    <w:p w:rsidR="00C35711" w:rsidRPr="00C35711" w:rsidRDefault="00C35711" w:rsidP="004F6F06">
      <w:pPr>
        <w:pStyle w:val="a7"/>
        <w:numPr>
          <w:ilvl w:val="0"/>
          <w:numId w:val="1"/>
        </w:numPr>
        <w:spacing w:after="0" w:line="276" w:lineRule="auto"/>
        <w:jc w:val="both"/>
        <w:rPr>
          <w:rFonts w:ascii="Times New Roman" w:eastAsia="Calibri" w:hAnsi="Times New Roman" w:cs="Times New Roman"/>
        </w:rPr>
      </w:pPr>
      <w:proofErr w:type="spellStart"/>
      <w:r w:rsidRPr="00C35711">
        <w:rPr>
          <w:rFonts w:ascii="Times New Roman" w:eastAsia="Calibri" w:hAnsi="Times New Roman" w:cs="Times New Roman"/>
        </w:rPr>
        <w:t>Печенская</w:t>
      </w:r>
      <w:proofErr w:type="spellEnd"/>
      <w:r w:rsidRPr="00C35711">
        <w:rPr>
          <w:rFonts w:ascii="Times New Roman" w:eastAsia="Calibri" w:hAnsi="Times New Roman" w:cs="Times New Roman"/>
        </w:rPr>
        <w:t>-Поли</w:t>
      </w:r>
      <w:r>
        <w:rPr>
          <w:rFonts w:ascii="Times New Roman" w:eastAsia="Calibri" w:hAnsi="Times New Roman" w:cs="Times New Roman"/>
        </w:rPr>
        <w:t>щук</w:t>
      </w:r>
      <w:r w:rsidRPr="00C35711">
        <w:rPr>
          <w:rFonts w:ascii="Times New Roman" w:eastAsia="Calibri" w:hAnsi="Times New Roman" w:cs="Times New Roman"/>
        </w:rPr>
        <w:t xml:space="preserve"> М.</w:t>
      </w:r>
      <w:r w:rsidR="004F6F06">
        <w:rPr>
          <w:rFonts w:ascii="Times New Roman" w:eastAsia="Calibri" w:hAnsi="Times New Roman" w:cs="Times New Roman"/>
        </w:rPr>
        <w:t> </w:t>
      </w:r>
      <w:r w:rsidRPr="00C35711">
        <w:rPr>
          <w:rFonts w:ascii="Times New Roman" w:eastAsia="Calibri" w:hAnsi="Times New Roman" w:cs="Times New Roman"/>
        </w:rPr>
        <w:t>А.</w:t>
      </w:r>
      <w:r>
        <w:rPr>
          <w:rFonts w:ascii="Times New Roman" w:eastAsia="Calibri" w:hAnsi="Times New Roman" w:cs="Times New Roman"/>
        </w:rPr>
        <w:t>, Малышев М.</w:t>
      </w:r>
      <w:r w:rsidR="004F6F06">
        <w:rPr>
          <w:rFonts w:ascii="Times New Roman" w:eastAsia="Calibri" w:hAnsi="Times New Roman" w:cs="Times New Roman"/>
        </w:rPr>
        <w:t> </w:t>
      </w:r>
      <w:r>
        <w:rPr>
          <w:rFonts w:ascii="Times New Roman" w:eastAsia="Calibri" w:hAnsi="Times New Roman" w:cs="Times New Roman"/>
        </w:rPr>
        <w:t>К.</w:t>
      </w:r>
      <w:r w:rsidRPr="00C35711">
        <w:rPr>
          <w:rFonts w:ascii="Times New Roman" w:eastAsia="Calibri" w:hAnsi="Times New Roman" w:cs="Times New Roman"/>
        </w:rPr>
        <w:t xml:space="preserve"> Металлургические корпорации и государство: тенденции финансового взаимодей</w:t>
      </w:r>
      <w:r>
        <w:rPr>
          <w:rFonts w:ascii="Times New Roman" w:eastAsia="Calibri" w:hAnsi="Times New Roman" w:cs="Times New Roman"/>
        </w:rPr>
        <w:t>ствия последнего десятилетия</w:t>
      </w:r>
      <w:r w:rsidRPr="00C35711">
        <w:rPr>
          <w:rFonts w:ascii="Times New Roman" w:eastAsia="Calibri" w:hAnsi="Times New Roman" w:cs="Times New Roman"/>
        </w:rPr>
        <w:t xml:space="preserve"> // Экономические и социальные перемены: факты, тенденции, прогноз. – 2021. – Т. 14. – № 3. – С. 150-166. – DOI 10.15838/esc.2021.3.75.9. </w:t>
      </w:r>
    </w:p>
    <w:p w:rsidR="00854770" w:rsidRPr="00AC7C57" w:rsidRDefault="004F6F06" w:rsidP="00AC7C57">
      <w:pPr>
        <w:numPr>
          <w:ilvl w:val="0"/>
          <w:numId w:val="1"/>
        </w:numPr>
        <w:tabs>
          <w:tab w:val="left" w:pos="0"/>
          <w:tab w:val="left" w:pos="1134"/>
        </w:tabs>
        <w:spacing w:after="0" w:line="276" w:lineRule="auto"/>
        <w:jc w:val="both"/>
        <w:rPr>
          <w:rFonts w:ascii="Times New Roman" w:eastAsia="Calibri" w:hAnsi="Times New Roman" w:cs="Times New Roman"/>
        </w:rPr>
      </w:pPr>
      <w:r>
        <w:rPr>
          <w:rFonts w:ascii="Times New Roman" w:eastAsia="Calibri" w:hAnsi="Times New Roman" w:cs="Times New Roman"/>
        </w:rPr>
        <w:t>Ильин В. </w:t>
      </w:r>
      <w:r w:rsidRPr="004F6F06">
        <w:rPr>
          <w:rFonts w:ascii="Times New Roman" w:eastAsia="Calibri" w:hAnsi="Times New Roman" w:cs="Times New Roman"/>
        </w:rPr>
        <w:t>А.</w:t>
      </w:r>
      <w:r>
        <w:rPr>
          <w:rFonts w:ascii="Times New Roman" w:eastAsia="Calibri" w:hAnsi="Times New Roman" w:cs="Times New Roman"/>
        </w:rPr>
        <w:t>, Поварова А. И</w:t>
      </w:r>
      <w:r w:rsidRPr="004F6F06">
        <w:rPr>
          <w:rFonts w:ascii="Times New Roman" w:eastAsia="Calibri" w:hAnsi="Times New Roman" w:cs="Times New Roman"/>
        </w:rPr>
        <w:t xml:space="preserve"> Крупнейшие металлургические корпорации и их роль в формировании бюджетных доходов : монограф</w:t>
      </w:r>
      <w:r>
        <w:rPr>
          <w:rFonts w:ascii="Times New Roman" w:eastAsia="Calibri" w:hAnsi="Times New Roman" w:cs="Times New Roman"/>
        </w:rPr>
        <w:t>ия</w:t>
      </w:r>
      <w:r w:rsidRPr="004F6F06">
        <w:rPr>
          <w:rFonts w:ascii="Times New Roman" w:eastAsia="Calibri" w:hAnsi="Times New Roman" w:cs="Times New Roman"/>
        </w:rPr>
        <w:t>. – Вологда : Вологодский научный центр Российской академии наук, 2019. – 204 с. – ISBN 978-5-93299-417-7. – EDN TNLWYY.</w:t>
      </w:r>
    </w:p>
    <w:sectPr w:rsidR="00854770" w:rsidRPr="00AC7C57" w:rsidSect="00827E82">
      <w:pgSz w:w="11906" w:h="16838"/>
      <w:pgMar w:top="2211" w:right="1985" w:bottom="2325"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9EC" w:rsidRDefault="002469EC" w:rsidP="00827E82">
      <w:pPr>
        <w:spacing w:after="0" w:line="240" w:lineRule="auto"/>
      </w:pPr>
      <w:r>
        <w:separator/>
      </w:r>
    </w:p>
  </w:endnote>
  <w:endnote w:type="continuationSeparator" w:id="0">
    <w:p w:rsidR="002469EC" w:rsidRDefault="002469EC" w:rsidP="0082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DejaVu Sans">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9EC" w:rsidRDefault="002469EC" w:rsidP="00827E82">
      <w:pPr>
        <w:spacing w:after="0" w:line="240" w:lineRule="auto"/>
      </w:pPr>
      <w:r>
        <w:separator/>
      </w:r>
    </w:p>
  </w:footnote>
  <w:footnote w:type="continuationSeparator" w:id="0">
    <w:p w:rsidR="002469EC" w:rsidRDefault="002469EC" w:rsidP="00827E82">
      <w:pPr>
        <w:spacing w:after="0" w:line="240" w:lineRule="auto"/>
      </w:pPr>
      <w:r>
        <w:continuationSeparator/>
      </w:r>
    </w:p>
  </w:footnote>
  <w:footnote w:id="1">
    <w:p w:rsidR="00D9749C" w:rsidRPr="00D9749C" w:rsidRDefault="00D9749C">
      <w:pPr>
        <w:pStyle w:val="a8"/>
        <w:rPr>
          <w:rFonts w:ascii="Times New Roman" w:hAnsi="Times New Roman" w:cs="Times New Roman"/>
        </w:rPr>
      </w:pPr>
      <w:r w:rsidRPr="00D9749C">
        <w:rPr>
          <w:rStyle w:val="a3"/>
          <w:rFonts w:ascii="Times New Roman" w:hAnsi="Times New Roman" w:cs="Times New Roman"/>
        </w:rPr>
        <w:footnoteRef/>
      </w:r>
      <w:r w:rsidRPr="00D9749C">
        <w:rPr>
          <w:rFonts w:ascii="Times New Roman" w:hAnsi="Times New Roman" w:cs="Times New Roman"/>
        </w:rPr>
        <w:t xml:space="preserve"> </w:t>
      </w:r>
      <w:r w:rsidRPr="00D9749C">
        <w:rPr>
          <w:rFonts w:ascii="Times New Roman" w:hAnsi="Times New Roman" w:cs="Times New Roman"/>
        </w:rPr>
        <w:t>Палкина Дарья Сергеевна, инженер-исследователь, ФГБУН ВолНЦ РАН (Адрес: 160014, Россия, г. Вологда, ул. Горького, д. 56а; palkina.darya2014@yandex.ru).</w:t>
      </w:r>
    </w:p>
  </w:footnote>
  <w:footnote w:id="2">
    <w:p w:rsidR="00D9749C" w:rsidRPr="00D9749C" w:rsidRDefault="00D9749C">
      <w:pPr>
        <w:pStyle w:val="a8"/>
        <w:rPr>
          <w:rFonts w:ascii="Times New Roman" w:hAnsi="Times New Roman" w:cs="Times New Roman"/>
        </w:rPr>
      </w:pPr>
      <w:r w:rsidRPr="00D9749C">
        <w:rPr>
          <w:rFonts w:ascii="Times New Roman" w:hAnsi="Times New Roman" w:cs="Times New Roman"/>
          <w:vertAlign w:val="superscript"/>
        </w:rPr>
        <w:footnoteRef/>
      </w:r>
      <w:r w:rsidRPr="00D9749C">
        <w:rPr>
          <w:rFonts w:ascii="Times New Roman" w:hAnsi="Times New Roman" w:cs="Times New Roman"/>
        </w:rPr>
        <w:t xml:space="preserve"> Официальный сайт «Единая межведомственная информационно-статистическая система» </w:t>
      </w:r>
      <w:r w:rsidRPr="00D9749C">
        <w:rPr>
          <w:rFonts w:ascii="Times New Roman" w:hAnsi="Times New Roman" w:cs="Times New Roman"/>
        </w:rPr>
        <w:t>[Электронный ресурс]. URL:</w:t>
      </w:r>
      <w:r w:rsidRPr="00D9749C">
        <w:rPr>
          <w:rFonts w:ascii="Times New Roman" w:hAnsi="Times New Roman" w:cs="Times New Roman"/>
        </w:rPr>
        <w:t xml:space="preserve"> https://www.fedstat.ru/</w:t>
      </w:r>
    </w:p>
  </w:footnote>
  <w:footnote w:id="3">
    <w:p w:rsidR="00AC7C57" w:rsidRPr="00AC7C57" w:rsidRDefault="00AC7C57" w:rsidP="00AC7C57">
      <w:pPr>
        <w:pStyle w:val="a8"/>
        <w:jc w:val="both"/>
        <w:rPr>
          <w:rFonts w:ascii="Times New Roman" w:hAnsi="Times New Roman" w:cs="Times New Roman"/>
        </w:rPr>
      </w:pPr>
      <w:r w:rsidRPr="00AC7C57">
        <w:rPr>
          <w:rStyle w:val="a3"/>
          <w:rFonts w:ascii="Times New Roman" w:hAnsi="Times New Roman" w:cs="Times New Roman"/>
        </w:rPr>
        <w:footnoteRef/>
      </w:r>
      <w:r w:rsidRPr="00AC7C57">
        <w:rPr>
          <w:rFonts w:ascii="Times New Roman" w:hAnsi="Times New Roman" w:cs="Times New Roman"/>
        </w:rPr>
        <w:t xml:space="preserve"> Официальный сайт «Федеральная служба государственной статистике» [Электронный ресурс]. URL:  https://rosstat.gov.ru/compendium</w:t>
      </w:r>
    </w:p>
  </w:footnote>
  <w:footnote w:id="4">
    <w:p w:rsidR="00D9749C" w:rsidRDefault="00D9749C">
      <w:pPr>
        <w:pStyle w:val="a8"/>
      </w:pPr>
      <w:r>
        <w:rPr>
          <w:rStyle w:val="a3"/>
        </w:rPr>
        <w:footnoteRef/>
      </w:r>
      <w:r>
        <w:t xml:space="preserve"> </w:t>
      </w:r>
      <w:r>
        <w:rPr>
          <w:rFonts w:ascii="Times New Roman" w:hAnsi="Times New Roman" w:cs="Times New Roman"/>
        </w:rPr>
        <w:t>Официальный сайт «Федеральное</w:t>
      </w:r>
      <w:r w:rsidRPr="00AC7C57">
        <w:rPr>
          <w:rFonts w:ascii="Times New Roman" w:hAnsi="Times New Roman" w:cs="Times New Roman"/>
        </w:rPr>
        <w:t xml:space="preserve"> </w:t>
      </w:r>
      <w:r>
        <w:rPr>
          <w:rFonts w:ascii="Times New Roman" w:hAnsi="Times New Roman" w:cs="Times New Roman"/>
        </w:rPr>
        <w:t xml:space="preserve">казначейство» [Электронный ресурс]. URL: </w:t>
      </w:r>
      <w:r w:rsidRPr="00D9749C">
        <w:rPr>
          <w:rFonts w:ascii="Times New Roman" w:hAnsi="Times New Roman" w:cs="Times New Roman"/>
        </w:rPr>
        <w:t>https://roskazna.gov.ru/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3B01"/>
    <w:multiLevelType w:val="hybridMultilevel"/>
    <w:tmpl w:val="949A4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306717"/>
    <w:multiLevelType w:val="hybridMultilevel"/>
    <w:tmpl w:val="58F639EA"/>
    <w:lvl w:ilvl="0" w:tplc="30F228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5EE65B3D"/>
    <w:multiLevelType w:val="hybridMultilevel"/>
    <w:tmpl w:val="E6A26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82"/>
    <w:rsid w:val="00093BEC"/>
    <w:rsid w:val="00131672"/>
    <w:rsid w:val="00180219"/>
    <w:rsid w:val="002469EC"/>
    <w:rsid w:val="0044325D"/>
    <w:rsid w:val="004F6F06"/>
    <w:rsid w:val="005F5AF9"/>
    <w:rsid w:val="00787640"/>
    <w:rsid w:val="007D79E0"/>
    <w:rsid w:val="00827E82"/>
    <w:rsid w:val="00854770"/>
    <w:rsid w:val="008D4B75"/>
    <w:rsid w:val="00916BF7"/>
    <w:rsid w:val="00AC7C57"/>
    <w:rsid w:val="00BC155A"/>
    <w:rsid w:val="00BC48A2"/>
    <w:rsid w:val="00C35711"/>
    <w:rsid w:val="00C46882"/>
    <w:rsid w:val="00D9749C"/>
    <w:rsid w:val="00E53CD7"/>
    <w:rsid w:val="00EA4672"/>
    <w:rsid w:val="00F22E5A"/>
    <w:rsid w:val="00F72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72"/>
  </w:style>
  <w:style w:type="paragraph" w:styleId="1">
    <w:name w:val="heading 1"/>
    <w:basedOn w:val="a"/>
    <w:next w:val="a"/>
    <w:link w:val="10"/>
    <w:uiPriority w:val="9"/>
    <w:qFormat/>
    <w:rsid w:val="00827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uiPriority w:val="99"/>
    <w:locked/>
    <w:rsid w:val="00827E82"/>
    <w:rPr>
      <w:rFonts w:ascii="Times New Roman" w:hAnsi="Times New Roman" w:cs="Times New Roman"/>
      <w:b/>
      <w:bCs/>
      <w:spacing w:val="-7"/>
      <w:sz w:val="24"/>
      <w:szCs w:val="31"/>
      <w:shd w:val="clear" w:color="auto" w:fill="FFFFFF"/>
    </w:rPr>
  </w:style>
  <w:style w:type="paragraph" w:customStyle="1" w:styleId="12">
    <w:name w:val="Заголовок №1"/>
    <w:basedOn w:val="a"/>
    <w:link w:val="11"/>
    <w:uiPriority w:val="99"/>
    <w:qFormat/>
    <w:rsid w:val="00827E82"/>
    <w:pPr>
      <w:widowControl w:val="0"/>
      <w:shd w:val="clear" w:color="auto" w:fill="FFFFFF"/>
      <w:spacing w:after="0" w:line="365" w:lineRule="exact"/>
      <w:ind w:firstLine="425"/>
      <w:jc w:val="right"/>
      <w:outlineLvl w:val="0"/>
    </w:pPr>
    <w:rPr>
      <w:rFonts w:ascii="Times New Roman" w:hAnsi="Times New Roman" w:cs="Times New Roman"/>
      <w:b/>
      <w:bCs/>
      <w:spacing w:val="-7"/>
      <w:sz w:val="24"/>
      <w:szCs w:val="31"/>
    </w:rPr>
  </w:style>
  <w:style w:type="character" w:styleId="a3">
    <w:name w:val="footnote reference"/>
    <w:aliases w:val="Знак сноски-FN,Ciae niinee-FN,Знак сноски 1,Referencia nota al pie,SUPERS,анкета сноска,fr,Ciae niinee 1,Footnote symbol,Footnote Reference Number,Used by Word for Help footnote symbols,Çíàê ñíîñêè-FN,Çíàê ñíîñêè 1,текст сноски,-++ Знак Знак"/>
    <w:basedOn w:val="a0"/>
    <w:uiPriority w:val="99"/>
    <w:unhideWhenUsed/>
    <w:rsid w:val="00827E82"/>
    <w:rPr>
      <w:vertAlign w:val="superscript"/>
    </w:rPr>
  </w:style>
  <w:style w:type="paragraph" w:customStyle="1" w:styleId="123">
    <w:name w:val="Заголовок123"/>
    <w:basedOn w:val="1"/>
    <w:link w:val="1230"/>
    <w:qFormat/>
    <w:rsid w:val="00827E82"/>
    <w:pPr>
      <w:spacing w:before="0" w:line="360" w:lineRule="auto"/>
      <w:ind w:firstLine="425"/>
      <w:jc w:val="center"/>
    </w:pPr>
    <w:rPr>
      <w:rFonts w:ascii="Times New Roman" w:hAnsi="Times New Roman"/>
      <w:b/>
      <w:snapToGrid w:val="0"/>
      <w:color w:val="000000" w:themeColor="text1"/>
      <w:sz w:val="24"/>
      <w:lang w:eastAsia="ru-RU"/>
    </w:rPr>
  </w:style>
  <w:style w:type="character" w:customStyle="1" w:styleId="1230">
    <w:name w:val="Заголовок123 Знак"/>
    <w:basedOn w:val="a0"/>
    <w:link w:val="123"/>
    <w:rsid w:val="00827E82"/>
    <w:rPr>
      <w:rFonts w:ascii="Times New Roman" w:eastAsiaTheme="majorEastAsia" w:hAnsi="Times New Roman" w:cstheme="majorBidi"/>
      <w:b/>
      <w:snapToGrid w:val="0"/>
      <w:color w:val="000000" w:themeColor="text1"/>
      <w:sz w:val="24"/>
      <w:szCs w:val="32"/>
      <w:lang w:eastAsia="ru-RU"/>
    </w:rPr>
  </w:style>
  <w:style w:type="character" w:customStyle="1" w:styleId="10">
    <w:name w:val="Заголовок 1 Знак"/>
    <w:basedOn w:val="a0"/>
    <w:link w:val="1"/>
    <w:uiPriority w:val="9"/>
    <w:rsid w:val="00827E82"/>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C468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6882"/>
    <w:rPr>
      <w:rFonts w:ascii="Tahoma" w:hAnsi="Tahoma" w:cs="Tahoma"/>
      <w:sz w:val="16"/>
      <w:szCs w:val="16"/>
    </w:rPr>
  </w:style>
  <w:style w:type="paragraph" w:styleId="a6">
    <w:name w:val="Normal (Web)"/>
    <w:basedOn w:val="a"/>
    <w:uiPriority w:val="99"/>
    <w:unhideWhenUsed/>
    <w:rsid w:val="00E53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722C4"/>
    <w:pPr>
      <w:ind w:left="720"/>
      <w:contextualSpacing/>
    </w:pPr>
  </w:style>
  <w:style w:type="character" w:customStyle="1" w:styleId="fontstyle01">
    <w:name w:val="fontstyle01"/>
    <w:basedOn w:val="a0"/>
    <w:rsid w:val="00BC48A2"/>
    <w:rPr>
      <w:rFonts w:ascii="Times New Roman" w:hAnsi="Times New Roman" w:cs="Times New Roman" w:hint="default"/>
      <w:b w:val="0"/>
      <w:bCs w:val="0"/>
      <w:i w:val="0"/>
      <w:iCs w:val="0"/>
      <w:color w:val="000000"/>
      <w:sz w:val="30"/>
      <w:szCs w:val="30"/>
    </w:rPr>
  </w:style>
  <w:style w:type="paragraph" w:styleId="a8">
    <w:name w:val="footnote text"/>
    <w:basedOn w:val="a"/>
    <w:link w:val="a9"/>
    <w:uiPriority w:val="99"/>
    <w:semiHidden/>
    <w:unhideWhenUsed/>
    <w:rsid w:val="00AC7C57"/>
    <w:pPr>
      <w:spacing w:after="0" w:line="240" w:lineRule="auto"/>
    </w:pPr>
    <w:rPr>
      <w:sz w:val="20"/>
      <w:szCs w:val="20"/>
    </w:rPr>
  </w:style>
  <w:style w:type="character" w:customStyle="1" w:styleId="a9">
    <w:name w:val="Текст сноски Знак"/>
    <w:basedOn w:val="a0"/>
    <w:link w:val="a8"/>
    <w:uiPriority w:val="99"/>
    <w:semiHidden/>
    <w:rsid w:val="00AC7C5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72"/>
  </w:style>
  <w:style w:type="paragraph" w:styleId="1">
    <w:name w:val="heading 1"/>
    <w:basedOn w:val="a"/>
    <w:next w:val="a"/>
    <w:link w:val="10"/>
    <w:uiPriority w:val="9"/>
    <w:qFormat/>
    <w:rsid w:val="00827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uiPriority w:val="99"/>
    <w:locked/>
    <w:rsid w:val="00827E82"/>
    <w:rPr>
      <w:rFonts w:ascii="Times New Roman" w:hAnsi="Times New Roman" w:cs="Times New Roman"/>
      <w:b/>
      <w:bCs/>
      <w:spacing w:val="-7"/>
      <w:sz w:val="24"/>
      <w:szCs w:val="31"/>
      <w:shd w:val="clear" w:color="auto" w:fill="FFFFFF"/>
    </w:rPr>
  </w:style>
  <w:style w:type="paragraph" w:customStyle="1" w:styleId="12">
    <w:name w:val="Заголовок №1"/>
    <w:basedOn w:val="a"/>
    <w:link w:val="11"/>
    <w:uiPriority w:val="99"/>
    <w:qFormat/>
    <w:rsid w:val="00827E82"/>
    <w:pPr>
      <w:widowControl w:val="0"/>
      <w:shd w:val="clear" w:color="auto" w:fill="FFFFFF"/>
      <w:spacing w:after="0" w:line="365" w:lineRule="exact"/>
      <w:ind w:firstLine="425"/>
      <w:jc w:val="right"/>
      <w:outlineLvl w:val="0"/>
    </w:pPr>
    <w:rPr>
      <w:rFonts w:ascii="Times New Roman" w:hAnsi="Times New Roman" w:cs="Times New Roman"/>
      <w:b/>
      <w:bCs/>
      <w:spacing w:val="-7"/>
      <w:sz w:val="24"/>
      <w:szCs w:val="31"/>
    </w:rPr>
  </w:style>
  <w:style w:type="character" w:styleId="a3">
    <w:name w:val="footnote reference"/>
    <w:aliases w:val="Знак сноски-FN,Ciae niinee-FN,Знак сноски 1,Referencia nota al pie,SUPERS,анкета сноска,fr,Ciae niinee 1,Footnote symbol,Footnote Reference Number,Used by Word for Help footnote symbols,Çíàê ñíîñêè-FN,Çíàê ñíîñêè 1,текст сноски,-++ Знак Знак"/>
    <w:basedOn w:val="a0"/>
    <w:uiPriority w:val="99"/>
    <w:unhideWhenUsed/>
    <w:rsid w:val="00827E82"/>
    <w:rPr>
      <w:vertAlign w:val="superscript"/>
    </w:rPr>
  </w:style>
  <w:style w:type="paragraph" w:customStyle="1" w:styleId="123">
    <w:name w:val="Заголовок123"/>
    <w:basedOn w:val="1"/>
    <w:link w:val="1230"/>
    <w:qFormat/>
    <w:rsid w:val="00827E82"/>
    <w:pPr>
      <w:spacing w:before="0" w:line="360" w:lineRule="auto"/>
      <w:ind w:firstLine="425"/>
      <w:jc w:val="center"/>
    </w:pPr>
    <w:rPr>
      <w:rFonts w:ascii="Times New Roman" w:hAnsi="Times New Roman"/>
      <w:b/>
      <w:snapToGrid w:val="0"/>
      <w:color w:val="000000" w:themeColor="text1"/>
      <w:sz w:val="24"/>
      <w:lang w:eastAsia="ru-RU"/>
    </w:rPr>
  </w:style>
  <w:style w:type="character" w:customStyle="1" w:styleId="1230">
    <w:name w:val="Заголовок123 Знак"/>
    <w:basedOn w:val="a0"/>
    <w:link w:val="123"/>
    <w:rsid w:val="00827E82"/>
    <w:rPr>
      <w:rFonts w:ascii="Times New Roman" w:eastAsiaTheme="majorEastAsia" w:hAnsi="Times New Roman" w:cstheme="majorBidi"/>
      <w:b/>
      <w:snapToGrid w:val="0"/>
      <w:color w:val="000000" w:themeColor="text1"/>
      <w:sz w:val="24"/>
      <w:szCs w:val="32"/>
      <w:lang w:eastAsia="ru-RU"/>
    </w:rPr>
  </w:style>
  <w:style w:type="character" w:customStyle="1" w:styleId="10">
    <w:name w:val="Заголовок 1 Знак"/>
    <w:basedOn w:val="a0"/>
    <w:link w:val="1"/>
    <w:uiPriority w:val="9"/>
    <w:rsid w:val="00827E82"/>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C468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6882"/>
    <w:rPr>
      <w:rFonts w:ascii="Tahoma" w:hAnsi="Tahoma" w:cs="Tahoma"/>
      <w:sz w:val="16"/>
      <w:szCs w:val="16"/>
    </w:rPr>
  </w:style>
  <w:style w:type="paragraph" w:styleId="a6">
    <w:name w:val="Normal (Web)"/>
    <w:basedOn w:val="a"/>
    <w:uiPriority w:val="99"/>
    <w:unhideWhenUsed/>
    <w:rsid w:val="00E53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722C4"/>
    <w:pPr>
      <w:ind w:left="720"/>
      <w:contextualSpacing/>
    </w:pPr>
  </w:style>
  <w:style w:type="character" w:customStyle="1" w:styleId="fontstyle01">
    <w:name w:val="fontstyle01"/>
    <w:basedOn w:val="a0"/>
    <w:rsid w:val="00BC48A2"/>
    <w:rPr>
      <w:rFonts w:ascii="Times New Roman" w:hAnsi="Times New Roman" w:cs="Times New Roman" w:hint="default"/>
      <w:b w:val="0"/>
      <w:bCs w:val="0"/>
      <w:i w:val="0"/>
      <w:iCs w:val="0"/>
      <w:color w:val="000000"/>
      <w:sz w:val="30"/>
      <w:szCs w:val="30"/>
    </w:rPr>
  </w:style>
  <w:style w:type="paragraph" w:styleId="a8">
    <w:name w:val="footnote text"/>
    <w:basedOn w:val="a"/>
    <w:link w:val="a9"/>
    <w:uiPriority w:val="99"/>
    <w:semiHidden/>
    <w:unhideWhenUsed/>
    <w:rsid w:val="00AC7C57"/>
    <w:pPr>
      <w:spacing w:after="0" w:line="240" w:lineRule="auto"/>
    </w:pPr>
    <w:rPr>
      <w:sz w:val="20"/>
      <w:szCs w:val="20"/>
    </w:rPr>
  </w:style>
  <w:style w:type="character" w:customStyle="1" w:styleId="a9">
    <w:name w:val="Текст сноски Знак"/>
    <w:basedOn w:val="a0"/>
    <w:link w:val="a8"/>
    <w:uiPriority w:val="99"/>
    <w:semiHidden/>
    <w:rsid w:val="00AC7C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1B25-567B-4069-A95D-844CF8E7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Георгиевна Леонидова</dc:creator>
  <cp:lastModifiedBy>Дарья Сергеевна Палкина</cp:lastModifiedBy>
  <cp:revision>5</cp:revision>
  <dcterms:created xsi:type="dcterms:W3CDTF">2022-05-06T06:18:00Z</dcterms:created>
  <dcterms:modified xsi:type="dcterms:W3CDTF">2022-05-06T10:08:00Z</dcterms:modified>
</cp:coreProperties>
</file>