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CEEA4" w14:textId="4254F230" w:rsidR="00827E82" w:rsidRPr="002422EA" w:rsidRDefault="00557B1B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 xml:space="preserve">Огородникова </w:t>
      </w:r>
      <w:proofErr w:type="gramStart"/>
      <w:r>
        <w:rPr>
          <w:lang w:eastAsia="ru-RU"/>
        </w:rPr>
        <w:t>Е.С.</w:t>
      </w:r>
      <w:proofErr w:type="gramEnd"/>
      <w:r w:rsidRPr="00557B1B">
        <w:rPr>
          <w:rFonts w:asciiTheme="majorHAnsi" w:hAnsiTheme="majorHAnsi"/>
          <w:caps/>
          <w:szCs w:val="24"/>
          <w:vertAlign w:val="superscript"/>
        </w:rPr>
        <w:t xml:space="preserve"> </w:t>
      </w:r>
      <w:r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r>
        <w:rPr>
          <w:lang w:eastAsia="ru-RU"/>
        </w:rPr>
        <w:t xml:space="preserve"> Ростовцев К.В.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2"/>
        <w:t>1</w:t>
      </w:r>
      <w:bookmarkEnd w:id="0"/>
    </w:p>
    <w:p w14:paraId="2FDBB005" w14:textId="77777777"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14:paraId="19FC6A43" w14:textId="5C70AB59" w:rsidR="00827E82" w:rsidRPr="002422EA" w:rsidRDefault="004A0EAD" w:rsidP="00827E82">
      <w:pPr>
        <w:pStyle w:val="123"/>
        <w:rPr>
          <w:rFonts w:eastAsia="Times New Roman"/>
        </w:rPr>
      </w:pPr>
      <w:r w:rsidRPr="004A0EAD">
        <w:rPr>
          <w:rFonts w:eastAsia="Times New Roman"/>
        </w:rPr>
        <w:t>М</w:t>
      </w:r>
      <w:r w:rsidRPr="004A0EAD">
        <w:rPr>
          <w:rFonts w:eastAsia="Times New Roman"/>
        </w:rPr>
        <w:t xml:space="preserve">еры институционального стимулирования формирования гибридной модели организационно-экономического механизма сферы социальных услуг </w:t>
      </w:r>
    </w:p>
    <w:p w14:paraId="038559E5" w14:textId="77777777"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14:paraId="2DD65998" w14:textId="2C5F6D0D"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4A0EAD">
        <w:rPr>
          <w:rFonts w:ascii="Times New Roman" w:hAnsi="Times New Roman" w:cs="Times New Roman"/>
          <w:i/>
        </w:rPr>
        <w:t xml:space="preserve">Статья посвящена вопросам поиска эффективных мер институционального стимулирования формирования гибридной модели сферы социальных услуг в целях повышения аллокативной эффективности функционирования производителей. Выделены направления масштабирования мер финансовой поддержки и обучения субъектов предпринимательства как наиболее </w:t>
      </w:r>
      <w:r w:rsidR="00764B3A">
        <w:rPr>
          <w:rFonts w:ascii="Times New Roman" w:hAnsi="Times New Roman" w:cs="Times New Roman"/>
          <w:i/>
        </w:rPr>
        <w:t>результативные.</w:t>
      </w:r>
    </w:p>
    <w:p w14:paraId="1337E6ED" w14:textId="6F51D1F8"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4A0EAD">
        <w:rPr>
          <w:rFonts w:ascii="Times New Roman" w:hAnsi="Times New Roman" w:cs="Times New Roman"/>
          <w:i/>
        </w:rPr>
        <w:t xml:space="preserve">социальные услуги, организационно-экономический механизм, </w:t>
      </w:r>
      <w:r w:rsidR="00764B3A">
        <w:rPr>
          <w:rFonts w:ascii="Times New Roman" w:hAnsi="Times New Roman" w:cs="Times New Roman"/>
          <w:i/>
        </w:rPr>
        <w:t xml:space="preserve">институциональное стимулирование, меры поддержки, обучение. </w:t>
      </w:r>
    </w:p>
    <w:p w14:paraId="3B2DE527" w14:textId="77777777" w:rsidR="00764B3A" w:rsidRDefault="00764B3A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6D4EDF06" w14:textId="77777777" w:rsidR="00764B3A" w:rsidRDefault="00764B3A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7CA75C0C" w14:textId="3C6BFC69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 xml:space="preserve">Модификация направления институционального стимулирования формирования гибридной модели сферы социальных услуг на основании принципов аллокативной эффективности нуждается в определении целевой составляющей данного процесса. Анализ научных работ по данной тематике позволяет выявить ряд инструментов повышения аллокативной эффективности деятельности хозяйствующего субъекта. Так в работе Н.А. </w:t>
      </w:r>
      <w:proofErr w:type="gramStart"/>
      <w:r w:rsidRPr="00557B1B">
        <w:rPr>
          <w:rFonts w:ascii="Times New Roman" w:hAnsi="Times New Roman" w:cs="Times New Roman"/>
        </w:rPr>
        <w:t xml:space="preserve">Полянской  </w:t>
      </w:r>
      <w:r w:rsidR="00764B3A" w:rsidRPr="00764B3A">
        <w:rPr>
          <w:rFonts w:ascii="Times New Roman" w:hAnsi="Times New Roman" w:cs="Times New Roman"/>
        </w:rPr>
        <w:t>[</w:t>
      </w:r>
      <w:proofErr w:type="gramEnd"/>
      <w:r w:rsidR="00764B3A" w:rsidRPr="00764B3A">
        <w:rPr>
          <w:rFonts w:ascii="Times New Roman" w:hAnsi="Times New Roman" w:cs="Times New Roman"/>
        </w:rPr>
        <w:t>1]</w:t>
      </w:r>
      <w:r w:rsidRPr="00557B1B">
        <w:rPr>
          <w:rFonts w:ascii="Times New Roman" w:hAnsi="Times New Roman" w:cs="Times New Roman"/>
        </w:rPr>
        <w:t xml:space="preserve"> отмечено, что ««</w:t>
      </w:r>
      <w:proofErr w:type="spellStart"/>
      <w:r w:rsidRPr="00557B1B">
        <w:rPr>
          <w:rFonts w:ascii="Times New Roman" w:hAnsi="Times New Roman" w:cs="Times New Roman"/>
        </w:rPr>
        <w:t>нересурсные</w:t>
      </w:r>
      <w:proofErr w:type="spellEnd"/>
      <w:r w:rsidRPr="00557B1B">
        <w:rPr>
          <w:rFonts w:ascii="Times New Roman" w:hAnsi="Times New Roman" w:cs="Times New Roman"/>
        </w:rPr>
        <w:t>» факторы роста, то есть не затраты труда и капитала, а изменения в технологии, обучение рабочей силы и пр., являются более значимыми для достижения эффективности. Они обеспечивают от 50 до 80% экономического роста на предприятиях».</w:t>
      </w:r>
    </w:p>
    <w:p w14:paraId="3B832408" w14:textId="2026CD85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 xml:space="preserve">Актуальными системными задачами по развитию гибридной модели организационно-экономического механизма сферы социальных услуг с точки зрения институционального регулятора является стимулирование цифровизации процессов связанных с оказанием социальных услуг, поскольку данный метод имеет общесистемную основу, повышающую аллокативную эффективность за счет ускорения информационного обмена </w:t>
      </w:r>
      <w:r w:rsidR="00764B3A" w:rsidRPr="00764B3A">
        <w:rPr>
          <w:rFonts w:ascii="Times New Roman" w:hAnsi="Times New Roman" w:cs="Times New Roman"/>
        </w:rPr>
        <w:t>[2]</w:t>
      </w:r>
      <w:r w:rsidRPr="00557B1B">
        <w:rPr>
          <w:rFonts w:ascii="Times New Roman" w:hAnsi="Times New Roman" w:cs="Times New Roman"/>
        </w:rPr>
        <w:t>.</w:t>
      </w:r>
    </w:p>
    <w:p w14:paraId="310A217F" w14:textId="1A38FB8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 xml:space="preserve">В статье </w:t>
      </w:r>
      <w:proofErr w:type="gramStart"/>
      <w:r w:rsidRPr="00557B1B">
        <w:rPr>
          <w:rFonts w:ascii="Times New Roman" w:hAnsi="Times New Roman" w:cs="Times New Roman"/>
        </w:rPr>
        <w:t>Е.В.</w:t>
      </w:r>
      <w:proofErr w:type="gramEnd"/>
      <w:r w:rsidRPr="00557B1B">
        <w:rPr>
          <w:rFonts w:ascii="Times New Roman" w:hAnsi="Times New Roman" w:cs="Times New Roman"/>
        </w:rPr>
        <w:t xml:space="preserve"> </w:t>
      </w:r>
      <w:proofErr w:type="spellStart"/>
      <w:r w:rsidRPr="00557B1B">
        <w:rPr>
          <w:rFonts w:ascii="Times New Roman" w:hAnsi="Times New Roman" w:cs="Times New Roman"/>
        </w:rPr>
        <w:t>Воловой</w:t>
      </w:r>
      <w:proofErr w:type="spellEnd"/>
      <w:r w:rsidRPr="00557B1B">
        <w:rPr>
          <w:rFonts w:ascii="Times New Roman" w:hAnsi="Times New Roman" w:cs="Times New Roman"/>
        </w:rPr>
        <w:t xml:space="preserve"> и О.В. Асму</w:t>
      </w:r>
      <w:r w:rsidR="00BC077D">
        <w:rPr>
          <w:rFonts w:ascii="Times New Roman" w:hAnsi="Times New Roman" w:cs="Times New Roman"/>
        </w:rPr>
        <w:t>с</w:t>
      </w:r>
      <w:r w:rsidR="00764B3A" w:rsidRPr="00764B3A">
        <w:rPr>
          <w:rFonts w:ascii="Times New Roman" w:hAnsi="Times New Roman" w:cs="Times New Roman"/>
        </w:rPr>
        <w:t xml:space="preserve"> [3]</w:t>
      </w:r>
      <w:r w:rsidRPr="00557B1B">
        <w:rPr>
          <w:rFonts w:ascii="Times New Roman" w:hAnsi="Times New Roman" w:cs="Times New Roman"/>
        </w:rPr>
        <w:t xml:space="preserve"> предложено создавать экспериментальные площадки для разработки новых социальных технологий, авторы считают, что «действенным механизмом развития конкуренции на рынке социальных услуг является государственно-частное партнёрство либо управляемое предпринимательство. В его основе должны лежать проекты по отработке новых социальных технологий и подходов в сфере социальных услуг, а также расширение спектра услуг с предоставлением по данному направлению грантов».</w:t>
      </w:r>
    </w:p>
    <w:p w14:paraId="6CB3CFC3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lastRenderedPageBreak/>
        <w:t>Среди задач формирования гибридной модели организационно-экономического механизма сферы социальных услуг необходимо выделить:</w:t>
      </w:r>
    </w:p>
    <w:p w14:paraId="493668BF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формирование более полных данных о состоянии конкурентной среды в сфере социальных услуг, а также оценку удовлетворенности потребителей качеством товаров, работ, услуг и состоянием ценовой конкуренции;</w:t>
      </w:r>
    </w:p>
    <w:p w14:paraId="475D396F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организацию работы при разработке проектов правовых актов, а также иных документов и информации, подготавливаемых в целях стимулирования развития конкуренции;</w:t>
      </w:r>
    </w:p>
    <w:p w14:paraId="5E712D31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более активное участие в корректировке существующих программ и проектов в сфере развития негосударственного сектора социальных услуг;</w:t>
      </w:r>
    </w:p>
    <w:p w14:paraId="36DF90C9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более активное взаимодействие с территориальными органами федеральных органов исполнительной власти, общественными объединениями;</w:t>
      </w:r>
    </w:p>
    <w:p w14:paraId="39C23CA5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усиление работы по фактам существования неформального рынка социальных услуг;</w:t>
      </w:r>
    </w:p>
    <w:p w14:paraId="6B9D66AC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повышения прозрачности системы государственного финансирования социальных услуг;</w:t>
      </w:r>
    </w:p>
    <w:p w14:paraId="1078C16F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усиление работы по фактам деятельности интернет-сайтов, предлагающих медицинские услуги организаций, не имеющих соответствующих лицензий;</w:t>
      </w:r>
    </w:p>
    <w:p w14:paraId="03A17700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 xml:space="preserve">- совершенствование процедур лицензирования деятельности в сферах образования и здравоохранения;  </w:t>
      </w:r>
    </w:p>
    <w:p w14:paraId="645EECE6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совершенствование процедуры выделения государством земельных участков под строительство объектов социальной инфраструктуры;</w:t>
      </w:r>
    </w:p>
    <w:p w14:paraId="28B332B6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проведение широкой разъяснительной работы в части налоговой политики для негосударственных субъектов сферы социальных услуг;</w:t>
      </w:r>
    </w:p>
    <w:p w14:paraId="7DAD2CF5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- решение проблем нормативного регулирования рынка социальных услуг и отсутствия необходимых стандартов оценки/контроля социальных услуг.</w:t>
      </w:r>
    </w:p>
    <w:p w14:paraId="56A678EF" w14:textId="01EC8B8A" w:rsidR="005F5AF9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Можно сделать выводы о высокой результативности применения мер финансовой поддержки к негосударственным субъектам производителям социальных услуг. В рамках данного направления ключевой задачей является повышение доступности финансовых ресурсов для всех категорий получателей. Развитие системы гарантийной поддержки и поручительства по банковским кредитам для негосударственных субъектов сферы социальных услуг в виде предоставления поручительства в качестве обеспечения исполнения их обязательств по кредитам коммерческих банков – один из приоритетных механизмов государственной финансовой поддержки. Развитие этого механизма обеспечит разделение рисков невозврата кредита между всеми участниками финансово-кредитных отношений, облегчит доступ субъектов к ресурсам коммерческих банков.</w:t>
      </w:r>
    </w:p>
    <w:p w14:paraId="47165A6C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 xml:space="preserve">Необходимо совершенствование программ обучения начинающих предпринимателей, необходимо адаптировать программы обучения в рамках отраслевой специфики будущего бизнеса, уделив большее внимание вопросам технологии, применения современных инновационных технологий работы, что позволит предпринимателям занять лучшую отраслевую позицию по сравнению с действующими участниками. Необходимо масштабирование обучения с целью охвата большего количества предпринимателей, для этого необходимо начинать формирование с общеобразовательных учреждений посредством: введения факультативов по основам предпринимательской деятельности, проведения встреч с успешными предпринимателями, организации экскурсионных поездок на действующие предприятия, </w:t>
      </w:r>
      <w:r w:rsidRPr="00557B1B">
        <w:rPr>
          <w:rFonts w:ascii="Times New Roman" w:hAnsi="Times New Roman" w:cs="Times New Roman"/>
        </w:rPr>
        <w:lastRenderedPageBreak/>
        <w:t xml:space="preserve">проведения профильных бизнес-лагерей, организации и проведения тематических конкурсов/олимпиад среди старшеклассников. Возможна популяризация предпринимательской деятельности путем привлечения успешных предпринимателей к общественной и образовательной деятельности, введения в образовательные программы дисциплин, посвященных социальному предпринимательству, создание наглядных информационных материалов, знаков отличия и </w:t>
      </w:r>
      <w:proofErr w:type="gramStart"/>
      <w:r w:rsidRPr="00557B1B">
        <w:rPr>
          <w:rFonts w:ascii="Times New Roman" w:hAnsi="Times New Roman" w:cs="Times New Roman"/>
        </w:rPr>
        <w:t>т.п.</w:t>
      </w:r>
      <w:proofErr w:type="gramEnd"/>
      <w:r w:rsidRPr="00557B1B">
        <w:rPr>
          <w:rFonts w:ascii="Times New Roman" w:hAnsi="Times New Roman" w:cs="Times New Roman"/>
        </w:rPr>
        <w:t xml:space="preserve">, олицетворяющих общественное признание предпринимательской деятельности. </w:t>
      </w:r>
    </w:p>
    <w:p w14:paraId="3F97B022" w14:textId="77777777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Необходимо использование мер масштабирования консультационной деятельности путем создания информационного портала, содержащего материалы по наиболее востребованным вопросам деятельности субъектов сферы социальных услуг, возможность осуществления online-консультаций.</w:t>
      </w:r>
    </w:p>
    <w:p w14:paraId="394CEC75" w14:textId="31FBE524" w:rsidR="00557B1B" w:rsidRP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57B1B">
        <w:rPr>
          <w:rFonts w:ascii="Times New Roman" w:hAnsi="Times New Roman" w:cs="Times New Roman"/>
        </w:rPr>
        <w:t>Анализ институционально-инфраструктурных условий осуществления предпринимательской деятельности в сфере социальных услуг выявил существенные сложности обеспечения предпринимателей необходимыми площадями. В то же время органы государственной и муниципальной власти выполняя функции заказчика имеют возможность формирования предложения на рынке социальных услуг с помощью инструмента социального партнерства</w:t>
      </w:r>
      <w:r w:rsidR="00764B3A" w:rsidRPr="00764B3A">
        <w:rPr>
          <w:rFonts w:ascii="Times New Roman" w:hAnsi="Times New Roman" w:cs="Times New Roman"/>
        </w:rPr>
        <w:t xml:space="preserve"> [4]</w:t>
      </w:r>
      <w:r w:rsidRPr="00557B1B">
        <w:rPr>
          <w:rFonts w:ascii="Times New Roman" w:hAnsi="Times New Roman" w:cs="Times New Roman"/>
        </w:rPr>
        <w:t xml:space="preserve">. </w:t>
      </w:r>
    </w:p>
    <w:p w14:paraId="6AB1EE78" w14:textId="77777777" w:rsidR="00557B1B" w:rsidRDefault="00557B1B" w:rsidP="00557B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5F6C3DF1" w14:textId="77777777"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14:paraId="3A11271A" w14:textId="5CD2B86E" w:rsidR="00764B3A" w:rsidRPr="002422EA" w:rsidRDefault="00764B3A" w:rsidP="00764B3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64B3A">
        <w:rPr>
          <w:rFonts w:ascii="Times New Roman" w:eastAsia="Calibri" w:hAnsi="Times New Roman" w:cs="Times New Roman"/>
        </w:rPr>
        <w:t xml:space="preserve">Полянская Н. А. Некоторые подходы к определению эффективности использования производственных ресурсов //Вестник НГИЭИ. – </w:t>
      </w:r>
      <w:proofErr w:type="gramStart"/>
      <w:r w:rsidRPr="00764B3A">
        <w:rPr>
          <w:rFonts w:ascii="Times New Roman" w:eastAsia="Calibri" w:hAnsi="Times New Roman" w:cs="Times New Roman"/>
        </w:rPr>
        <w:t>2011.–</w:t>
      </w:r>
      <w:proofErr w:type="gramEnd"/>
      <w:r w:rsidRPr="00764B3A">
        <w:rPr>
          <w:rFonts w:ascii="Times New Roman" w:eastAsia="Calibri" w:hAnsi="Times New Roman" w:cs="Times New Roman"/>
        </w:rPr>
        <w:t xml:space="preserve"> №. 4 (5).</w:t>
      </w:r>
      <w:r w:rsidRPr="00764B3A">
        <w:rPr>
          <w:rFonts w:ascii="Times New Roman" w:eastAsia="Calibri" w:hAnsi="Times New Roman" w:cs="Times New Roman"/>
        </w:rPr>
        <w:t xml:space="preserve"> </w:t>
      </w:r>
      <w:r w:rsidRPr="002422EA">
        <w:rPr>
          <w:rFonts w:ascii="Times New Roman" w:eastAsia="Calibri" w:hAnsi="Times New Roman" w:cs="Times New Roman"/>
        </w:rPr>
        <w:t xml:space="preserve">– С. </w:t>
      </w:r>
      <w:r w:rsidR="00BC077D">
        <w:rPr>
          <w:rFonts w:ascii="Times New Roman" w:eastAsia="Calibri" w:hAnsi="Times New Roman" w:cs="Times New Roman"/>
          <w:lang w:val="en-US"/>
        </w:rPr>
        <w:t>1</w:t>
      </w:r>
      <w:r w:rsidRPr="002422EA">
        <w:rPr>
          <w:rFonts w:ascii="Times New Roman" w:eastAsia="Calibri" w:hAnsi="Times New Roman" w:cs="Times New Roman"/>
        </w:rPr>
        <w:t>-</w:t>
      </w:r>
      <w:proofErr w:type="gramStart"/>
      <w:r w:rsidR="00BC077D">
        <w:rPr>
          <w:rFonts w:ascii="Times New Roman" w:eastAsia="Calibri" w:hAnsi="Times New Roman" w:cs="Times New Roman"/>
          <w:lang w:val="en-US"/>
        </w:rPr>
        <w:t>6</w:t>
      </w:r>
      <w:r w:rsidRPr="002422EA">
        <w:rPr>
          <w:rFonts w:ascii="Times New Roman" w:eastAsia="Calibri" w:hAnsi="Times New Roman" w:cs="Times New Roman"/>
        </w:rPr>
        <w:t>..</w:t>
      </w:r>
      <w:proofErr w:type="gramEnd"/>
    </w:p>
    <w:p w14:paraId="53E3DC8A" w14:textId="3F5B948D" w:rsidR="00BC077D" w:rsidRPr="00BC077D" w:rsidRDefault="00BC077D" w:rsidP="00445EB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BC077D">
        <w:rPr>
          <w:rFonts w:ascii="Times New Roman" w:eastAsia="Calibri" w:hAnsi="Times New Roman" w:cs="Times New Roman"/>
        </w:rPr>
        <w:t xml:space="preserve">Маликова А. Х. Цифровизация как мера по повышению эффективности предоставления социальных услуг //Актуальные проблемы развития правовой системы в цифровую эпоху. Сборник научных статей по итогам девятой международной научной конференции. </w:t>
      </w:r>
      <w:r w:rsidRPr="00BC077D">
        <w:rPr>
          <w:rFonts w:ascii="Times New Roman" w:eastAsia="Calibri" w:hAnsi="Times New Roman" w:cs="Times New Roman"/>
        </w:rPr>
        <w:t>Самара</w:t>
      </w:r>
      <w:r w:rsidRPr="00BC077D">
        <w:rPr>
          <w:rFonts w:ascii="Times New Roman" w:eastAsia="Calibri" w:hAnsi="Times New Roman" w:cs="Times New Roman"/>
        </w:rPr>
        <w:t>, Самарский государственный экономический университет,</w:t>
      </w:r>
      <w:r w:rsidRPr="00BC077D">
        <w:rPr>
          <w:rFonts w:ascii="Times New Roman" w:hAnsi="Times New Roman" w:cs="Times New Roman"/>
        </w:rPr>
        <w:t xml:space="preserve"> 2019. – С. </w:t>
      </w:r>
      <w:proofErr w:type="gramStart"/>
      <w:r w:rsidRPr="00BC077D">
        <w:rPr>
          <w:rFonts w:ascii="Times New Roman" w:hAnsi="Times New Roman" w:cs="Times New Roman"/>
        </w:rPr>
        <w:t>62-64</w:t>
      </w:r>
      <w:proofErr w:type="gramEnd"/>
      <w:r w:rsidRPr="00BC077D">
        <w:rPr>
          <w:rFonts w:ascii="Times New Roman" w:hAnsi="Times New Roman" w:cs="Times New Roman"/>
        </w:rPr>
        <w:t>.</w:t>
      </w:r>
    </w:p>
    <w:p w14:paraId="3782F3BF" w14:textId="0AD4D968" w:rsidR="00764B3A" w:rsidRPr="00764B3A" w:rsidRDefault="00BC077D" w:rsidP="00827E8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853FAF">
        <w:rPr>
          <w:rFonts w:ascii="Times New Roman" w:eastAsia="Calibri" w:hAnsi="Times New Roman" w:cs="Times New Roman"/>
        </w:rPr>
        <w:t>Воловая</w:t>
      </w:r>
      <w:proofErr w:type="spellEnd"/>
      <w:r w:rsidRPr="00853FAF">
        <w:rPr>
          <w:rFonts w:ascii="Times New Roman" w:eastAsia="Calibri" w:hAnsi="Times New Roman" w:cs="Times New Roman"/>
        </w:rPr>
        <w:t xml:space="preserve"> Е. В., Асмус О. В. Развитие конкуренции на рынке социальных услуг //Вестник Чувашского университета. – 2012. – №. 2.</w:t>
      </w:r>
      <w:r w:rsidR="00853FAF" w:rsidRPr="00853FAF">
        <w:rPr>
          <w:rFonts w:ascii="Times New Roman" w:eastAsia="Calibri" w:hAnsi="Times New Roman" w:cs="Times New Roman"/>
        </w:rPr>
        <w:t xml:space="preserve"> </w:t>
      </w:r>
      <w:r w:rsidR="00853FAF" w:rsidRPr="00853FAF">
        <w:rPr>
          <w:rFonts w:ascii="Times New Roman" w:eastAsia="Calibri" w:hAnsi="Times New Roman" w:cs="Times New Roman"/>
        </w:rPr>
        <w:t>– С.421-424</w:t>
      </w:r>
    </w:p>
    <w:p w14:paraId="1CECC9F0" w14:textId="6CFEB68C" w:rsidR="00853FAF" w:rsidRDefault="00853FAF" w:rsidP="0043350A">
      <w:pPr>
        <w:pStyle w:val="a4"/>
        <w:numPr>
          <w:ilvl w:val="0"/>
          <w:numId w:val="1"/>
        </w:numPr>
        <w:jc w:val="both"/>
      </w:pPr>
      <w:r>
        <w:t xml:space="preserve">Огородникова </w:t>
      </w:r>
      <w:proofErr w:type="gramStart"/>
      <w:r>
        <w:t>Е.С.</w:t>
      </w:r>
      <w:proofErr w:type="gramEnd"/>
      <w:r>
        <w:t>,</w:t>
      </w:r>
      <w:r>
        <w:t xml:space="preserve"> </w:t>
      </w:r>
      <w:proofErr w:type="spellStart"/>
      <w:r>
        <w:t>Коковихин</w:t>
      </w:r>
      <w:proofErr w:type="spellEnd"/>
      <w:r w:rsidRPr="00853FAF">
        <w:t xml:space="preserve"> </w:t>
      </w:r>
      <w:r>
        <w:t>А.Ю., Плахин А.Е. Проблемы развития малого предпринимательства сельских поселений / //Конкурентоспособность в глобальном мире: экономика, наука, технологии.</w:t>
      </w:r>
      <w:r>
        <w:t xml:space="preserve"> -</w:t>
      </w:r>
      <w:r>
        <w:t xml:space="preserve"> 2017. </w:t>
      </w:r>
      <w:r>
        <w:t xml:space="preserve">- </w:t>
      </w:r>
      <w:proofErr w:type="gramStart"/>
      <w:r>
        <w:t>№ 7-3</w:t>
      </w:r>
      <w:proofErr w:type="gramEnd"/>
      <w:r>
        <w:t xml:space="preserve"> (54). </w:t>
      </w:r>
      <w:r>
        <w:t xml:space="preserve">- </w:t>
      </w:r>
      <w:r>
        <w:t xml:space="preserve">С. </w:t>
      </w:r>
      <w:proofErr w:type="gramStart"/>
      <w:r>
        <w:t>136-138</w:t>
      </w:r>
      <w:proofErr w:type="gramEnd"/>
      <w:r>
        <w:t>.</w:t>
      </w:r>
    </w:p>
    <w:p w14:paraId="73100A58" w14:textId="77777777" w:rsidR="00854770" w:rsidRPr="00827E82" w:rsidRDefault="00854770">
      <w:pPr>
        <w:rPr>
          <w:lang w:val="en-US"/>
        </w:rPr>
      </w:pPr>
    </w:p>
    <w:sectPr w:rsidR="00854770" w:rsidRPr="00827E82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7B2D0" w14:textId="77777777"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14:paraId="3A1808DB" w14:textId="77777777"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964B1" w14:textId="77777777"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14:paraId="44836096" w14:textId="77777777"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14:paraId="325344A0" w14:textId="258E6617" w:rsidR="00557B1B" w:rsidRPr="00CA7DF7" w:rsidRDefault="00557B1B" w:rsidP="00557B1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Огородникова Екатерина Сергеевна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кандидат экономических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доцент кафедры Менеджмента и предпринимательства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ФГБОУ ВО Уральский государственный экономический университет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>
        <w:rPr>
          <w:rFonts w:ascii="Times New Roman" w:hAnsi="Times New Roman" w:cs="Times New Roman"/>
          <w:sz w:val="20"/>
          <w:szCs w:val="20"/>
        </w:rPr>
        <w:t>620142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Екатеринбург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>
        <w:rPr>
          <w:rFonts w:ascii="Times New Roman" w:hAnsi="Times New Roman" w:cs="Times New Roman"/>
          <w:sz w:val="20"/>
          <w:szCs w:val="20"/>
        </w:rPr>
        <w:t>8 Марта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>
        <w:rPr>
          <w:rFonts w:ascii="Times New Roman" w:hAnsi="Times New Roman" w:cs="Times New Roman"/>
          <w:sz w:val="20"/>
          <w:szCs w:val="20"/>
        </w:rPr>
        <w:t>62</w:t>
      </w:r>
      <w:r w:rsidRPr="00CA7DF7">
        <w:rPr>
          <w:rFonts w:ascii="Times New Roman" w:hAnsi="Times New Roman" w:cs="Times New Roman"/>
          <w:sz w:val="20"/>
          <w:szCs w:val="20"/>
        </w:rPr>
        <w:t xml:space="preserve">; </w:t>
      </w:r>
      <w:proofErr w:type="gramStart"/>
      <w:r w:rsidRPr="00CA7DF7">
        <w:rPr>
          <w:rFonts w:ascii="Times New Roman" w:hAnsi="Times New Roman" w:cs="Times New Roman"/>
          <w:sz w:val="20"/>
          <w:szCs w:val="20"/>
        </w:rPr>
        <w:t>E-mail: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cmb</w:t>
      </w:r>
      <w:proofErr w:type="spellEnd"/>
      <w:r w:rsidRPr="00557B1B">
        <w:rPr>
          <w:rFonts w:ascii="Times New Roman" w:hAnsi="Times New Roman" w:cs="Times New Roman"/>
          <w:sz w:val="20"/>
          <w:szCs w:val="20"/>
        </w:rPr>
        <w:t>_8@</w:t>
      </w:r>
      <w:r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557B1B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proofErr w:type="gram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14:paraId="4631B43D" w14:textId="13EDA855"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57B1B">
        <w:rPr>
          <w:rFonts w:ascii="Times New Roman" w:hAnsi="Times New Roman" w:cs="Times New Roman"/>
          <w:sz w:val="20"/>
          <w:szCs w:val="20"/>
        </w:rPr>
        <w:t>Ростовцев Константин Викторович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57B1B">
        <w:rPr>
          <w:rFonts w:ascii="Times New Roman" w:hAnsi="Times New Roman" w:cs="Times New Roman"/>
          <w:sz w:val="20"/>
          <w:szCs w:val="20"/>
        </w:rPr>
        <w:t>кандидат экономических наук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57B1B">
        <w:rPr>
          <w:rFonts w:ascii="Times New Roman" w:hAnsi="Times New Roman" w:cs="Times New Roman"/>
          <w:sz w:val="20"/>
          <w:szCs w:val="20"/>
        </w:rPr>
        <w:t>доцент кафедры Менеджмента и предпринимательства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57B1B">
        <w:rPr>
          <w:rFonts w:ascii="Times New Roman" w:hAnsi="Times New Roman" w:cs="Times New Roman"/>
          <w:sz w:val="20"/>
          <w:szCs w:val="20"/>
        </w:rPr>
        <w:t>ФГБОУ ВО Уральский государственный экономический университет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557B1B">
        <w:rPr>
          <w:rFonts w:ascii="Times New Roman" w:hAnsi="Times New Roman" w:cs="Times New Roman"/>
          <w:sz w:val="20"/>
          <w:szCs w:val="20"/>
        </w:rPr>
        <w:t>620142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57B1B">
        <w:rPr>
          <w:rFonts w:ascii="Times New Roman" w:hAnsi="Times New Roman" w:cs="Times New Roman"/>
          <w:sz w:val="20"/>
          <w:szCs w:val="20"/>
        </w:rPr>
        <w:t>Россия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57B1B">
        <w:rPr>
          <w:rFonts w:ascii="Times New Roman" w:hAnsi="Times New Roman" w:cs="Times New Roman"/>
          <w:sz w:val="20"/>
          <w:szCs w:val="20"/>
        </w:rPr>
        <w:t>Екатеринбург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557B1B">
        <w:rPr>
          <w:rFonts w:ascii="Times New Roman" w:hAnsi="Times New Roman" w:cs="Times New Roman"/>
          <w:sz w:val="20"/>
          <w:szCs w:val="20"/>
        </w:rPr>
        <w:t>8 Марта</w:t>
      </w:r>
      <w:r w:rsidR="00557B1B"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557B1B">
        <w:rPr>
          <w:rFonts w:ascii="Times New Roman" w:hAnsi="Times New Roman" w:cs="Times New Roman"/>
          <w:sz w:val="20"/>
          <w:szCs w:val="20"/>
        </w:rPr>
        <w:t>62</w:t>
      </w:r>
      <w:r w:rsidR="00557B1B" w:rsidRPr="00CA7DF7">
        <w:rPr>
          <w:rFonts w:ascii="Times New Roman" w:hAnsi="Times New Roman" w:cs="Times New Roman"/>
          <w:sz w:val="20"/>
          <w:szCs w:val="20"/>
        </w:rPr>
        <w:t>;</w:t>
      </w:r>
      <w:r w:rsidRPr="00CA7DF7">
        <w:rPr>
          <w:rFonts w:ascii="Times New Roman" w:hAnsi="Times New Roman" w:cs="Times New Roman"/>
          <w:sz w:val="20"/>
          <w:szCs w:val="20"/>
        </w:rPr>
        <w:t xml:space="preserve"> E-mail:</w:t>
      </w:r>
      <w:r w:rsidR="004A0EAD" w:rsidRPr="004A0EAD">
        <w:rPr>
          <w:rFonts w:ascii="Times New Roman" w:hAnsi="Times New Roman" w:cs="Times New Roman"/>
          <w:sz w:val="20"/>
          <w:szCs w:val="20"/>
        </w:rPr>
        <w:t xml:space="preserve"> </w:t>
      </w:r>
      <w:r w:rsidR="004A0EAD" w:rsidRPr="004A0EAD">
        <w:rPr>
          <w:rFonts w:ascii="Times New Roman" w:hAnsi="Times New Roman" w:cs="Times New Roman"/>
          <w:sz w:val="20"/>
          <w:szCs w:val="20"/>
        </w:rPr>
        <w:t>rostovtsev@isnet.ru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600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44325D"/>
    <w:rsid w:val="004A0EAD"/>
    <w:rsid w:val="00557B1B"/>
    <w:rsid w:val="005F5AF9"/>
    <w:rsid w:val="00764B3A"/>
    <w:rsid w:val="00787640"/>
    <w:rsid w:val="007D79E0"/>
    <w:rsid w:val="00827E82"/>
    <w:rsid w:val="00853FAF"/>
    <w:rsid w:val="00854770"/>
    <w:rsid w:val="00916BF7"/>
    <w:rsid w:val="00BC077D"/>
    <w:rsid w:val="00BC155A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2C14E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077D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aliases w:val="Текст сноски-FN,Footnote Text Char Знак Знак,Footnote Text Char Знак,-++,single space,footnote text,Footnote Text Char,Знак Знак,Знак Знак Знак,Знак,Знак1 Знак Знак,Текст сноски1,Знак1 Знак,Знак Знак1"/>
    <w:basedOn w:val="a"/>
    <w:link w:val="a5"/>
    <w:uiPriority w:val="99"/>
    <w:unhideWhenUsed/>
    <w:rsid w:val="00557B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Текст сноски Знак"/>
    <w:aliases w:val="Текст сноски-FN Знак,Footnote Text Char Знак Знак Знак,Footnote Text Char Знак Знак1,-++ Знак,single space Знак,footnote text Знак,Footnote Text Char Знак1,Знак Знак Знак1,Знак Знак Знак Знак,Знак Знак2,Знак1 Знак Знак Знак"/>
    <w:basedOn w:val="a0"/>
    <w:link w:val="a4"/>
    <w:uiPriority w:val="99"/>
    <w:rsid w:val="00557B1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04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2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Екатерина Огородникова</cp:lastModifiedBy>
  <cp:revision>2</cp:revision>
  <dcterms:created xsi:type="dcterms:W3CDTF">2022-05-10T13:03:00Z</dcterms:created>
  <dcterms:modified xsi:type="dcterms:W3CDTF">2022-05-10T13:03:00Z</dcterms:modified>
</cp:coreProperties>
</file>