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64F0" w:rsidRDefault="008B64F0" w:rsidP="008B64F0">
      <w:pPr>
        <w:rPr>
          <w:rFonts w:eastAsia="Calibri"/>
          <w:b/>
        </w:rPr>
      </w:pPr>
      <w:r>
        <w:rPr>
          <w:rFonts w:eastAsia="Calibri"/>
          <w:b/>
        </w:rPr>
        <w:t>УДК 33</w:t>
      </w:r>
      <w:r w:rsidR="00DF0C62">
        <w:rPr>
          <w:rFonts w:eastAsia="Calibri"/>
          <w:b/>
        </w:rPr>
        <w:t>0.322</w:t>
      </w:r>
      <w:r>
        <w:rPr>
          <w:rFonts w:eastAsia="Calibri"/>
          <w:b/>
        </w:rPr>
        <w:tab/>
      </w:r>
      <w:r>
        <w:rPr>
          <w:rFonts w:eastAsia="Calibri"/>
          <w:b/>
        </w:rPr>
        <w:tab/>
      </w:r>
      <w:r>
        <w:rPr>
          <w:rFonts w:eastAsia="Calibri"/>
          <w:b/>
        </w:rPr>
        <w:tab/>
      </w:r>
      <w:r>
        <w:rPr>
          <w:rFonts w:eastAsia="Calibri"/>
          <w:b/>
        </w:rPr>
        <w:tab/>
      </w:r>
      <w:r>
        <w:rPr>
          <w:rFonts w:eastAsia="Calibri"/>
          <w:b/>
        </w:rPr>
        <w:tab/>
      </w:r>
      <w:r>
        <w:rPr>
          <w:rFonts w:eastAsia="Calibri"/>
          <w:b/>
        </w:rPr>
        <w:tab/>
      </w:r>
      <w:r>
        <w:rPr>
          <w:rFonts w:eastAsia="Calibri"/>
          <w:b/>
        </w:rPr>
        <w:tab/>
      </w:r>
      <w:r>
        <w:rPr>
          <w:rFonts w:eastAsia="Calibri"/>
          <w:b/>
        </w:rPr>
        <w:tab/>
      </w:r>
      <w:r>
        <w:rPr>
          <w:rFonts w:eastAsia="Calibri"/>
          <w:b/>
        </w:rPr>
        <w:tab/>
      </w:r>
    </w:p>
    <w:p w:rsidR="008B64F0" w:rsidRDefault="008B64F0" w:rsidP="008B64F0">
      <w:pPr>
        <w:jc w:val="right"/>
        <w:rPr>
          <w:rFonts w:eastAsia="Calibri"/>
          <w:b/>
        </w:rPr>
      </w:pPr>
      <w:r>
        <w:rPr>
          <w:rFonts w:eastAsia="Calibri"/>
          <w:b/>
        </w:rPr>
        <w:t>Бабичев К.Н.</w:t>
      </w:r>
    </w:p>
    <w:p w:rsidR="008B64F0" w:rsidRDefault="008B64F0" w:rsidP="008B64F0">
      <w:pPr>
        <w:jc w:val="center"/>
        <w:rPr>
          <w:b/>
          <w:bCs/>
          <w:szCs w:val="22"/>
        </w:rPr>
      </w:pPr>
    </w:p>
    <w:p w:rsidR="00DF0C62" w:rsidRPr="00DF0C62" w:rsidRDefault="00DF0C62" w:rsidP="00DF0C62">
      <w:pPr>
        <w:keepNext/>
        <w:keepLines/>
        <w:jc w:val="center"/>
        <w:outlineLvl w:val="1"/>
        <w:rPr>
          <w:rFonts w:eastAsiaTheme="majorEastAsia"/>
          <w:b/>
          <w:szCs w:val="26"/>
          <w:lang w:eastAsia="en-US"/>
        </w:rPr>
      </w:pPr>
      <w:r w:rsidRPr="00DF0C62">
        <w:rPr>
          <w:rFonts w:eastAsiaTheme="majorEastAsia"/>
          <w:b/>
          <w:szCs w:val="26"/>
          <w:lang w:eastAsia="en-US"/>
        </w:rPr>
        <w:t>ФАКТОРЫ ИНВЕСТИЦИОННОЙ ПРИВЛЕКАТЕЛЬНОСТИ СЕЛЬСКИХ ТЕРРИТОРИЙ</w:t>
      </w:r>
    </w:p>
    <w:p w:rsidR="008B64F0" w:rsidRPr="00DD249F" w:rsidRDefault="008B64F0" w:rsidP="00DF0C62">
      <w:pPr>
        <w:rPr>
          <w:szCs w:val="22"/>
        </w:rPr>
      </w:pPr>
    </w:p>
    <w:p w:rsidR="00DF0C62" w:rsidRPr="00DF0C62" w:rsidRDefault="008B64F0" w:rsidP="00DF0C62">
      <w:pPr>
        <w:ind w:firstLine="709"/>
        <w:jc w:val="both"/>
      </w:pPr>
      <w:r w:rsidRPr="00723518">
        <w:rPr>
          <w:b/>
          <w:bCs/>
          <w:szCs w:val="22"/>
        </w:rPr>
        <w:t>Аннотация</w:t>
      </w:r>
      <w:r w:rsidRPr="00DD249F">
        <w:rPr>
          <w:i/>
          <w:iCs/>
          <w:szCs w:val="22"/>
        </w:rPr>
        <w:t>.</w:t>
      </w:r>
      <w:r>
        <w:rPr>
          <w:i/>
          <w:iCs/>
          <w:szCs w:val="22"/>
        </w:rPr>
        <w:t xml:space="preserve"> </w:t>
      </w:r>
      <w:r w:rsidR="00DF0C62" w:rsidRPr="00DF0C62">
        <w:t>Своевременное и грамотное развитие сельских территорий муниципального образования в большой степени зависит от инвестиционной политики развития сельских поселений. Главной целью муниципалитетов является создание благоприятных условий для проживания, тем самым повышать инвестиционную привлекательность сельских поселений.</w:t>
      </w:r>
      <w:r w:rsidR="00DF0C62">
        <w:t xml:space="preserve"> </w:t>
      </w:r>
      <w:r w:rsidR="00DF0C62" w:rsidRPr="00DF0C62">
        <w:t xml:space="preserve">Цель </w:t>
      </w:r>
      <w:r w:rsidR="00DF0C62">
        <w:t>статьи</w:t>
      </w:r>
      <w:r w:rsidR="00DF0C62" w:rsidRPr="00DF0C62">
        <w:t xml:space="preserve"> – </w:t>
      </w:r>
      <w:bookmarkStart w:id="0" w:name="_Hlk10814701"/>
      <w:r w:rsidR="00DF0C62" w:rsidRPr="00DF0C62">
        <w:t>на основе изучения социально-экономического потенциала сельских территорий предложить механизм инвестиционного развития</w:t>
      </w:r>
      <w:r w:rsidR="00DF0C62">
        <w:t xml:space="preserve"> сельских территорий</w:t>
      </w:r>
      <w:bookmarkEnd w:id="0"/>
      <w:r w:rsidR="00DF0C62">
        <w:t xml:space="preserve">, </w:t>
      </w:r>
      <w:r w:rsidR="00DF0C62" w:rsidRPr="00DF0C62">
        <w:t>определить инструменты и технологии реализации инвестиционной политики развития сельских территории</w:t>
      </w:r>
      <w:r w:rsidR="00DF0C62">
        <w:t xml:space="preserve">, </w:t>
      </w:r>
      <w:r w:rsidR="00DF0C62" w:rsidRPr="00DF0C62">
        <w:t>изучить факторы инвестиционной привлекательности развития сельских территории</w:t>
      </w:r>
      <w:r w:rsidR="00DF0C62">
        <w:t>.</w:t>
      </w:r>
    </w:p>
    <w:p w:rsidR="008B64F0" w:rsidRDefault="008B64F0" w:rsidP="008B64F0">
      <w:pPr>
        <w:ind w:firstLine="709"/>
        <w:jc w:val="both"/>
      </w:pPr>
      <w:r w:rsidRPr="00723518">
        <w:rPr>
          <w:b/>
          <w:bCs/>
          <w:szCs w:val="22"/>
        </w:rPr>
        <w:t>Ключевые слова</w:t>
      </w:r>
      <w:r>
        <w:rPr>
          <w:b/>
          <w:bCs/>
          <w:szCs w:val="22"/>
        </w:rPr>
        <w:t>:</w:t>
      </w:r>
      <w:r w:rsidR="00D36AA2">
        <w:rPr>
          <w:b/>
          <w:bCs/>
          <w:szCs w:val="22"/>
        </w:rPr>
        <w:t xml:space="preserve"> </w:t>
      </w:r>
      <w:r w:rsidR="00DF0C62">
        <w:t>инвестиции, инвестиционный потенциал, инвестиционный климат, инвестиционная политика, сельские территории.</w:t>
      </w:r>
    </w:p>
    <w:p w:rsidR="00DF0C62" w:rsidRDefault="00DF0C62" w:rsidP="008B64F0">
      <w:pPr>
        <w:ind w:firstLine="709"/>
        <w:jc w:val="both"/>
      </w:pPr>
    </w:p>
    <w:p w:rsidR="00DF0C62" w:rsidRPr="00D36AA2" w:rsidRDefault="00DF0C62" w:rsidP="008B64F0">
      <w:pPr>
        <w:ind w:firstLine="709"/>
        <w:jc w:val="both"/>
      </w:pPr>
    </w:p>
    <w:p w:rsidR="00DF0C62" w:rsidRPr="00DF0C62" w:rsidRDefault="00DF0C62" w:rsidP="00DF0C62">
      <w:pPr>
        <w:ind w:firstLine="709"/>
        <w:contextualSpacing/>
        <w:jc w:val="both"/>
        <w:rPr>
          <w:rFonts w:eastAsiaTheme="minorHAnsi"/>
          <w:szCs w:val="28"/>
          <w:lang w:eastAsia="en-US"/>
        </w:rPr>
      </w:pPr>
      <w:r w:rsidRPr="00DF0C62">
        <w:rPr>
          <w:rFonts w:eastAsiaTheme="minorHAnsi"/>
          <w:szCs w:val="28"/>
          <w:lang w:eastAsia="en-US"/>
        </w:rPr>
        <w:t>Инвестиционная политика является приоритетным компонентом социально-экономической политики, проводимой сельскими территориями с установлением направлений инвестиций и их использования.</w:t>
      </w:r>
    </w:p>
    <w:p w:rsidR="00DF0C62" w:rsidRPr="00DF0C62" w:rsidRDefault="00DF0C62" w:rsidP="00DF0C62">
      <w:pPr>
        <w:ind w:firstLine="709"/>
        <w:contextualSpacing/>
        <w:jc w:val="both"/>
        <w:rPr>
          <w:rFonts w:eastAsiaTheme="minorHAnsi"/>
          <w:szCs w:val="28"/>
          <w:lang w:eastAsia="en-US"/>
        </w:rPr>
      </w:pPr>
      <w:r w:rsidRPr="00DF0C62">
        <w:rPr>
          <w:rFonts w:eastAsiaTheme="minorHAnsi"/>
          <w:szCs w:val="28"/>
          <w:lang w:eastAsia="en-US"/>
        </w:rPr>
        <w:t>Эффективное развитие территорий напрямую зависит не только от рационального использования располагаемых ими ресурсов, но также и от проведения эффективной инвестиционной политики.</w:t>
      </w:r>
    </w:p>
    <w:p w:rsidR="00DF0C62" w:rsidRPr="00DF0C62" w:rsidRDefault="00DF0C62" w:rsidP="00DF0C62">
      <w:pPr>
        <w:ind w:firstLine="709"/>
        <w:contextualSpacing/>
        <w:jc w:val="both"/>
        <w:rPr>
          <w:rFonts w:eastAsiaTheme="minorHAnsi"/>
          <w:szCs w:val="28"/>
          <w:lang w:eastAsia="en-US"/>
        </w:rPr>
      </w:pPr>
      <w:r w:rsidRPr="00DF0C62">
        <w:rPr>
          <w:rFonts w:eastAsiaTheme="minorHAnsi"/>
          <w:szCs w:val="28"/>
          <w:lang w:eastAsia="en-US"/>
        </w:rPr>
        <w:t>Исследователи считают, что инвестиционная политика территорий еще недостаточно освещена и установлена с точки зрения формирования и использования инструментов реализации.</w:t>
      </w:r>
    </w:p>
    <w:p w:rsidR="00DF0C62" w:rsidRPr="00DF0C62" w:rsidRDefault="00DF0C62" w:rsidP="00DF0C62">
      <w:pPr>
        <w:ind w:firstLine="709"/>
        <w:contextualSpacing/>
        <w:jc w:val="both"/>
        <w:rPr>
          <w:rFonts w:eastAsiaTheme="minorHAnsi"/>
          <w:szCs w:val="28"/>
          <w:lang w:eastAsia="en-US"/>
        </w:rPr>
      </w:pPr>
      <w:r w:rsidRPr="00DF0C62">
        <w:rPr>
          <w:rFonts w:eastAsiaTheme="minorHAnsi"/>
          <w:szCs w:val="28"/>
          <w:lang w:eastAsia="en-US"/>
        </w:rPr>
        <w:t>Авторы рассматривают понятие инвестиционной политики как совокупность мер и механизм их реализации, направленных на активизацию инвестиционной активности территории.</w:t>
      </w:r>
    </w:p>
    <w:p w:rsidR="00DF0C62" w:rsidRPr="00DF0C62" w:rsidRDefault="00DF0C62" w:rsidP="00DF0C62">
      <w:pPr>
        <w:ind w:firstLine="709"/>
        <w:contextualSpacing/>
        <w:jc w:val="both"/>
        <w:rPr>
          <w:rFonts w:eastAsiaTheme="minorHAnsi"/>
          <w:szCs w:val="28"/>
          <w:lang w:eastAsia="en-US"/>
        </w:rPr>
      </w:pPr>
      <w:r w:rsidRPr="00DF0C62">
        <w:rPr>
          <w:rFonts w:eastAsiaTheme="minorHAnsi"/>
          <w:szCs w:val="28"/>
          <w:lang w:eastAsia="en-US"/>
        </w:rPr>
        <w:t>Полноценным вариантом определения понятия инвестиционной политики может быть такой, как комплекс мер по регулированию и стимулированию инвестиционной деятельности в муниципальном образовании и механизм их реализации с целью обеспечения устойчивого социально-экономического развития территории.</w:t>
      </w:r>
    </w:p>
    <w:p w:rsidR="00DF0C62" w:rsidRPr="00DF0C62" w:rsidRDefault="00DF0C62" w:rsidP="00DF0C62">
      <w:pPr>
        <w:ind w:firstLine="709"/>
        <w:jc w:val="both"/>
        <w:rPr>
          <w:rFonts w:eastAsiaTheme="minorHAnsi"/>
          <w:bCs/>
          <w:szCs w:val="28"/>
          <w:lang w:eastAsia="en-US"/>
        </w:rPr>
      </w:pPr>
      <w:r w:rsidRPr="00DF0C62">
        <w:rPr>
          <w:rFonts w:eastAsiaTheme="minorHAnsi"/>
          <w:bCs/>
          <w:szCs w:val="28"/>
          <w:lang w:eastAsia="en-US"/>
        </w:rPr>
        <w:t>Инвесторы при выборе экономической зоны обращают свое внимание на ряд конкурентных факторов сельских территорий, которые состоят из географического положения, природных ресурсов, инфраструктуры, законодательных составляющих территории, трудовых ресурсов и т.д. Основным конкурентным преимуществом остается экономическая деятельность сельской территории.</w:t>
      </w:r>
    </w:p>
    <w:p w:rsidR="00DF0C62" w:rsidRPr="00DF0C62" w:rsidRDefault="00DF0C62" w:rsidP="00DF0C62">
      <w:pPr>
        <w:ind w:firstLine="709"/>
        <w:jc w:val="both"/>
        <w:rPr>
          <w:rFonts w:eastAsiaTheme="minorHAnsi"/>
          <w:bCs/>
          <w:szCs w:val="28"/>
          <w:lang w:eastAsia="en-US"/>
        </w:rPr>
      </w:pPr>
      <w:r w:rsidRPr="00DF0C62">
        <w:rPr>
          <w:rFonts w:eastAsiaTheme="minorHAnsi"/>
          <w:bCs/>
          <w:szCs w:val="28"/>
          <w:lang w:eastAsia="en-US"/>
        </w:rPr>
        <w:t>Изменение экономической ситуации предполагает изменении методов управления инвестиционной привлекательностью сельской территории, причем, как со стороны инвесторов, так и органов местного самоуправления. Следовательно, по инициативе местного самоуправления будут создавать новые характеристики и преимущества инвестиционной привлекательности.</w:t>
      </w:r>
    </w:p>
    <w:p w:rsidR="00DF0C62" w:rsidRPr="00DF0C62" w:rsidRDefault="00DF0C62" w:rsidP="00DF0C62">
      <w:pPr>
        <w:ind w:firstLine="709"/>
        <w:jc w:val="both"/>
        <w:rPr>
          <w:rFonts w:eastAsiaTheme="minorHAnsi"/>
          <w:bCs/>
          <w:szCs w:val="28"/>
          <w:lang w:eastAsia="en-US"/>
        </w:rPr>
      </w:pPr>
      <w:r w:rsidRPr="00DF0C62">
        <w:rPr>
          <w:rFonts w:eastAsiaTheme="minorHAnsi"/>
          <w:bCs/>
          <w:szCs w:val="28"/>
          <w:lang w:eastAsia="en-US"/>
        </w:rPr>
        <w:t xml:space="preserve">В данном случае, при создании определенных механизмов, которые будут регулировать правовую поддержку инвестора, обеспечивать контроль и прозрачность деятельности администрации, например, вывод и своевременное обновление информации о новых предлагаемых предложениях. Данные механизмы будут способствовать повышения доверия у инвесторов, следовательно, привлечению новых инвестиций, развитию территорий, а также создание положительного имиджа [1]. </w:t>
      </w:r>
    </w:p>
    <w:p w:rsidR="00DF0C62" w:rsidRPr="00DF0C62" w:rsidRDefault="00DF0C62" w:rsidP="00DF0C62">
      <w:pPr>
        <w:ind w:firstLine="709"/>
        <w:jc w:val="both"/>
        <w:rPr>
          <w:rFonts w:eastAsiaTheme="minorHAnsi"/>
          <w:bCs/>
          <w:szCs w:val="28"/>
          <w:lang w:eastAsia="en-US"/>
        </w:rPr>
      </w:pPr>
      <w:r w:rsidRPr="00DF0C62">
        <w:rPr>
          <w:rFonts w:eastAsiaTheme="minorHAnsi"/>
          <w:bCs/>
          <w:szCs w:val="28"/>
          <w:lang w:eastAsia="en-US"/>
        </w:rPr>
        <w:lastRenderedPageBreak/>
        <w:t>При грамотно сформированных и реализованных механизмах повышение инвестиционной привлекательности проходит более стремительно, тем самым гарантируется более высокая вовлеченность инвесторов в разработке новых инвестиционных решений и политики развития территории.</w:t>
      </w:r>
    </w:p>
    <w:p w:rsidR="00DF0C62" w:rsidRPr="00DF0C62" w:rsidRDefault="00DF0C62" w:rsidP="00DF0C62">
      <w:pPr>
        <w:ind w:firstLine="709"/>
        <w:jc w:val="both"/>
        <w:rPr>
          <w:rFonts w:eastAsiaTheme="minorHAnsi"/>
          <w:bCs/>
          <w:szCs w:val="28"/>
          <w:lang w:eastAsia="en-US"/>
        </w:rPr>
      </w:pPr>
      <w:r w:rsidRPr="00DF0C62">
        <w:rPr>
          <w:rFonts w:eastAsiaTheme="minorHAnsi"/>
          <w:bCs/>
          <w:szCs w:val="28"/>
          <w:lang w:eastAsia="en-US"/>
        </w:rPr>
        <w:t>Значимым фактором экономической деятельности остается качество инвестиционной инфраструктуры сельской территории - институтов, выполняющих различные функции в обеспечивающих инвестиционную деятельность и поддержку предпринимательства, это является одним из важных факторов инвестиционной привлекательности территории.</w:t>
      </w:r>
    </w:p>
    <w:p w:rsidR="00DF0C62" w:rsidRPr="00DF0C62" w:rsidRDefault="00DF0C62" w:rsidP="00DF0C62">
      <w:pPr>
        <w:ind w:firstLine="709"/>
        <w:jc w:val="both"/>
        <w:rPr>
          <w:rFonts w:eastAsiaTheme="minorHAnsi"/>
          <w:bCs/>
          <w:szCs w:val="28"/>
          <w:lang w:eastAsia="en-US"/>
        </w:rPr>
      </w:pPr>
      <w:r w:rsidRPr="00DF0C62">
        <w:rPr>
          <w:rFonts w:eastAsiaTheme="minorHAnsi"/>
          <w:bCs/>
          <w:szCs w:val="28"/>
          <w:lang w:eastAsia="en-US"/>
        </w:rPr>
        <w:t xml:space="preserve">Главным институтом является </w:t>
      </w:r>
      <w:proofErr w:type="spellStart"/>
      <w:r w:rsidRPr="00DF0C62">
        <w:rPr>
          <w:rFonts w:eastAsiaTheme="minorHAnsi"/>
          <w:bCs/>
          <w:szCs w:val="28"/>
          <w:lang w:eastAsia="en-US"/>
        </w:rPr>
        <w:t>инвеступолномоченный</w:t>
      </w:r>
      <w:proofErr w:type="spellEnd"/>
      <w:r w:rsidRPr="00DF0C62">
        <w:rPr>
          <w:rFonts w:eastAsiaTheme="minorHAnsi"/>
          <w:bCs/>
          <w:szCs w:val="28"/>
          <w:lang w:eastAsia="en-US"/>
        </w:rPr>
        <w:t xml:space="preserve">, который должен вовремя осведомлять инвестора актуальной, полной и приемлемой информацией для него в той в сфере, которая предпочтительна данному инвестору [2]. </w:t>
      </w:r>
    </w:p>
    <w:p w:rsidR="00DF0C62" w:rsidRPr="00DF0C62" w:rsidRDefault="00DF0C62" w:rsidP="00DF0C62">
      <w:pPr>
        <w:ind w:firstLine="709"/>
        <w:jc w:val="both"/>
        <w:rPr>
          <w:rFonts w:eastAsiaTheme="minorHAnsi"/>
          <w:bCs/>
          <w:szCs w:val="28"/>
          <w:lang w:eastAsia="en-US"/>
        </w:rPr>
      </w:pPr>
      <w:r w:rsidRPr="00DF0C62">
        <w:rPr>
          <w:rFonts w:eastAsiaTheme="minorHAnsi"/>
          <w:bCs/>
          <w:szCs w:val="28"/>
          <w:lang w:eastAsia="en-US"/>
        </w:rPr>
        <w:t>Инвестиционная привлекательность в большей степени зависит от решений органов местного самоуправления. Поэтому требуется персонализация в вопросе инвестиционного развития сельских территорий. Только выстроив четкий механизм взаимодействия между органами власти региона, органами местного самоуправления в лице инвестиционных уполномоченных и бизнесом, можно получить эффективный результат развития сельских территорий.</w:t>
      </w:r>
    </w:p>
    <w:p w:rsidR="00DF0C62" w:rsidRPr="00DF0C62" w:rsidRDefault="00DF0C62" w:rsidP="00DF0C62">
      <w:pPr>
        <w:ind w:firstLine="709"/>
        <w:jc w:val="both"/>
        <w:rPr>
          <w:rFonts w:eastAsiaTheme="minorHAnsi"/>
          <w:bCs/>
          <w:szCs w:val="28"/>
          <w:lang w:eastAsia="en-US"/>
        </w:rPr>
      </w:pPr>
      <w:proofErr w:type="spellStart"/>
      <w:r w:rsidRPr="00DF0C62">
        <w:rPr>
          <w:rFonts w:eastAsiaTheme="minorHAnsi"/>
          <w:bCs/>
          <w:szCs w:val="28"/>
          <w:lang w:eastAsia="en-US"/>
        </w:rPr>
        <w:t>Инвеступолномоченный</w:t>
      </w:r>
      <w:proofErr w:type="spellEnd"/>
      <w:r w:rsidRPr="00DF0C62">
        <w:rPr>
          <w:rFonts w:eastAsiaTheme="minorHAnsi"/>
          <w:bCs/>
          <w:szCs w:val="28"/>
          <w:lang w:eastAsia="en-US"/>
        </w:rPr>
        <w:t xml:space="preserve"> должен обладать оперативностью при возникновении определенных проблем. Вовремя и эффективно решать вопросы, связанные с выбором инвестиционного объекта при появлении потенциального инвестора и принятии соответствующего решения. Целесообразно создание специальной системы поддержки инвестиционной деятельности социально-экономического развития сельских территорий в современных условиях приобретает особую актуальность.</w:t>
      </w:r>
    </w:p>
    <w:p w:rsidR="00DF0C62" w:rsidRPr="00DF0C62" w:rsidRDefault="00DF0C62" w:rsidP="00DF0C62">
      <w:pPr>
        <w:ind w:firstLine="709"/>
        <w:jc w:val="both"/>
        <w:rPr>
          <w:rFonts w:eastAsiaTheme="minorHAnsi"/>
          <w:bCs/>
          <w:szCs w:val="28"/>
          <w:lang w:eastAsia="en-US"/>
        </w:rPr>
      </w:pPr>
      <w:r w:rsidRPr="00DF0C62">
        <w:rPr>
          <w:rFonts w:eastAsiaTheme="minorHAnsi"/>
          <w:bCs/>
          <w:szCs w:val="28"/>
          <w:lang w:eastAsia="en-US"/>
        </w:rPr>
        <w:t xml:space="preserve">Развитие инвестиционной привлекательности тесно связано с таким фактором, как природно-климатические условия, которые включают в себя наличие природных ресурсов, полезных ископаемых, благоприятных климатических условий, а также наличие земельных угодий, благодаря которым можно выращивать различные сельскохозяйственные культуры, развивать агропромышленный бизнес, организовывать </w:t>
      </w:r>
      <w:proofErr w:type="spellStart"/>
      <w:r w:rsidRPr="00DF0C62">
        <w:rPr>
          <w:rFonts w:eastAsiaTheme="minorHAnsi"/>
          <w:bCs/>
          <w:szCs w:val="28"/>
          <w:lang w:eastAsia="en-US"/>
        </w:rPr>
        <w:t>агротуры</w:t>
      </w:r>
      <w:proofErr w:type="spellEnd"/>
      <w:r w:rsidRPr="00DF0C62">
        <w:rPr>
          <w:rFonts w:eastAsiaTheme="minorHAnsi"/>
          <w:bCs/>
          <w:szCs w:val="28"/>
          <w:lang w:eastAsia="en-US"/>
        </w:rPr>
        <w:t>, ярмарки, фестивали и прочее. Так, данный фактор является приоритетным звеном для инвесторов при выборе сферы инвестирования.</w:t>
      </w:r>
    </w:p>
    <w:p w:rsidR="00DF0C62" w:rsidRPr="00DF0C62" w:rsidRDefault="00DF0C62" w:rsidP="00DF0C62">
      <w:pPr>
        <w:ind w:firstLine="709"/>
        <w:jc w:val="both"/>
        <w:rPr>
          <w:rFonts w:eastAsiaTheme="minorHAnsi"/>
          <w:bCs/>
          <w:szCs w:val="28"/>
          <w:lang w:eastAsia="en-US"/>
        </w:rPr>
      </w:pPr>
      <w:r w:rsidRPr="00DF0C62">
        <w:rPr>
          <w:rFonts w:eastAsiaTheme="minorHAnsi"/>
          <w:bCs/>
          <w:szCs w:val="28"/>
          <w:lang w:eastAsia="en-US"/>
        </w:rPr>
        <w:t>В узкой связи с природно-климатическими условиями, как показателя инвестиционной привлекательности местности, находятся геолого-географическое положение сельской территории. Уделяя достаточно времени на развитие данного фактора, территория позволит расширить и открыть новые области сферы инвестирования.</w:t>
      </w:r>
    </w:p>
    <w:p w:rsidR="00DF0C62" w:rsidRPr="00DF0C62" w:rsidRDefault="00DF0C62" w:rsidP="00DF0C62">
      <w:pPr>
        <w:ind w:firstLine="709"/>
        <w:jc w:val="both"/>
        <w:rPr>
          <w:rFonts w:eastAsiaTheme="minorHAnsi"/>
          <w:bCs/>
          <w:szCs w:val="28"/>
          <w:lang w:eastAsia="en-US"/>
        </w:rPr>
      </w:pPr>
      <w:r w:rsidRPr="00DF0C62">
        <w:rPr>
          <w:rFonts w:eastAsiaTheme="minorHAnsi"/>
          <w:bCs/>
          <w:szCs w:val="28"/>
          <w:lang w:eastAsia="en-US"/>
        </w:rPr>
        <w:t>Таким образом, грамотное использование земельных и водных ресурсов в сельской местности с целью получения новых сельскохозяйственных угодий, а также извлечения прибыли, дает возможность сохранения плодородия почв, улучшение земельных ресурсов, в том числе выведение земель сельскохозяйственного назначения из загрязненного состояния.</w:t>
      </w:r>
    </w:p>
    <w:p w:rsidR="00DF0C62" w:rsidRPr="00DF0C62" w:rsidRDefault="00DF0C62" w:rsidP="00DF0C62">
      <w:pPr>
        <w:ind w:firstLine="709"/>
        <w:jc w:val="both"/>
        <w:rPr>
          <w:rFonts w:eastAsiaTheme="minorHAnsi"/>
          <w:bCs/>
          <w:szCs w:val="28"/>
          <w:lang w:eastAsia="en-US"/>
        </w:rPr>
      </w:pPr>
      <w:r w:rsidRPr="00DF0C62">
        <w:rPr>
          <w:rFonts w:eastAsiaTheme="minorHAnsi"/>
          <w:bCs/>
          <w:szCs w:val="28"/>
          <w:lang w:eastAsia="en-US"/>
        </w:rPr>
        <w:t xml:space="preserve">Большинство отечественных авторов при определении инвестиционного климата на основе факторного подхода опираются на взаимосвязанную характеристику широкого набора факторов, влияющих на инвестиционный климат. Наиболее часто встречаются следующие группировки, которые показаны на рисунке </w:t>
      </w:r>
      <w:r>
        <w:rPr>
          <w:rFonts w:eastAsiaTheme="minorHAnsi"/>
          <w:bCs/>
          <w:szCs w:val="28"/>
          <w:lang w:eastAsia="en-US"/>
        </w:rPr>
        <w:t>1</w:t>
      </w:r>
      <w:r w:rsidRPr="00DF0C62">
        <w:rPr>
          <w:rFonts w:eastAsiaTheme="minorHAnsi"/>
          <w:bCs/>
          <w:szCs w:val="28"/>
          <w:lang w:eastAsia="en-US"/>
        </w:rPr>
        <w:t>.</w:t>
      </w:r>
    </w:p>
    <w:p w:rsidR="00DF0C62" w:rsidRPr="00DF0C62" w:rsidRDefault="00DF0C62" w:rsidP="00DF0C62">
      <w:pPr>
        <w:spacing w:line="360" w:lineRule="auto"/>
        <w:ind w:firstLine="709"/>
        <w:jc w:val="both"/>
        <w:rPr>
          <w:rFonts w:eastAsiaTheme="minorHAnsi"/>
          <w:bCs/>
          <w:sz w:val="28"/>
          <w:szCs w:val="28"/>
          <w:lang w:eastAsia="en-US"/>
        </w:rPr>
      </w:pPr>
    </w:p>
    <w:p w:rsidR="00DF0C62" w:rsidRPr="00DF0C62" w:rsidRDefault="00DF0C62" w:rsidP="00DF0C62">
      <w:pPr>
        <w:jc w:val="both"/>
        <w:rPr>
          <w:rFonts w:eastAsiaTheme="minorHAnsi"/>
          <w:bCs/>
          <w:sz w:val="28"/>
          <w:szCs w:val="28"/>
          <w:lang w:eastAsia="en-US"/>
        </w:rPr>
      </w:pPr>
      <w:r w:rsidRPr="00DF0C62">
        <w:rPr>
          <w:rFonts w:eastAsiaTheme="minorHAnsi"/>
          <w:bCs/>
          <w:noProof/>
          <w:sz w:val="28"/>
          <w:szCs w:val="28"/>
        </w:rPr>
        <w:drawing>
          <wp:inline distT="0" distB="0" distL="0" distR="0" wp14:anchorId="324E6C05" wp14:editId="0592D669">
            <wp:extent cx="5984875" cy="5143500"/>
            <wp:effectExtent l="0" t="0" r="15875" b="19050"/>
            <wp:docPr id="55" name="Схема 5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rsidR="00DF0C62" w:rsidRPr="00DF0C62" w:rsidRDefault="00DF0C62" w:rsidP="00DF0C62">
      <w:pPr>
        <w:jc w:val="center"/>
        <w:rPr>
          <w:rFonts w:eastAsiaTheme="minorHAnsi"/>
          <w:bCs/>
          <w:szCs w:val="28"/>
          <w:lang w:eastAsia="en-US"/>
        </w:rPr>
      </w:pPr>
      <w:r w:rsidRPr="00DF0C62">
        <w:rPr>
          <w:rFonts w:eastAsiaTheme="minorHAnsi"/>
          <w:bCs/>
          <w:szCs w:val="28"/>
          <w:lang w:eastAsia="en-US"/>
        </w:rPr>
        <w:t>Рисунок 1 – Факторы, влияющие на инвестиционную привлекательность территории [3]</w:t>
      </w:r>
    </w:p>
    <w:p w:rsidR="00DF0C62" w:rsidRPr="00DF0C62" w:rsidRDefault="00DF0C62" w:rsidP="00DF0C62">
      <w:pPr>
        <w:rPr>
          <w:rFonts w:eastAsiaTheme="minorHAnsi"/>
          <w:bCs/>
          <w:szCs w:val="28"/>
          <w:lang w:eastAsia="en-US"/>
        </w:rPr>
      </w:pPr>
    </w:p>
    <w:p w:rsidR="00DF0C62" w:rsidRPr="00DF0C62" w:rsidRDefault="00DF0C62" w:rsidP="00DF0C62">
      <w:pPr>
        <w:ind w:firstLine="709"/>
        <w:jc w:val="both"/>
        <w:rPr>
          <w:rFonts w:eastAsiaTheme="minorHAnsi"/>
          <w:bCs/>
          <w:szCs w:val="28"/>
          <w:lang w:eastAsia="en-US"/>
        </w:rPr>
      </w:pPr>
      <w:r w:rsidRPr="00DF0C62">
        <w:rPr>
          <w:rFonts w:eastAsiaTheme="minorHAnsi"/>
          <w:bCs/>
          <w:szCs w:val="28"/>
          <w:lang w:eastAsia="en-US"/>
        </w:rPr>
        <w:t>Основным фактором экономического развития является также качество жизненных условий. Такие показатели, как услуги населению, наличие зон для отдыха, жилищные условия, развитая инфраструктура, развитие коммунальных, инженерных и социальных объектов в сельских поселениях</w:t>
      </w:r>
    </w:p>
    <w:p w:rsidR="00DF0C62" w:rsidRPr="00DF0C62" w:rsidRDefault="00DF0C62" w:rsidP="00DF0C62">
      <w:pPr>
        <w:ind w:firstLine="709"/>
        <w:jc w:val="both"/>
        <w:rPr>
          <w:rFonts w:eastAsiaTheme="minorHAnsi"/>
          <w:bCs/>
          <w:szCs w:val="28"/>
          <w:lang w:eastAsia="en-US"/>
        </w:rPr>
      </w:pPr>
      <w:r w:rsidRPr="00DF0C62">
        <w:rPr>
          <w:rFonts w:eastAsiaTheme="minorHAnsi"/>
          <w:bCs/>
          <w:szCs w:val="28"/>
          <w:lang w:eastAsia="en-US"/>
        </w:rPr>
        <w:t>Наличие конкурентных факторов определяют ключевые направления дальнейшего динамичного и устойчивого социально-экономического роста с целью повышения благосостояния жителей сельских поселений. Обеспечение увеличения темпов экономического роста и повышения благосостояния населения может быть осуществлено за счет обновления существующих и создания новых производств, притока инвестиций и инноваций, развития агропромышленного комплекса.</w:t>
      </w:r>
    </w:p>
    <w:p w:rsidR="00DF0C62" w:rsidRPr="00DF0C62" w:rsidRDefault="00DF0C62" w:rsidP="00DF0C62">
      <w:pPr>
        <w:ind w:firstLine="709"/>
        <w:jc w:val="both"/>
        <w:rPr>
          <w:rFonts w:eastAsiaTheme="minorHAnsi"/>
          <w:bCs/>
          <w:szCs w:val="28"/>
          <w:lang w:eastAsia="en-US"/>
        </w:rPr>
      </w:pPr>
      <w:r w:rsidRPr="00DF0C62">
        <w:rPr>
          <w:rFonts w:eastAsiaTheme="minorHAnsi"/>
          <w:bCs/>
          <w:szCs w:val="28"/>
          <w:lang w:eastAsia="en-US"/>
        </w:rPr>
        <w:t xml:space="preserve">Удачное геополитическое положение отдельных сельских поселений на пересечении основных автомобильных магистралей и железнодорожных путей, наличие объектов историко-культурного наследия и уникальных природных ресурсов являются конкурентными преимуществами, а также основными факторами развития территорий. </w:t>
      </w:r>
    </w:p>
    <w:p w:rsidR="00DF0C62" w:rsidRPr="00DF0C62" w:rsidRDefault="00DF0C62" w:rsidP="00DF0C62">
      <w:pPr>
        <w:ind w:firstLine="709"/>
        <w:jc w:val="both"/>
        <w:rPr>
          <w:rFonts w:eastAsiaTheme="minorHAnsi"/>
          <w:bCs/>
          <w:szCs w:val="28"/>
          <w:lang w:eastAsia="en-US"/>
        </w:rPr>
      </w:pPr>
      <w:r w:rsidRPr="00DF0C62">
        <w:rPr>
          <w:rFonts w:eastAsiaTheme="minorHAnsi"/>
          <w:bCs/>
          <w:szCs w:val="28"/>
          <w:lang w:eastAsia="en-US"/>
        </w:rPr>
        <w:t>Благоприятный климат, плодородные почвы определяют приоритетные направления агропромышленного комплекса. Инвестиционный потенциал сельских территорий могут определить природные ресурсы.</w:t>
      </w:r>
    </w:p>
    <w:p w:rsidR="00DF0C62" w:rsidRPr="00DF0C62" w:rsidRDefault="00DF0C62" w:rsidP="00DF0C62">
      <w:pPr>
        <w:ind w:firstLine="709"/>
        <w:jc w:val="both"/>
        <w:rPr>
          <w:rFonts w:eastAsiaTheme="minorHAnsi"/>
          <w:bCs/>
          <w:szCs w:val="28"/>
          <w:lang w:eastAsia="en-US"/>
        </w:rPr>
      </w:pPr>
      <w:r w:rsidRPr="00DF0C62">
        <w:rPr>
          <w:rFonts w:eastAsiaTheme="minorHAnsi"/>
          <w:bCs/>
          <w:szCs w:val="28"/>
          <w:lang w:eastAsia="en-US"/>
        </w:rPr>
        <w:t>Можно сказать, что в целом социально-экономическое развитие территории представляет собой качественное изменение жизни населения муниципального образования, вызванное целенаправленными действиями органов государственной власти и местного самоуправления и выражающееся в росте реальных доходов населения, связанного с улучшением конкурентных преимуществ и финансовых результатов деятельности всех хозяйствующих субъектов муниципального образования, росте качества, количества и ассортимента предоставляемых на территории муниципального образования благ и услуг и улучшении их распределения.</w:t>
      </w:r>
    </w:p>
    <w:p w:rsidR="00DF0C62" w:rsidRPr="00DF0C62" w:rsidRDefault="00DF0C62" w:rsidP="00DF0C62">
      <w:pPr>
        <w:ind w:firstLine="709"/>
        <w:jc w:val="both"/>
        <w:rPr>
          <w:rFonts w:eastAsiaTheme="minorHAnsi"/>
          <w:bCs/>
          <w:szCs w:val="28"/>
          <w:lang w:eastAsia="en-US"/>
        </w:rPr>
      </w:pPr>
      <w:r w:rsidRPr="00DF0C62">
        <w:rPr>
          <w:rFonts w:eastAsiaTheme="minorHAnsi"/>
          <w:bCs/>
          <w:szCs w:val="28"/>
          <w:lang w:eastAsia="en-US"/>
        </w:rPr>
        <w:t>Вопрос о привлекательности территории решают жители, предприниматели, инвесторы [4].</w:t>
      </w:r>
    </w:p>
    <w:p w:rsidR="00DF0C62" w:rsidRPr="00DF0C62" w:rsidRDefault="00DF0C62" w:rsidP="00DF0C62">
      <w:pPr>
        <w:ind w:firstLine="709"/>
        <w:jc w:val="both"/>
        <w:rPr>
          <w:rFonts w:eastAsiaTheme="minorHAnsi"/>
          <w:bCs/>
          <w:szCs w:val="28"/>
          <w:lang w:eastAsia="en-US"/>
        </w:rPr>
      </w:pPr>
      <w:r w:rsidRPr="00DF0C62">
        <w:rPr>
          <w:rFonts w:eastAsiaTheme="minorHAnsi"/>
          <w:bCs/>
          <w:szCs w:val="28"/>
          <w:lang w:eastAsia="en-US"/>
        </w:rPr>
        <w:t xml:space="preserve">Предприниматели и инвесторы оценивают такие факторы, как качество рабочей силы, экономическая структура, местная база знаний, налоговый и инвестиционный климат, близость рынков и наличие финансовых ресурсов. Большинство факторов развития территории напрямую связаны с инвестиционной деятельностью. </w:t>
      </w:r>
    </w:p>
    <w:p w:rsidR="00DF0C62" w:rsidRPr="00DF0C62" w:rsidRDefault="00DF0C62" w:rsidP="00DF0C62">
      <w:pPr>
        <w:ind w:firstLine="709"/>
        <w:jc w:val="both"/>
        <w:rPr>
          <w:rFonts w:eastAsiaTheme="minorHAnsi"/>
          <w:bCs/>
          <w:szCs w:val="28"/>
          <w:lang w:eastAsia="en-US"/>
        </w:rPr>
      </w:pPr>
      <w:r w:rsidRPr="00DF0C62">
        <w:rPr>
          <w:rFonts w:eastAsiaTheme="minorHAnsi"/>
          <w:bCs/>
          <w:szCs w:val="28"/>
          <w:lang w:eastAsia="en-US"/>
        </w:rPr>
        <w:t xml:space="preserve">Таким образом, вопрос развития выражается в формировании эффективной инвестиционной политики развития, которая будет способствовать повышению качества жизни, развитию коммунальных, инженерных и социальных объектов в сельских поселениях, повышению конкурентоспособности территорий, развитию сферы </w:t>
      </w:r>
      <w:proofErr w:type="spellStart"/>
      <w:r w:rsidRPr="00DF0C62">
        <w:rPr>
          <w:rFonts w:eastAsiaTheme="minorHAnsi"/>
          <w:bCs/>
          <w:szCs w:val="28"/>
          <w:lang w:eastAsia="en-US"/>
        </w:rPr>
        <w:t>агротуризма</w:t>
      </w:r>
      <w:proofErr w:type="spellEnd"/>
      <w:r w:rsidRPr="00DF0C62">
        <w:rPr>
          <w:rFonts w:eastAsiaTheme="minorHAnsi"/>
          <w:bCs/>
          <w:szCs w:val="28"/>
          <w:lang w:eastAsia="en-US"/>
        </w:rPr>
        <w:t>, а также повышению эффективности использования имеющихся ресурсов.</w:t>
      </w:r>
    </w:p>
    <w:p w:rsidR="00DF0C62" w:rsidRPr="00DF0C62" w:rsidRDefault="00DF0C62" w:rsidP="00DF0C62">
      <w:pPr>
        <w:ind w:firstLine="709"/>
        <w:jc w:val="both"/>
        <w:rPr>
          <w:rFonts w:eastAsiaTheme="minorHAnsi"/>
          <w:bCs/>
          <w:szCs w:val="28"/>
          <w:lang w:eastAsia="en-US"/>
        </w:rPr>
      </w:pPr>
      <w:r w:rsidRPr="00DF0C62">
        <w:rPr>
          <w:rFonts w:eastAsiaTheme="minorHAnsi"/>
          <w:bCs/>
          <w:szCs w:val="28"/>
          <w:lang w:eastAsia="en-US"/>
        </w:rPr>
        <w:t>Каждый фактор инвестиционной привлекательности территории требует определенного внимания, а также грамотное использование, благодаря которым будет сформирован положительный имидж территории.</w:t>
      </w:r>
    </w:p>
    <w:p w:rsidR="00DF0C62" w:rsidRPr="00DF0C62" w:rsidRDefault="00DF0C62" w:rsidP="00DF0C62">
      <w:pPr>
        <w:ind w:firstLine="709"/>
        <w:jc w:val="both"/>
        <w:rPr>
          <w:rFonts w:eastAsiaTheme="minorHAnsi"/>
          <w:bCs/>
          <w:szCs w:val="28"/>
          <w:lang w:eastAsia="en-US"/>
        </w:rPr>
      </w:pPr>
      <w:r w:rsidRPr="00DF0C62">
        <w:rPr>
          <w:rFonts w:eastAsiaTheme="minorHAnsi"/>
          <w:bCs/>
          <w:szCs w:val="28"/>
          <w:lang w:eastAsia="en-US"/>
        </w:rPr>
        <w:t>Необходимо дать обобщенную классификационную характеристику, которая представлена в таблице 1.</w:t>
      </w:r>
    </w:p>
    <w:p w:rsidR="00DF0C62" w:rsidRPr="00DF0C62" w:rsidRDefault="00DF0C62" w:rsidP="00DF0C62">
      <w:pPr>
        <w:ind w:firstLine="708"/>
        <w:jc w:val="both"/>
        <w:rPr>
          <w:rFonts w:eastAsiaTheme="minorHAnsi"/>
          <w:bCs/>
          <w:sz w:val="28"/>
          <w:szCs w:val="28"/>
          <w:lang w:eastAsia="en-US"/>
        </w:rPr>
      </w:pPr>
    </w:p>
    <w:p w:rsidR="00DF0C62" w:rsidRPr="00DF0C62" w:rsidRDefault="00DF0C62" w:rsidP="00DF0C62">
      <w:pPr>
        <w:jc w:val="center"/>
        <w:rPr>
          <w:rFonts w:eastAsiaTheme="minorHAnsi"/>
          <w:bCs/>
          <w:sz w:val="28"/>
          <w:szCs w:val="28"/>
          <w:lang w:val="en-US" w:eastAsia="en-US"/>
        </w:rPr>
      </w:pPr>
      <w:r w:rsidRPr="00DF0C62">
        <w:rPr>
          <w:rFonts w:eastAsiaTheme="minorHAnsi"/>
          <w:bCs/>
          <w:szCs w:val="28"/>
          <w:lang w:eastAsia="en-US"/>
        </w:rPr>
        <w:t xml:space="preserve">Таблица 1 – </w:t>
      </w:r>
      <w:r w:rsidRPr="00DF0C62">
        <w:rPr>
          <w:rFonts w:eastAsiaTheme="minorHAnsi"/>
          <w:b/>
          <w:bCs/>
          <w:szCs w:val="28"/>
          <w:lang w:eastAsia="en-US"/>
        </w:rPr>
        <w:t>Классификация факторов, влияющих на инвестиционную                                  привлекательность территории</w:t>
      </w:r>
      <w:r>
        <w:rPr>
          <w:rFonts w:eastAsiaTheme="minorHAnsi"/>
          <w:b/>
          <w:bCs/>
          <w:szCs w:val="28"/>
          <w:lang w:eastAsia="en-US"/>
        </w:rPr>
        <w:t xml:space="preserve"> </w:t>
      </w:r>
      <w:r>
        <w:rPr>
          <w:rFonts w:eastAsiaTheme="minorHAnsi"/>
          <w:b/>
          <w:bCs/>
          <w:szCs w:val="28"/>
          <w:lang w:val="en-US" w:eastAsia="en-US"/>
        </w:rPr>
        <w:t>[</w:t>
      </w:r>
      <w:r>
        <w:rPr>
          <w:rFonts w:eastAsiaTheme="minorHAnsi"/>
          <w:b/>
          <w:bCs/>
          <w:szCs w:val="28"/>
          <w:lang w:eastAsia="en-US"/>
        </w:rPr>
        <w:t>5</w:t>
      </w:r>
      <w:r>
        <w:rPr>
          <w:rFonts w:eastAsiaTheme="minorHAnsi"/>
          <w:b/>
          <w:bCs/>
          <w:szCs w:val="28"/>
          <w:lang w:val="en-US" w:eastAsia="en-US"/>
        </w:rPr>
        <w:t>]</w:t>
      </w:r>
    </w:p>
    <w:tbl>
      <w:tblPr>
        <w:tblStyle w:val="1"/>
        <w:tblW w:w="0" w:type="auto"/>
        <w:tblLook w:val="04A0" w:firstRow="1" w:lastRow="0" w:firstColumn="1" w:lastColumn="0" w:noHBand="0" w:noVBand="1"/>
      </w:tblPr>
      <w:tblGrid>
        <w:gridCol w:w="4122"/>
        <w:gridCol w:w="5223"/>
      </w:tblGrid>
      <w:tr w:rsidR="00DF0C62" w:rsidRPr="00DF0C62" w:rsidTr="00DF0C62">
        <w:tc>
          <w:tcPr>
            <w:tcW w:w="4122" w:type="dxa"/>
          </w:tcPr>
          <w:p w:rsidR="00DF0C62" w:rsidRPr="00DF0C62" w:rsidRDefault="00DF0C62" w:rsidP="00DF0C62">
            <w:pPr>
              <w:rPr>
                <w:rFonts w:eastAsiaTheme="minorHAnsi"/>
                <w:bCs/>
                <w:szCs w:val="28"/>
                <w:lang w:eastAsia="en-US"/>
              </w:rPr>
            </w:pPr>
            <w:r w:rsidRPr="00DF0C62">
              <w:rPr>
                <w:rFonts w:eastAsiaTheme="minorHAnsi"/>
                <w:bCs/>
                <w:sz w:val="28"/>
                <w:szCs w:val="28"/>
                <w:lang w:eastAsia="en-US"/>
              </w:rPr>
              <w:t xml:space="preserve">       </w:t>
            </w:r>
            <w:r w:rsidRPr="00DF0C62">
              <w:rPr>
                <w:rFonts w:eastAsiaTheme="minorHAnsi"/>
                <w:bCs/>
                <w:szCs w:val="28"/>
                <w:lang w:eastAsia="en-US"/>
              </w:rPr>
              <w:t>Классификационный признак</w:t>
            </w:r>
          </w:p>
        </w:tc>
        <w:tc>
          <w:tcPr>
            <w:tcW w:w="5223" w:type="dxa"/>
          </w:tcPr>
          <w:p w:rsidR="00DF0C62" w:rsidRPr="00DF0C62" w:rsidRDefault="00DF0C62" w:rsidP="00DF0C62">
            <w:pPr>
              <w:jc w:val="center"/>
              <w:rPr>
                <w:rFonts w:eastAsiaTheme="minorHAnsi"/>
                <w:bCs/>
                <w:szCs w:val="28"/>
                <w:lang w:eastAsia="en-US"/>
              </w:rPr>
            </w:pPr>
            <w:r w:rsidRPr="00DF0C62">
              <w:rPr>
                <w:rFonts w:eastAsiaTheme="minorHAnsi"/>
                <w:bCs/>
                <w:szCs w:val="28"/>
                <w:lang w:eastAsia="en-US"/>
              </w:rPr>
              <w:t xml:space="preserve">Факторы </w:t>
            </w:r>
          </w:p>
          <w:p w:rsidR="00DF0C62" w:rsidRPr="00DF0C62" w:rsidRDefault="00DF0C62" w:rsidP="00DF0C62">
            <w:pPr>
              <w:jc w:val="center"/>
              <w:rPr>
                <w:rFonts w:eastAsiaTheme="minorHAnsi"/>
                <w:bCs/>
                <w:szCs w:val="28"/>
                <w:lang w:eastAsia="en-US"/>
              </w:rPr>
            </w:pPr>
            <w:r w:rsidRPr="00DF0C62">
              <w:rPr>
                <w:rFonts w:eastAsiaTheme="minorHAnsi"/>
                <w:bCs/>
                <w:szCs w:val="28"/>
                <w:lang w:eastAsia="en-US"/>
              </w:rPr>
              <w:t>инвестиционной привлекательности</w:t>
            </w:r>
          </w:p>
        </w:tc>
      </w:tr>
      <w:tr w:rsidR="00DF0C62" w:rsidRPr="00DF0C62" w:rsidTr="00DF0C62">
        <w:tc>
          <w:tcPr>
            <w:tcW w:w="4122" w:type="dxa"/>
          </w:tcPr>
          <w:p w:rsidR="00DF0C62" w:rsidRPr="00DF0C62" w:rsidRDefault="00DF0C62" w:rsidP="00DF0C62">
            <w:pPr>
              <w:rPr>
                <w:rFonts w:eastAsiaTheme="minorHAnsi"/>
                <w:bCs/>
                <w:szCs w:val="28"/>
                <w:lang w:eastAsia="en-US"/>
              </w:rPr>
            </w:pPr>
            <w:r w:rsidRPr="00DF0C62">
              <w:rPr>
                <w:rFonts w:eastAsiaTheme="minorHAnsi"/>
                <w:bCs/>
                <w:szCs w:val="28"/>
                <w:lang w:eastAsia="en-US"/>
              </w:rPr>
              <w:t>Источник возникновения</w:t>
            </w:r>
          </w:p>
        </w:tc>
        <w:tc>
          <w:tcPr>
            <w:tcW w:w="5223" w:type="dxa"/>
          </w:tcPr>
          <w:p w:rsidR="00DF0C62" w:rsidRPr="00DF0C62" w:rsidRDefault="00DF0C62" w:rsidP="00DF0C62">
            <w:pPr>
              <w:jc w:val="both"/>
              <w:rPr>
                <w:rFonts w:eastAsiaTheme="minorHAnsi"/>
                <w:bCs/>
                <w:szCs w:val="28"/>
                <w:lang w:eastAsia="en-US"/>
              </w:rPr>
            </w:pPr>
            <w:r w:rsidRPr="00DF0C62">
              <w:rPr>
                <w:rFonts w:eastAsiaTheme="minorHAnsi"/>
                <w:bCs/>
                <w:szCs w:val="28"/>
                <w:lang w:eastAsia="en-US"/>
              </w:rPr>
              <w:t>Внешние (глобальные, национальные), внутренние</w:t>
            </w:r>
          </w:p>
        </w:tc>
      </w:tr>
      <w:tr w:rsidR="00DF0C62" w:rsidRPr="00DF0C62" w:rsidTr="00DF0C62">
        <w:tc>
          <w:tcPr>
            <w:tcW w:w="4122" w:type="dxa"/>
          </w:tcPr>
          <w:p w:rsidR="00DF0C62" w:rsidRPr="00DF0C62" w:rsidRDefault="00DF0C62" w:rsidP="00DF0C62">
            <w:pPr>
              <w:rPr>
                <w:rFonts w:eastAsiaTheme="minorHAnsi"/>
                <w:bCs/>
                <w:szCs w:val="28"/>
                <w:lang w:eastAsia="en-US"/>
              </w:rPr>
            </w:pPr>
            <w:r w:rsidRPr="00DF0C62">
              <w:rPr>
                <w:rFonts w:eastAsiaTheme="minorHAnsi"/>
                <w:bCs/>
                <w:szCs w:val="28"/>
                <w:lang w:eastAsia="en-US"/>
              </w:rPr>
              <w:t>Зависимость от деятельности людей</w:t>
            </w:r>
          </w:p>
        </w:tc>
        <w:tc>
          <w:tcPr>
            <w:tcW w:w="5223" w:type="dxa"/>
          </w:tcPr>
          <w:p w:rsidR="00DF0C62" w:rsidRPr="00DF0C62" w:rsidRDefault="00DF0C62" w:rsidP="00DF0C62">
            <w:pPr>
              <w:jc w:val="both"/>
              <w:rPr>
                <w:rFonts w:eastAsiaTheme="minorHAnsi"/>
                <w:bCs/>
                <w:szCs w:val="28"/>
                <w:lang w:eastAsia="en-US"/>
              </w:rPr>
            </w:pPr>
            <w:r w:rsidRPr="00DF0C62">
              <w:rPr>
                <w:rFonts w:eastAsiaTheme="minorHAnsi"/>
                <w:bCs/>
                <w:szCs w:val="28"/>
                <w:lang w:eastAsia="en-US"/>
              </w:rPr>
              <w:t>Объективные, субъективные</w:t>
            </w:r>
          </w:p>
        </w:tc>
      </w:tr>
      <w:tr w:rsidR="00DF0C62" w:rsidRPr="00DF0C62" w:rsidTr="00DF0C62">
        <w:tc>
          <w:tcPr>
            <w:tcW w:w="4122" w:type="dxa"/>
          </w:tcPr>
          <w:p w:rsidR="00DF0C62" w:rsidRPr="00DF0C62" w:rsidRDefault="00DF0C62" w:rsidP="00DF0C62">
            <w:pPr>
              <w:rPr>
                <w:rFonts w:eastAsiaTheme="minorHAnsi"/>
                <w:bCs/>
                <w:szCs w:val="28"/>
                <w:lang w:eastAsia="en-US"/>
              </w:rPr>
            </w:pPr>
            <w:r w:rsidRPr="00DF0C62">
              <w:rPr>
                <w:rFonts w:eastAsiaTheme="minorHAnsi"/>
                <w:bCs/>
                <w:szCs w:val="28"/>
                <w:lang w:eastAsia="en-US"/>
              </w:rPr>
              <w:t>Составляющие инвестиционной привлекательности</w:t>
            </w:r>
          </w:p>
        </w:tc>
        <w:tc>
          <w:tcPr>
            <w:tcW w:w="5223" w:type="dxa"/>
          </w:tcPr>
          <w:p w:rsidR="00DF0C62" w:rsidRPr="00DF0C62" w:rsidRDefault="00DF0C62" w:rsidP="00DF0C62">
            <w:pPr>
              <w:jc w:val="both"/>
              <w:rPr>
                <w:rFonts w:eastAsiaTheme="minorHAnsi"/>
                <w:bCs/>
                <w:szCs w:val="28"/>
                <w:lang w:eastAsia="en-US"/>
              </w:rPr>
            </w:pPr>
            <w:r w:rsidRPr="00DF0C62">
              <w:rPr>
                <w:rFonts w:eastAsiaTheme="minorHAnsi"/>
                <w:bCs/>
                <w:szCs w:val="28"/>
                <w:lang w:eastAsia="en-US"/>
              </w:rPr>
              <w:t>Инвестиционного потенциала, инвестиционного риска</w:t>
            </w:r>
          </w:p>
        </w:tc>
      </w:tr>
      <w:tr w:rsidR="00DF0C62" w:rsidRPr="00DF0C62" w:rsidTr="00DF0C62">
        <w:tc>
          <w:tcPr>
            <w:tcW w:w="4122" w:type="dxa"/>
          </w:tcPr>
          <w:p w:rsidR="00DF0C62" w:rsidRPr="00DF0C62" w:rsidRDefault="00DF0C62" w:rsidP="00DF0C62">
            <w:pPr>
              <w:rPr>
                <w:rFonts w:eastAsiaTheme="minorHAnsi"/>
                <w:bCs/>
                <w:szCs w:val="28"/>
                <w:lang w:eastAsia="en-US"/>
              </w:rPr>
            </w:pPr>
            <w:r w:rsidRPr="00DF0C62">
              <w:rPr>
                <w:rFonts w:eastAsiaTheme="minorHAnsi"/>
                <w:bCs/>
                <w:szCs w:val="28"/>
                <w:lang w:eastAsia="en-US"/>
              </w:rPr>
              <w:t>Направленность воздействия</w:t>
            </w:r>
          </w:p>
        </w:tc>
        <w:tc>
          <w:tcPr>
            <w:tcW w:w="5223" w:type="dxa"/>
          </w:tcPr>
          <w:p w:rsidR="00DF0C62" w:rsidRPr="00DF0C62" w:rsidRDefault="00DF0C62" w:rsidP="00DF0C62">
            <w:pPr>
              <w:jc w:val="both"/>
              <w:rPr>
                <w:rFonts w:eastAsiaTheme="minorHAnsi"/>
                <w:bCs/>
                <w:szCs w:val="28"/>
                <w:lang w:eastAsia="en-US"/>
              </w:rPr>
            </w:pPr>
            <w:r w:rsidRPr="00DF0C62">
              <w:rPr>
                <w:rFonts w:eastAsiaTheme="minorHAnsi"/>
                <w:bCs/>
                <w:szCs w:val="28"/>
                <w:lang w:eastAsia="en-US"/>
              </w:rPr>
              <w:t>Благоприятные, неблагоприятные</w:t>
            </w:r>
          </w:p>
        </w:tc>
      </w:tr>
      <w:tr w:rsidR="00DF0C62" w:rsidRPr="00DF0C62" w:rsidTr="00DF0C62">
        <w:tc>
          <w:tcPr>
            <w:tcW w:w="4122" w:type="dxa"/>
          </w:tcPr>
          <w:p w:rsidR="00DF0C62" w:rsidRPr="00DF0C62" w:rsidRDefault="00DF0C62" w:rsidP="00DF0C62">
            <w:pPr>
              <w:rPr>
                <w:rFonts w:eastAsiaTheme="minorHAnsi"/>
                <w:bCs/>
                <w:szCs w:val="28"/>
                <w:lang w:eastAsia="en-US"/>
              </w:rPr>
            </w:pPr>
            <w:r w:rsidRPr="00DF0C62">
              <w:rPr>
                <w:rFonts w:eastAsiaTheme="minorHAnsi"/>
                <w:bCs/>
                <w:szCs w:val="28"/>
                <w:lang w:eastAsia="en-US"/>
              </w:rPr>
              <w:t>Длительность воздействия</w:t>
            </w:r>
          </w:p>
        </w:tc>
        <w:tc>
          <w:tcPr>
            <w:tcW w:w="5223" w:type="dxa"/>
          </w:tcPr>
          <w:p w:rsidR="00DF0C62" w:rsidRPr="00DF0C62" w:rsidRDefault="00DF0C62" w:rsidP="00DF0C62">
            <w:pPr>
              <w:jc w:val="both"/>
              <w:rPr>
                <w:rFonts w:eastAsiaTheme="minorHAnsi"/>
                <w:bCs/>
                <w:szCs w:val="28"/>
                <w:lang w:eastAsia="en-US"/>
              </w:rPr>
            </w:pPr>
            <w:r w:rsidRPr="00DF0C62">
              <w:rPr>
                <w:rFonts w:eastAsiaTheme="minorHAnsi"/>
                <w:bCs/>
                <w:szCs w:val="28"/>
                <w:lang w:eastAsia="en-US"/>
              </w:rPr>
              <w:t>Долговременные, среднесрочные, краткосрочные</w:t>
            </w:r>
          </w:p>
        </w:tc>
      </w:tr>
      <w:tr w:rsidR="00DF0C62" w:rsidRPr="00DF0C62" w:rsidTr="00DF0C62">
        <w:tc>
          <w:tcPr>
            <w:tcW w:w="4122" w:type="dxa"/>
          </w:tcPr>
          <w:p w:rsidR="00DF0C62" w:rsidRPr="00DF0C62" w:rsidRDefault="00DF0C62" w:rsidP="00DF0C62">
            <w:pPr>
              <w:rPr>
                <w:rFonts w:eastAsiaTheme="minorHAnsi"/>
                <w:bCs/>
                <w:szCs w:val="28"/>
                <w:lang w:eastAsia="en-US"/>
              </w:rPr>
            </w:pPr>
            <w:r w:rsidRPr="00DF0C62">
              <w:rPr>
                <w:rFonts w:eastAsiaTheme="minorHAnsi"/>
                <w:bCs/>
                <w:szCs w:val="28"/>
                <w:lang w:eastAsia="en-US"/>
              </w:rPr>
              <w:t>Сфера формирования</w:t>
            </w:r>
          </w:p>
        </w:tc>
        <w:tc>
          <w:tcPr>
            <w:tcW w:w="5223" w:type="dxa"/>
          </w:tcPr>
          <w:p w:rsidR="00DF0C62" w:rsidRPr="00DF0C62" w:rsidRDefault="00DF0C62" w:rsidP="00DF0C62">
            <w:pPr>
              <w:jc w:val="both"/>
              <w:rPr>
                <w:rFonts w:eastAsiaTheme="minorHAnsi"/>
                <w:bCs/>
                <w:szCs w:val="28"/>
                <w:lang w:eastAsia="en-US"/>
              </w:rPr>
            </w:pPr>
            <w:r w:rsidRPr="00DF0C62">
              <w:rPr>
                <w:rFonts w:eastAsiaTheme="minorHAnsi"/>
                <w:bCs/>
                <w:szCs w:val="28"/>
                <w:lang w:eastAsia="en-US"/>
              </w:rPr>
              <w:t>Институциональные, экономические, политические, финансовые, социальные, социокультурные, инновационные, экологические и т.д.</w:t>
            </w:r>
          </w:p>
        </w:tc>
      </w:tr>
      <w:tr w:rsidR="00DF0C62" w:rsidRPr="00DF0C62" w:rsidTr="00DF0C62">
        <w:tc>
          <w:tcPr>
            <w:tcW w:w="4122" w:type="dxa"/>
          </w:tcPr>
          <w:p w:rsidR="00DF0C62" w:rsidRPr="00DF0C62" w:rsidRDefault="00DF0C62" w:rsidP="00DF0C62">
            <w:pPr>
              <w:rPr>
                <w:rFonts w:eastAsiaTheme="minorHAnsi"/>
                <w:bCs/>
                <w:szCs w:val="28"/>
                <w:lang w:eastAsia="en-US"/>
              </w:rPr>
            </w:pPr>
            <w:r w:rsidRPr="00DF0C62">
              <w:rPr>
                <w:rFonts w:eastAsiaTheme="minorHAnsi"/>
                <w:bCs/>
                <w:szCs w:val="28"/>
                <w:lang w:eastAsia="en-US"/>
              </w:rPr>
              <w:t>Предсказуемость</w:t>
            </w:r>
          </w:p>
        </w:tc>
        <w:tc>
          <w:tcPr>
            <w:tcW w:w="5223" w:type="dxa"/>
          </w:tcPr>
          <w:p w:rsidR="00DF0C62" w:rsidRPr="00DF0C62" w:rsidRDefault="00DF0C62" w:rsidP="00DF0C62">
            <w:pPr>
              <w:jc w:val="both"/>
              <w:rPr>
                <w:rFonts w:eastAsiaTheme="minorHAnsi"/>
                <w:bCs/>
                <w:szCs w:val="28"/>
                <w:lang w:eastAsia="en-US"/>
              </w:rPr>
            </w:pPr>
            <w:r w:rsidRPr="00DF0C62">
              <w:rPr>
                <w:rFonts w:eastAsiaTheme="minorHAnsi"/>
                <w:bCs/>
                <w:szCs w:val="28"/>
                <w:lang w:eastAsia="en-US"/>
              </w:rPr>
              <w:t>Прогнозируемые, непрогнозируемые</w:t>
            </w:r>
          </w:p>
        </w:tc>
      </w:tr>
      <w:tr w:rsidR="00DF0C62" w:rsidRPr="00DF0C62" w:rsidTr="00DF0C62">
        <w:tc>
          <w:tcPr>
            <w:tcW w:w="4122" w:type="dxa"/>
          </w:tcPr>
          <w:p w:rsidR="00DF0C62" w:rsidRPr="00DF0C62" w:rsidRDefault="00DF0C62" w:rsidP="00DF0C62">
            <w:pPr>
              <w:rPr>
                <w:rFonts w:eastAsiaTheme="minorHAnsi"/>
                <w:bCs/>
                <w:szCs w:val="28"/>
                <w:lang w:eastAsia="en-US"/>
              </w:rPr>
            </w:pPr>
            <w:r w:rsidRPr="00DF0C62">
              <w:rPr>
                <w:rFonts w:eastAsiaTheme="minorHAnsi"/>
                <w:bCs/>
                <w:szCs w:val="28"/>
                <w:lang w:eastAsia="en-US"/>
              </w:rPr>
              <w:t>Управляемость</w:t>
            </w:r>
          </w:p>
        </w:tc>
        <w:tc>
          <w:tcPr>
            <w:tcW w:w="5223" w:type="dxa"/>
          </w:tcPr>
          <w:p w:rsidR="00DF0C62" w:rsidRPr="00DF0C62" w:rsidRDefault="00DF0C62" w:rsidP="00DF0C62">
            <w:pPr>
              <w:jc w:val="both"/>
              <w:rPr>
                <w:rFonts w:eastAsiaTheme="minorHAnsi"/>
                <w:bCs/>
                <w:szCs w:val="28"/>
                <w:lang w:eastAsia="en-US"/>
              </w:rPr>
            </w:pPr>
            <w:r w:rsidRPr="00DF0C62">
              <w:rPr>
                <w:rFonts w:eastAsiaTheme="minorHAnsi"/>
                <w:bCs/>
                <w:szCs w:val="28"/>
                <w:lang w:eastAsia="en-US"/>
              </w:rPr>
              <w:t>Управляемые (регулируемые), неуправляемые (нерегулируемые)</w:t>
            </w:r>
          </w:p>
        </w:tc>
      </w:tr>
      <w:tr w:rsidR="00DF0C62" w:rsidRPr="00DF0C62" w:rsidTr="00DF0C62">
        <w:tc>
          <w:tcPr>
            <w:tcW w:w="4122" w:type="dxa"/>
          </w:tcPr>
          <w:p w:rsidR="00DF0C62" w:rsidRPr="00DF0C62" w:rsidRDefault="00DF0C62" w:rsidP="00DF0C62">
            <w:pPr>
              <w:rPr>
                <w:rFonts w:eastAsiaTheme="minorHAnsi"/>
                <w:bCs/>
                <w:szCs w:val="28"/>
                <w:lang w:eastAsia="en-US"/>
              </w:rPr>
            </w:pPr>
            <w:r w:rsidRPr="00DF0C62">
              <w:rPr>
                <w:rFonts w:eastAsiaTheme="minorHAnsi"/>
                <w:bCs/>
                <w:szCs w:val="28"/>
                <w:lang w:eastAsia="en-US"/>
              </w:rPr>
              <w:t>Способ выражения</w:t>
            </w:r>
          </w:p>
        </w:tc>
        <w:tc>
          <w:tcPr>
            <w:tcW w:w="5223" w:type="dxa"/>
          </w:tcPr>
          <w:p w:rsidR="00DF0C62" w:rsidRPr="00DF0C62" w:rsidRDefault="00DF0C62" w:rsidP="00DF0C62">
            <w:pPr>
              <w:jc w:val="both"/>
              <w:rPr>
                <w:rFonts w:eastAsiaTheme="minorHAnsi"/>
                <w:bCs/>
                <w:szCs w:val="28"/>
                <w:lang w:eastAsia="en-US"/>
              </w:rPr>
            </w:pPr>
            <w:r w:rsidRPr="00DF0C62">
              <w:rPr>
                <w:rFonts w:eastAsiaTheme="minorHAnsi"/>
                <w:bCs/>
                <w:szCs w:val="28"/>
                <w:lang w:eastAsia="en-US"/>
              </w:rPr>
              <w:t>Количественные, качественные</w:t>
            </w:r>
          </w:p>
        </w:tc>
      </w:tr>
      <w:tr w:rsidR="00DF0C62" w:rsidRPr="00DF0C62" w:rsidTr="00DF0C62">
        <w:tc>
          <w:tcPr>
            <w:tcW w:w="4122" w:type="dxa"/>
          </w:tcPr>
          <w:p w:rsidR="00DF0C62" w:rsidRPr="00DF0C62" w:rsidRDefault="00DF0C62" w:rsidP="00DF0C62">
            <w:pPr>
              <w:rPr>
                <w:rFonts w:eastAsiaTheme="minorHAnsi"/>
                <w:bCs/>
                <w:szCs w:val="28"/>
                <w:lang w:eastAsia="en-US"/>
              </w:rPr>
            </w:pPr>
            <w:r w:rsidRPr="00DF0C62">
              <w:rPr>
                <w:rFonts w:eastAsiaTheme="minorHAnsi"/>
                <w:bCs/>
                <w:szCs w:val="28"/>
                <w:lang w:eastAsia="en-US"/>
              </w:rPr>
              <w:t>Значимость</w:t>
            </w:r>
          </w:p>
        </w:tc>
        <w:tc>
          <w:tcPr>
            <w:tcW w:w="5223" w:type="dxa"/>
          </w:tcPr>
          <w:p w:rsidR="00DF0C62" w:rsidRPr="00DF0C62" w:rsidRDefault="00DF0C62" w:rsidP="00DF0C62">
            <w:pPr>
              <w:jc w:val="both"/>
              <w:rPr>
                <w:rFonts w:eastAsiaTheme="minorHAnsi"/>
                <w:bCs/>
                <w:szCs w:val="28"/>
                <w:lang w:eastAsia="en-US"/>
              </w:rPr>
            </w:pPr>
            <w:r w:rsidRPr="00DF0C62">
              <w:rPr>
                <w:rFonts w:eastAsiaTheme="minorHAnsi"/>
                <w:bCs/>
                <w:szCs w:val="28"/>
                <w:lang w:eastAsia="en-US"/>
              </w:rPr>
              <w:t>Существенные, несущественные</w:t>
            </w:r>
          </w:p>
        </w:tc>
      </w:tr>
      <w:tr w:rsidR="00DF0C62" w:rsidRPr="00DF0C62" w:rsidTr="00DF0C62">
        <w:tc>
          <w:tcPr>
            <w:tcW w:w="4122" w:type="dxa"/>
          </w:tcPr>
          <w:p w:rsidR="00DF0C62" w:rsidRPr="00DF0C62" w:rsidRDefault="00DF0C62" w:rsidP="00DF0C62">
            <w:pPr>
              <w:rPr>
                <w:rFonts w:eastAsiaTheme="minorHAnsi"/>
                <w:bCs/>
                <w:szCs w:val="28"/>
                <w:lang w:eastAsia="en-US"/>
              </w:rPr>
            </w:pPr>
            <w:r w:rsidRPr="00DF0C62">
              <w:rPr>
                <w:rFonts w:eastAsiaTheme="minorHAnsi"/>
                <w:bCs/>
                <w:szCs w:val="28"/>
                <w:lang w:eastAsia="en-US"/>
              </w:rPr>
              <w:t>Степень интенсивности изменений</w:t>
            </w:r>
          </w:p>
        </w:tc>
        <w:tc>
          <w:tcPr>
            <w:tcW w:w="5223" w:type="dxa"/>
          </w:tcPr>
          <w:p w:rsidR="00DF0C62" w:rsidRPr="00DF0C62" w:rsidRDefault="00DF0C62" w:rsidP="00DF0C62">
            <w:pPr>
              <w:jc w:val="both"/>
              <w:rPr>
                <w:rFonts w:eastAsiaTheme="minorHAnsi"/>
                <w:bCs/>
                <w:szCs w:val="28"/>
                <w:lang w:eastAsia="en-US"/>
              </w:rPr>
            </w:pPr>
            <w:r w:rsidRPr="00DF0C62">
              <w:rPr>
                <w:rFonts w:eastAsiaTheme="minorHAnsi"/>
                <w:bCs/>
                <w:szCs w:val="28"/>
                <w:lang w:eastAsia="en-US"/>
              </w:rPr>
              <w:t>Быстро меняющиеся, умеренно меняющиеся, медленно меняющиеся, практически неменяющиеся</w:t>
            </w:r>
          </w:p>
        </w:tc>
      </w:tr>
    </w:tbl>
    <w:p w:rsidR="00DF0C62" w:rsidRDefault="00DF0C62" w:rsidP="00DF0C62">
      <w:pPr>
        <w:spacing w:after="160" w:line="259" w:lineRule="auto"/>
        <w:rPr>
          <w:rFonts w:eastAsiaTheme="minorHAnsi"/>
          <w:sz w:val="28"/>
          <w:szCs w:val="28"/>
          <w:lang w:eastAsia="en-US"/>
        </w:rPr>
      </w:pPr>
    </w:p>
    <w:p w:rsidR="00DF0C62" w:rsidRPr="00DF0C62" w:rsidRDefault="00DF0C62" w:rsidP="00DF0C62">
      <w:pPr>
        <w:spacing w:line="259" w:lineRule="auto"/>
        <w:ind w:firstLine="709"/>
        <w:jc w:val="both"/>
        <w:rPr>
          <w:rFonts w:asciiTheme="minorHAnsi" w:eastAsiaTheme="minorHAnsi" w:hAnsiTheme="minorHAnsi" w:cstheme="minorBidi"/>
          <w:sz w:val="20"/>
          <w:szCs w:val="22"/>
          <w:lang w:eastAsia="en-US"/>
        </w:rPr>
      </w:pPr>
      <w:r w:rsidRPr="00DF0C62">
        <w:rPr>
          <w:rFonts w:eastAsiaTheme="minorHAnsi"/>
          <w:szCs w:val="28"/>
          <w:lang w:eastAsia="en-US"/>
        </w:rPr>
        <w:t>Рассмотренные факторы инвестиционной привлекательности сельских поселений могут быть использованы органами МСУ поселений, бизнесом, некоммерческими организациями, населением для привлечения инвестиций в местную экономику, социальную сферу, инфраструктуру сельских поселений, а также развитию бизнеса, росту налоговых поступлений в бюджет, повышению доходов и занятости населения.</w:t>
      </w:r>
    </w:p>
    <w:p w:rsidR="00D36AA2" w:rsidRDefault="00D36AA2" w:rsidP="00D36AA2">
      <w:pPr>
        <w:jc w:val="center"/>
        <w:rPr>
          <w:b/>
        </w:rPr>
      </w:pPr>
      <w:r w:rsidRPr="000C0FBC">
        <w:rPr>
          <w:b/>
        </w:rPr>
        <w:t>Список литературы</w:t>
      </w:r>
    </w:p>
    <w:p w:rsidR="00D36AA2" w:rsidRDefault="00D36AA2" w:rsidP="00D36AA2">
      <w:pPr>
        <w:rPr>
          <w:b/>
        </w:rPr>
      </w:pPr>
    </w:p>
    <w:p w:rsidR="00DF0C62" w:rsidRPr="00DF0C62" w:rsidRDefault="00DF0C62" w:rsidP="00DF0C62">
      <w:pPr>
        <w:pStyle w:val="a5"/>
        <w:numPr>
          <w:ilvl w:val="0"/>
          <w:numId w:val="7"/>
        </w:numPr>
        <w:tabs>
          <w:tab w:val="left" w:pos="1134"/>
        </w:tabs>
        <w:ind w:left="0" w:firstLine="709"/>
        <w:jc w:val="both"/>
        <w:rPr>
          <w:sz w:val="24"/>
          <w:szCs w:val="28"/>
        </w:rPr>
      </w:pPr>
      <w:r w:rsidRPr="00DF0C62">
        <w:rPr>
          <w:sz w:val="24"/>
          <w:szCs w:val="28"/>
        </w:rPr>
        <w:t xml:space="preserve">Разработка и обоснование инвестиционной политики// </w:t>
      </w:r>
      <w:r w:rsidRPr="00DF0C62">
        <w:rPr>
          <w:sz w:val="24"/>
          <w:szCs w:val="28"/>
          <w:lang w:val="en-US"/>
        </w:rPr>
        <w:t>I</w:t>
      </w:r>
      <w:proofErr w:type="spellStart"/>
      <w:r w:rsidRPr="00DF0C62">
        <w:rPr>
          <w:sz w:val="24"/>
          <w:szCs w:val="28"/>
        </w:rPr>
        <w:t>nvesticii</w:t>
      </w:r>
      <w:proofErr w:type="spellEnd"/>
      <w:r w:rsidRPr="00DF0C62">
        <w:rPr>
          <w:sz w:val="24"/>
          <w:szCs w:val="28"/>
        </w:rPr>
        <w:t xml:space="preserve">-V [электронный ресурс]. – 2017. – </w:t>
      </w:r>
      <w:r w:rsidRPr="00DF0C62">
        <w:rPr>
          <w:sz w:val="24"/>
          <w:szCs w:val="28"/>
          <w:lang w:val="en-US"/>
        </w:rPr>
        <w:t>URL</w:t>
      </w:r>
      <w:r w:rsidRPr="00DF0C62">
        <w:rPr>
          <w:sz w:val="24"/>
          <w:szCs w:val="28"/>
        </w:rPr>
        <w:t xml:space="preserve">: </w:t>
      </w:r>
      <w:hyperlink r:id="rId10" w:history="1">
        <w:r w:rsidRPr="00DF0C62">
          <w:rPr>
            <w:rStyle w:val="a3"/>
            <w:sz w:val="24"/>
            <w:szCs w:val="28"/>
            <w:lang w:val="en-US"/>
          </w:rPr>
          <w:t>https</w:t>
        </w:r>
        <w:r w:rsidRPr="00DF0C62">
          <w:rPr>
            <w:rStyle w:val="a3"/>
            <w:sz w:val="24"/>
            <w:szCs w:val="28"/>
          </w:rPr>
          <w:t>://</w:t>
        </w:r>
        <w:proofErr w:type="spellStart"/>
        <w:r w:rsidRPr="00DF0C62">
          <w:rPr>
            <w:rStyle w:val="a3"/>
            <w:sz w:val="24"/>
            <w:szCs w:val="28"/>
            <w:lang w:val="en-US"/>
          </w:rPr>
          <w:t>investicii</w:t>
        </w:r>
        <w:proofErr w:type="spellEnd"/>
        <w:r w:rsidRPr="00DF0C62">
          <w:rPr>
            <w:rStyle w:val="a3"/>
            <w:sz w:val="24"/>
            <w:szCs w:val="28"/>
          </w:rPr>
          <w:t>-</w:t>
        </w:r>
        <w:r w:rsidRPr="00DF0C62">
          <w:rPr>
            <w:rStyle w:val="a3"/>
            <w:sz w:val="24"/>
            <w:szCs w:val="28"/>
            <w:lang w:val="en-US"/>
          </w:rPr>
          <w:t>v</w:t>
        </w:r>
        <w:r w:rsidRPr="00DF0C62">
          <w:rPr>
            <w:rStyle w:val="a3"/>
            <w:sz w:val="24"/>
            <w:szCs w:val="28"/>
          </w:rPr>
          <w:t>.</w:t>
        </w:r>
        <w:proofErr w:type="spellStart"/>
        <w:r w:rsidRPr="00DF0C62">
          <w:rPr>
            <w:rStyle w:val="a3"/>
            <w:sz w:val="24"/>
            <w:szCs w:val="28"/>
            <w:lang w:val="en-US"/>
          </w:rPr>
          <w:t>ru</w:t>
        </w:r>
        <w:proofErr w:type="spellEnd"/>
        <w:r w:rsidRPr="00DF0C62">
          <w:rPr>
            <w:rStyle w:val="a3"/>
            <w:sz w:val="24"/>
            <w:szCs w:val="28"/>
          </w:rPr>
          <w:t>/</w:t>
        </w:r>
        <w:proofErr w:type="spellStart"/>
        <w:r w:rsidRPr="00DF0C62">
          <w:rPr>
            <w:rStyle w:val="a3"/>
            <w:sz w:val="24"/>
            <w:szCs w:val="28"/>
            <w:lang w:val="en-US"/>
          </w:rPr>
          <w:t>investicionnaya</w:t>
        </w:r>
        <w:proofErr w:type="spellEnd"/>
        <w:r w:rsidRPr="00DF0C62">
          <w:rPr>
            <w:rStyle w:val="a3"/>
            <w:sz w:val="24"/>
            <w:szCs w:val="28"/>
          </w:rPr>
          <w:t>_</w:t>
        </w:r>
        <w:proofErr w:type="spellStart"/>
        <w:r w:rsidRPr="00DF0C62">
          <w:rPr>
            <w:rStyle w:val="a3"/>
            <w:sz w:val="24"/>
            <w:szCs w:val="28"/>
            <w:lang w:val="en-US"/>
          </w:rPr>
          <w:t>politika</w:t>
        </w:r>
        <w:proofErr w:type="spellEnd"/>
        <w:r w:rsidRPr="00DF0C62">
          <w:rPr>
            <w:rStyle w:val="a3"/>
            <w:sz w:val="24"/>
            <w:szCs w:val="28"/>
          </w:rPr>
          <w:t>/</w:t>
        </w:r>
      </w:hyperlink>
      <w:r w:rsidRPr="00DF0C62">
        <w:rPr>
          <w:sz w:val="24"/>
          <w:szCs w:val="28"/>
        </w:rPr>
        <w:t xml:space="preserve">  (дата обращения: 17.0</w:t>
      </w:r>
      <w:r>
        <w:rPr>
          <w:sz w:val="24"/>
          <w:szCs w:val="28"/>
        </w:rPr>
        <w:t>4</w:t>
      </w:r>
      <w:r w:rsidRPr="00DF0C62">
        <w:rPr>
          <w:sz w:val="24"/>
          <w:szCs w:val="28"/>
        </w:rPr>
        <w:t>.2022)</w:t>
      </w:r>
    </w:p>
    <w:p w:rsidR="00DF0C62" w:rsidRPr="00DF0C62" w:rsidRDefault="00DF0C62" w:rsidP="00DF0C62">
      <w:pPr>
        <w:pStyle w:val="a5"/>
        <w:numPr>
          <w:ilvl w:val="0"/>
          <w:numId w:val="7"/>
        </w:numPr>
        <w:tabs>
          <w:tab w:val="left" w:pos="1134"/>
        </w:tabs>
        <w:ind w:left="0" w:firstLine="709"/>
        <w:jc w:val="both"/>
        <w:rPr>
          <w:sz w:val="24"/>
          <w:szCs w:val="28"/>
        </w:rPr>
      </w:pPr>
      <w:r w:rsidRPr="00DF0C62">
        <w:rPr>
          <w:sz w:val="24"/>
          <w:szCs w:val="28"/>
        </w:rPr>
        <w:t xml:space="preserve">Сидоренко О.В. Классификация инструментов реализации региональной инвестиционной политики// Некоммерческий фонд содействия развитию экономической науки и образования "Экономика" [электронный ресурс]. – 2019.  – </w:t>
      </w:r>
      <w:r w:rsidRPr="00DF0C62">
        <w:rPr>
          <w:sz w:val="24"/>
          <w:szCs w:val="28"/>
          <w:lang w:val="en-US"/>
        </w:rPr>
        <w:t>URL</w:t>
      </w:r>
      <w:r w:rsidRPr="00DF0C62">
        <w:rPr>
          <w:sz w:val="24"/>
          <w:szCs w:val="28"/>
        </w:rPr>
        <w:t>:</w:t>
      </w:r>
      <w:proofErr w:type="spellStart"/>
      <w:r w:rsidR="00C22A77">
        <w:fldChar w:fldCharType="begin"/>
      </w:r>
      <w:r w:rsidR="00C22A77">
        <w:instrText xml:space="preserve"> HYPERLINK "https://elibrary.ru/item.asp?id=37042240" </w:instrText>
      </w:r>
      <w:r w:rsidR="00C22A77">
        <w:fldChar w:fldCharType="separate"/>
      </w:r>
      <w:r w:rsidRPr="00DF0C62">
        <w:rPr>
          <w:rStyle w:val="a3"/>
          <w:sz w:val="24"/>
          <w:szCs w:val="28"/>
        </w:rPr>
        <w:t>https</w:t>
      </w:r>
      <w:proofErr w:type="spellEnd"/>
      <w:r w:rsidRPr="00DF0C62">
        <w:rPr>
          <w:rStyle w:val="a3"/>
          <w:sz w:val="24"/>
          <w:szCs w:val="28"/>
        </w:rPr>
        <w:t>://elibrary.ru/</w:t>
      </w:r>
      <w:proofErr w:type="spellStart"/>
      <w:r w:rsidRPr="00DF0C62">
        <w:rPr>
          <w:rStyle w:val="a3"/>
          <w:sz w:val="24"/>
          <w:szCs w:val="28"/>
        </w:rPr>
        <w:t>item.asp?id</w:t>
      </w:r>
      <w:proofErr w:type="spellEnd"/>
      <w:r w:rsidRPr="00DF0C62">
        <w:rPr>
          <w:rStyle w:val="a3"/>
          <w:sz w:val="24"/>
          <w:szCs w:val="28"/>
        </w:rPr>
        <w:t>=37042240</w:t>
      </w:r>
      <w:r w:rsidR="00C22A77">
        <w:rPr>
          <w:rStyle w:val="a3"/>
          <w:sz w:val="24"/>
          <w:szCs w:val="28"/>
        </w:rPr>
        <w:fldChar w:fldCharType="end"/>
      </w:r>
      <w:r w:rsidRPr="00DF0C62">
        <w:rPr>
          <w:rStyle w:val="a3"/>
          <w:sz w:val="24"/>
          <w:szCs w:val="28"/>
        </w:rPr>
        <w:t xml:space="preserve"> (дата обращения 17.04.2022)</w:t>
      </w:r>
    </w:p>
    <w:p w:rsidR="00DF0C62" w:rsidRPr="00DF0C62" w:rsidRDefault="00DF0C62" w:rsidP="00DF0C62">
      <w:pPr>
        <w:pStyle w:val="a5"/>
        <w:numPr>
          <w:ilvl w:val="0"/>
          <w:numId w:val="7"/>
        </w:numPr>
        <w:tabs>
          <w:tab w:val="left" w:pos="1134"/>
        </w:tabs>
        <w:ind w:left="0" w:firstLine="709"/>
        <w:jc w:val="both"/>
        <w:rPr>
          <w:sz w:val="24"/>
          <w:szCs w:val="28"/>
        </w:rPr>
      </w:pPr>
      <w:r w:rsidRPr="00DF0C62">
        <w:rPr>
          <w:sz w:val="24"/>
          <w:szCs w:val="28"/>
        </w:rPr>
        <w:t xml:space="preserve">Воробьева Жанна Борисовна. Инвестиционная политика в регионе и инструменты ее реализации // Известия </w:t>
      </w:r>
      <w:proofErr w:type="spellStart"/>
      <w:r w:rsidRPr="00DF0C62">
        <w:rPr>
          <w:sz w:val="24"/>
          <w:szCs w:val="28"/>
        </w:rPr>
        <w:t>ТулГУ</w:t>
      </w:r>
      <w:proofErr w:type="spellEnd"/>
      <w:r w:rsidRPr="00DF0C62">
        <w:rPr>
          <w:sz w:val="24"/>
          <w:szCs w:val="28"/>
        </w:rPr>
        <w:t xml:space="preserve">. Экономические и юридические науки [электронный ресурс]. – 2016. – URL: </w:t>
      </w:r>
      <w:hyperlink r:id="rId11" w:history="1">
        <w:r w:rsidRPr="00DF0C62">
          <w:rPr>
            <w:rStyle w:val="a3"/>
            <w:sz w:val="24"/>
            <w:szCs w:val="28"/>
          </w:rPr>
          <w:t>https://cyberleninka.ru/article/n/investitsionnaya-politika-v-regione-i-instrumenty-ee-realizatsii</w:t>
        </w:r>
      </w:hyperlink>
      <w:r w:rsidRPr="00DF0C62">
        <w:rPr>
          <w:sz w:val="24"/>
          <w:szCs w:val="28"/>
        </w:rPr>
        <w:t xml:space="preserve"> (дата обращения 17.04.2022). </w:t>
      </w:r>
    </w:p>
    <w:p w:rsidR="00DF0C62" w:rsidRPr="00DF0C62" w:rsidRDefault="00DF0C62" w:rsidP="00DF0C62">
      <w:pPr>
        <w:pStyle w:val="a5"/>
        <w:numPr>
          <w:ilvl w:val="0"/>
          <w:numId w:val="7"/>
        </w:numPr>
        <w:tabs>
          <w:tab w:val="left" w:pos="1134"/>
        </w:tabs>
        <w:ind w:left="0" w:firstLine="709"/>
        <w:jc w:val="both"/>
        <w:rPr>
          <w:sz w:val="24"/>
          <w:szCs w:val="28"/>
        </w:rPr>
      </w:pPr>
      <w:r w:rsidRPr="00DF0C62">
        <w:rPr>
          <w:sz w:val="24"/>
          <w:szCs w:val="28"/>
        </w:rPr>
        <w:t xml:space="preserve">Арсланова Х.Д., </w:t>
      </w:r>
      <w:proofErr w:type="spellStart"/>
      <w:r w:rsidRPr="00DF0C62">
        <w:rPr>
          <w:sz w:val="24"/>
          <w:szCs w:val="28"/>
        </w:rPr>
        <w:t>Шахтаманова</w:t>
      </w:r>
      <w:proofErr w:type="spellEnd"/>
      <w:r w:rsidRPr="00DF0C62">
        <w:rPr>
          <w:sz w:val="24"/>
          <w:szCs w:val="28"/>
        </w:rPr>
        <w:t xml:space="preserve"> Л.Г. Современный взгляд </w:t>
      </w:r>
      <w:proofErr w:type="gramStart"/>
      <w:r w:rsidRPr="00DF0C62">
        <w:rPr>
          <w:sz w:val="24"/>
          <w:szCs w:val="28"/>
        </w:rPr>
        <w:t>на инвестиционную политику регионов</w:t>
      </w:r>
      <w:proofErr w:type="gramEnd"/>
      <w:r w:rsidRPr="00DF0C62">
        <w:rPr>
          <w:sz w:val="24"/>
          <w:szCs w:val="28"/>
        </w:rPr>
        <w:t xml:space="preserve">// Тамбовский государственный университет имени Г.Р. Державина (Тамбов). Российская экономика: взгляд в будущее [электронный ресурс]. –  №2. 2017.С. 73-74. –  </w:t>
      </w:r>
      <w:r w:rsidRPr="00DF0C62">
        <w:rPr>
          <w:sz w:val="24"/>
          <w:szCs w:val="28"/>
          <w:lang w:val="en-US"/>
        </w:rPr>
        <w:t>URL</w:t>
      </w:r>
      <w:r w:rsidRPr="00DF0C62">
        <w:rPr>
          <w:sz w:val="24"/>
          <w:szCs w:val="28"/>
        </w:rPr>
        <w:t>:</w:t>
      </w:r>
      <w:proofErr w:type="spellStart"/>
      <w:r w:rsidR="00C22A77">
        <w:fldChar w:fldCharType="begin"/>
      </w:r>
      <w:r w:rsidR="00C22A77">
        <w:instrText xml:space="preserve"> HYPERLINK "https://elibrary.ru/item.asp?id=28425828" </w:instrText>
      </w:r>
      <w:r w:rsidR="00C22A77">
        <w:fldChar w:fldCharType="separate"/>
      </w:r>
      <w:r w:rsidRPr="00DF0C62">
        <w:rPr>
          <w:rStyle w:val="a3"/>
          <w:sz w:val="24"/>
          <w:szCs w:val="28"/>
        </w:rPr>
        <w:t>https</w:t>
      </w:r>
      <w:proofErr w:type="spellEnd"/>
      <w:r w:rsidRPr="00DF0C62">
        <w:rPr>
          <w:rStyle w:val="a3"/>
          <w:sz w:val="24"/>
          <w:szCs w:val="28"/>
        </w:rPr>
        <w:t>://elibrary.ru/</w:t>
      </w:r>
      <w:proofErr w:type="spellStart"/>
      <w:r w:rsidRPr="00DF0C62">
        <w:rPr>
          <w:rStyle w:val="a3"/>
          <w:sz w:val="24"/>
          <w:szCs w:val="28"/>
        </w:rPr>
        <w:t>item.asp?id</w:t>
      </w:r>
      <w:proofErr w:type="spellEnd"/>
      <w:r w:rsidRPr="00DF0C62">
        <w:rPr>
          <w:rStyle w:val="a3"/>
          <w:sz w:val="24"/>
          <w:szCs w:val="28"/>
        </w:rPr>
        <w:t>=28425828</w:t>
      </w:r>
      <w:r w:rsidR="00C22A77">
        <w:rPr>
          <w:rStyle w:val="a3"/>
          <w:sz w:val="24"/>
          <w:szCs w:val="28"/>
        </w:rPr>
        <w:fldChar w:fldCharType="end"/>
      </w:r>
      <w:r w:rsidRPr="00DF0C62">
        <w:rPr>
          <w:rStyle w:val="a3"/>
          <w:sz w:val="24"/>
          <w:szCs w:val="28"/>
        </w:rPr>
        <w:t xml:space="preserve"> (дата обращения 17.04.2022)</w:t>
      </w:r>
    </w:p>
    <w:p w:rsidR="00DF0C62" w:rsidRPr="00DF0C62" w:rsidRDefault="00DF0C62" w:rsidP="00DF0C62">
      <w:pPr>
        <w:pStyle w:val="a5"/>
        <w:numPr>
          <w:ilvl w:val="0"/>
          <w:numId w:val="7"/>
        </w:numPr>
        <w:tabs>
          <w:tab w:val="left" w:pos="1134"/>
        </w:tabs>
        <w:ind w:left="0" w:firstLine="709"/>
        <w:jc w:val="both"/>
        <w:rPr>
          <w:sz w:val="24"/>
          <w:szCs w:val="28"/>
        </w:rPr>
      </w:pPr>
      <w:r w:rsidRPr="00DF0C62">
        <w:rPr>
          <w:sz w:val="24"/>
          <w:szCs w:val="28"/>
        </w:rPr>
        <w:t xml:space="preserve">Бабанов Александр Валериевич Классификация факторов, формирующих инвестиционную привлекательность региона // Экономический журнал [электронный ресурс]. – 2012. №28. – URL: </w:t>
      </w:r>
      <w:hyperlink r:id="rId12" w:history="1">
        <w:r w:rsidRPr="00DF0C62">
          <w:rPr>
            <w:rStyle w:val="a3"/>
            <w:sz w:val="24"/>
            <w:szCs w:val="28"/>
          </w:rPr>
          <w:t>https://cyberleninka.ru/article/n/klassifikatsiya-faktorov-formiruyuschih-invest-privlekatelnost-regiona</w:t>
        </w:r>
      </w:hyperlink>
      <w:r w:rsidRPr="00DF0C62">
        <w:rPr>
          <w:sz w:val="24"/>
          <w:szCs w:val="28"/>
        </w:rPr>
        <w:t xml:space="preserve"> (дата обращения 17.04.2022)</w:t>
      </w:r>
    </w:p>
    <w:p w:rsidR="00D36AA2" w:rsidRPr="00B10CD3" w:rsidRDefault="00D36AA2" w:rsidP="00D36AA2">
      <w:pPr>
        <w:jc w:val="both"/>
        <w:rPr>
          <w:sz w:val="32"/>
        </w:rPr>
      </w:pPr>
    </w:p>
    <w:p w:rsidR="00D36AA2" w:rsidRDefault="00D36AA2" w:rsidP="00D36AA2">
      <w:pPr>
        <w:jc w:val="both"/>
      </w:pPr>
    </w:p>
    <w:p w:rsidR="00D36AA2" w:rsidRDefault="00D36AA2" w:rsidP="00D36AA2">
      <w:pPr>
        <w:jc w:val="center"/>
        <w:rPr>
          <w:b/>
          <w:bCs/>
        </w:rPr>
      </w:pPr>
      <w:r w:rsidRPr="003E488C">
        <w:rPr>
          <w:b/>
          <w:bCs/>
        </w:rPr>
        <w:t xml:space="preserve">Информация об авторах  </w:t>
      </w:r>
    </w:p>
    <w:p w:rsidR="00D36AA2" w:rsidRPr="003E488C" w:rsidRDefault="00D36AA2" w:rsidP="00D36AA2">
      <w:pPr>
        <w:jc w:val="center"/>
      </w:pPr>
    </w:p>
    <w:p w:rsidR="00D36AA2" w:rsidRPr="00DF0C62" w:rsidRDefault="00D36AA2" w:rsidP="00D36AA2">
      <w:pPr>
        <w:pStyle w:val="a4"/>
        <w:shd w:val="clear" w:color="auto" w:fill="FFFFFF"/>
        <w:spacing w:before="0" w:beforeAutospacing="0" w:after="0" w:afterAutospacing="0"/>
        <w:ind w:firstLine="708"/>
        <w:jc w:val="both"/>
        <w:textAlignment w:val="baseline"/>
        <w:rPr>
          <w:rStyle w:val="a3"/>
          <w:iCs/>
          <w:lang w:val="en-US"/>
        </w:rPr>
      </w:pPr>
      <w:r>
        <w:t xml:space="preserve">Бабичев Константин Николаевич, </w:t>
      </w:r>
      <w:r w:rsidRPr="00C40396">
        <w:t>кандидат экономических наук, доцент,</w:t>
      </w:r>
      <w:r>
        <w:t xml:space="preserve"> </w:t>
      </w:r>
      <w:r w:rsidRPr="003E2DB6">
        <w:t>ФГБОУ ВО «</w:t>
      </w:r>
      <w:r w:rsidRPr="003E2DB6">
        <w:rPr>
          <w:shd w:val="clear" w:color="auto" w:fill="FFFFFF"/>
        </w:rPr>
        <w:t>Кубанский государственный университет» (350040 г. Краснодар, ул.</w:t>
      </w:r>
      <w:r>
        <w:rPr>
          <w:shd w:val="clear" w:color="auto" w:fill="FFFFFF"/>
        </w:rPr>
        <w:t xml:space="preserve"> Ставропольская</w:t>
      </w:r>
      <w:r w:rsidRPr="00DF0C62">
        <w:rPr>
          <w:shd w:val="clear" w:color="auto" w:fill="FFFFFF"/>
          <w:lang w:val="en-US"/>
        </w:rPr>
        <w:t xml:space="preserve">, 149, </w:t>
      </w:r>
      <w:hyperlink r:id="rId13" w:history="1">
        <w:r w:rsidRPr="00911A52">
          <w:rPr>
            <w:rStyle w:val="a3"/>
            <w:lang w:val="en-US"/>
          </w:rPr>
          <w:t>babichevk</w:t>
        </w:r>
        <w:r w:rsidRPr="00DF0C62">
          <w:rPr>
            <w:rStyle w:val="a3"/>
            <w:lang w:val="en-US"/>
          </w:rPr>
          <w:t>@</w:t>
        </w:r>
        <w:r w:rsidRPr="00911A52">
          <w:rPr>
            <w:rStyle w:val="a3"/>
            <w:lang w:val="en-US"/>
          </w:rPr>
          <w:t>list</w:t>
        </w:r>
        <w:r w:rsidRPr="00DF0C62">
          <w:rPr>
            <w:rStyle w:val="a3"/>
            <w:lang w:val="en-US"/>
          </w:rPr>
          <w:t>.</w:t>
        </w:r>
        <w:r w:rsidRPr="00911A52">
          <w:rPr>
            <w:rStyle w:val="a3"/>
            <w:lang w:val="en-US"/>
          </w:rPr>
          <w:t>ru</w:t>
        </w:r>
      </w:hyperlink>
      <w:r w:rsidRPr="00DF0C62">
        <w:rPr>
          <w:rStyle w:val="a3"/>
          <w:lang w:val="en-US"/>
        </w:rPr>
        <w:t>)</w:t>
      </w:r>
    </w:p>
    <w:p w:rsidR="00D36AA2" w:rsidRPr="00DF0C62" w:rsidRDefault="00D36AA2" w:rsidP="00D36AA2">
      <w:pPr>
        <w:jc w:val="both"/>
        <w:rPr>
          <w:lang w:val="en-US"/>
        </w:rPr>
      </w:pPr>
    </w:p>
    <w:p w:rsidR="00D36AA2" w:rsidRPr="00D36AA2" w:rsidRDefault="00D36AA2" w:rsidP="00D36AA2">
      <w:pPr>
        <w:jc w:val="right"/>
        <w:rPr>
          <w:b/>
          <w:bCs/>
          <w:szCs w:val="22"/>
          <w:lang w:val="en-US"/>
        </w:rPr>
      </w:pPr>
      <w:proofErr w:type="spellStart"/>
      <w:r w:rsidRPr="00D36AA2">
        <w:rPr>
          <w:b/>
          <w:bCs/>
          <w:szCs w:val="22"/>
          <w:lang w:val="en-US"/>
        </w:rPr>
        <w:t>Babichev</w:t>
      </w:r>
      <w:proofErr w:type="spellEnd"/>
      <w:r w:rsidRPr="00D36AA2">
        <w:rPr>
          <w:b/>
          <w:bCs/>
          <w:szCs w:val="22"/>
          <w:lang w:val="en-US"/>
        </w:rPr>
        <w:t>, K. N.</w:t>
      </w:r>
    </w:p>
    <w:p w:rsidR="00DF0C62" w:rsidRDefault="00DF0C62" w:rsidP="00DF0C62">
      <w:pPr>
        <w:jc w:val="center"/>
        <w:rPr>
          <w:b/>
          <w:bCs/>
          <w:szCs w:val="22"/>
          <w:lang w:val="en-US"/>
        </w:rPr>
      </w:pPr>
    </w:p>
    <w:p w:rsidR="00D36AA2" w:rsidRPr="00DF0C62" w:rsidRDefault="00077ACF" w:rsidP="00DF0C62">
      <w:pPr>
        <w:jc w:val="center"/>
        <w:rPr>
          <w:b/>
          <w:bCs/>
          <w:szCs w:val="22"/>
          <w:lang w:val="en-US"/>
        </w:rPr>
      </w:pPr>
      <w:r>
        <w:rPr>
          <w:b/>
          <w:bCs/>
          <w:szCs w:val="22"/>
          <w:lang w:val="en-US"/>
        </w:rPr>
        <w:t>F</w:t>
      </w:r>
      <w:r w:rsidRPr="00DF0C62">
        <w:rPr>
          <w:b/>
          <w:bCs/>
          <w:szCs w:val="22"/>
          <w:lang w:val="en-US"/>
        </w:rPr>
        <w:t>ACTORS OF INVESTMENT ATTRACTIVENESS OF RURAL AREAS</w:t>
      </w:r>
    </w:p>
    <w:p w:rsidR="00DF0C62" w:rsidRDefault="00DF0C62" w:rsidP="00DF0C62">
      <w:pPr>
        <w:ind w:firstLine="708"/>
        <w:jc w:val="both"/>
        <w:rPr>
          <w:b/>
          <w:bCs/>
          <w:szCs w:val="22"/>
          <w:lang w:val="en-US"/>
        </w:rPr>
      </w:pPr>
    </w:p>
    <w:p w:rsidR="00DF0C62" w:rsidRPr="00DF0C62" w:rsidRDefault="00D36AA2" w:rsidP="00DF0C62">
      <w:pPr>
        <w:ind w:firstLine="708"/>
        <w:jc w:val="both"/>
        <w:rPr>
          <w:bCs/>
          <w:szCs w:val="22"/>
          <w:lang w:val="en-US"/>
        </w:rPr>
      </w:pPr>
      <w:r w:rsidRPr="00D36AA2">
        <w:rPr>
          <w:b/>
          <w:bCs/>
          <w:szCs w:val="22"/>
          <w:lang w:val="en-US"/>
        </w:rPr>
        <w:t>Abstract.</w:t>
      </w:r>
      <w:r w:rsidRPr="00D36AA2">
        <w:rPr>
          <w:bCs/>
          <w:szCs w:val="22"/>
          <w:lang w:val="en-US"/>
        </w:rPr>
        <w:t xml:space="preserve"> </w:t>
      </w:r>
      <w:r w:rsidR="00DF0C62" w:rsidRPr="00DF0C62">
        <w:rPr>
          <w:bCs/>
          <w:szCs w:val="22"/>
          <w:lang w:val="en-US"/>
        </w:rPr>
        <w:t>Timely and competent development of rural areas of the municipality largely depends on the investmen</w:t>
      </w:r>
      <w:bookmarkStart w:id="1" w:name="_GoBack"/>
      <w:bookmarkEnd w:id="1"/>
      <w:r w:rsidR="00DF0C62" w:rsidRPr="00DF0C62">
        <w:rPr>
          <w:bCs/>
          <w:szCs w:val="22"/>
          <w:lang w:val="en-US"/>
        </w:rPr>
        <w:t>t policy of rural settlements development. The main goal of municipalities is to create favorable living conditions, thereby increasing the investment attractiveness of rural settlements. The purpose of the article is to propose a mechanism for investment development of rural territories based on the study of the socio–economic potential of rural territories, to identify tools and technologies for implementing investment policy for the development of rural territories, to study the factors of investment attractiveness of rural development.</w:t>
      </w:r>
    </w:p>
    <w:p w:rsidR="00D36AA2" w:rsidRDefault="00DF0C62" w:rsidP="00DF0C62">
      <w:pPr>
        <w:ind w:firstLine="708"/>
        <w:jc w:val="both"/>
        <w:rPr>
          <w:b/>
          <w:color w:val="000000" w:themeColor="text1"/>
          <w:lang w:val="en-US"/>
        </w:rPr>
      </w:pPr>
      <w:r w:rsidRPr="00DF0C62">
        <w:rPr>
          <w:b/>
          <w:bCs/>
          <w:szCs w:val="22"/>
          <w:lang w:val="en-US"/>
        </w:rPr>
        <w:t>Keywords:</w:t>
      </w:r>
      <w:r w:rsidRPr="00DF0C62">
        <w:rPr>
          <w:bCs/>
          <w:szCs w:val="22"/>
          <w:lang w:val="en-US"/>
        </w:rPr>
        <w:t xml:space="preserve"> investments, investment potential, investment climate, investment policy, rural areas.</w:t>
      </w:r>
    </w:p>
    <w:p w:rsidR="00DF0C62" w:rsidRDefault="00DF0C62" w:rsidP="00D36AA2">
      <w:pPr>
        <w:pStyle w:val="HTML"/>
        <w:shd w:val="clear" w:color="auto" w:fill="FFFFFF"/>
        <w:tabs>
          <w:tab w:val="left" w:pos="1134"/>
        </w:tabs>
        <w:contextualSpacing/>
        <w:jc w:val="center"/>
        <w:rPr>
          <w:rFonts w:ascii="Times New Roman" w:hAnsi="Times New Roman" w:cs="Times New Roman"/>
          <w:b/>
          <w:color w:val="000000" w:themeColor="text1"/>
          <w:sz w:val="24"/>
          <w:szCs w:val="24"/>
          <w:lang w:val="en-US"/>
        </w:rPr>
      </w:pPr>
    </w:p>
    <w:p w:rsidR="00D36AA2" w:rsidRDefault="00D36AA2" w:rsidP="00D36AA2">
      <w:pPr>
        <w:pStyle w:val="HTML"/>
        <w:shd w:val="clear" w:color="auto" w:fill="FFFFFF"/>
        <w:tabs>
          <w:tab w:val="left" w:pos="1134"/>
        </w:tabs>
        <w:contextualSpacing/>
        <w:jc w:val="center"/>
        <w:rPr>
          <w:rFonts w:ascii="Times New Roman" w:hAnsi="Times New Roman" w:cs="Times New Roman"/>
          <w:b/>
          <w:color w:val="000000" w:themeColor="text1"/>
          <w:sz w:val="24"/>
          <w:szCs w:val="24"/>
          <w:lang w:val="en-US"/>
        </w:rPr>
      </w:pPr>
      <w:r w:rsidRPr="003E488C">
        <w:rPr>
          <w:rFonts w:ascii="Times New Roman" w:hAnsi="Times New Roman" w:cs="Times New Roman"/>
          <w:b/>
          <w:color w:val="000000" w:themeColor="text1"/>
          <w:sz w:val="24"/>
          <w:szCs w:val="24"/>
          <w:lang w:val="en-US"/>
        </w:rPr>
        <w:t>Information about the authors</w:t>
      </w:r>
    </w:p>
    <w:p w:rsidR="00D36AA2" w:rsidRPr="00C26F40" w:rsidRDefault="00C26F40" w:rsidP="00C26F40">
      <w:pPr>
        <w:ind w:firstLine="708"/>
        <w:jc w:val="both"/>
        <w:rPr>
          <w:bCs/>
          <w:szCs w:val="22"/>
          <w:lang w:val="en-US"/>
        </w:rPr>
      </w:pPr>
      <w:proofErr w:type="spellStart"/>
      <w:r w:rsidRPr="00C26F40">
        <w:rPr>
          <w:bCs/>
          <w:szCs w:val="22"/>
          <w:lang w:val="en-US"/>
        </w:rPr>
        <w:t>Babichev</w:t>
      </w:r>
      <w:proofErr w:type="spellEnd"/>
      <w:r w:rsidRPr="00C26F40">
        <w:rPr>
          <w:bCs/>
          <w:szCs w:val="22"/>
          <w:lang w:val="en-US"/>
        </w:rPr>
        <w:t xml:space="preserve"> K.N., (Russia, Krasnodar) Candidate of Economic Sciences (Ph.D.), Associate Professor, Kuban State University </w:t>
      </w:r>
      <w:r w:rsidR="00D36AA2" w:rsidRPr="00C26F40">
        <w:rPr>
          <w:bCs/>
          <w:szCs w:val="22"/>
          <w:lang w:val="en-US"/>
        </w:rPr>
        <w:t xml:space="preserve">(350040, Krasnodar, </w:t>
      </w:r>
      <w:proofErr w:type="spellStart"/>
      <w:r w:rsidR="00D36AA2" w:rsidRPr="00C26F40">
        <w:rPr>
          <w:bCs/>
          <w:szCs w:val="22"/>
          <w:lang w:val="en-US"/>
        </w:rPr>
        <w:t>Stavropolskaya</w:t>
      </w:r>
      <w:proofErr w:type="spellEnd"/>
      <w:r w:rsidR="00D36AA2" w:rsidRPr="00C26F40">
        <w:rPr>
          <w:bCs/>
          <w:szCs w:val="22"/>
          <w:lang w:val="en-US"/>
        </w:rPr>
        <w:t xml:space="preserve"> </w:t>
      </w:r>
      <w:proofErr w:type="spellStart"/>
      <w:r w:rsidR="00D36AA2" w:rsidRPr="00C26F40">
        <w:rPr>
          <w:bCs/>
          <w:szCs w:val="22"/>
          <w:lang w:val="en-US"/>
        </w:rPr>
        <w:t>st.</w:t>
      </w:r>
      <w:proofErr w:type="spellEnd"/>
      <w:r w:rsidR="00D36AA2" w:rsidRPr="00C26F40">
        <w:rPr>
          <w:bCs/>
          <w:szCs w:val="22"/>
          <w:lang w:val="en-US"/>
        </w:rPr>
        <w:t xml:space="preserve">, 149, </w:t>
      </w:r>
      <w:r w:rsidRPr="00C26F40">
        <w:rPr>
          <w:bCs/>
          <w:szCs w:val="22"/>
          <w:lang w:val="en-US"/>
        </w:rPr>
        <w:t xml:space="preserve"> </w:t>
      </w:r>
      <w:hyperlink r:id="rId14" w:history="1">
        <w:r w:rsidRPr="00C26F40">
          <w:rPr>
            <w:bCs/>
            <w:szCs w:val="22"/>
            <w:lang w:val="en-US"/>
          </w:rPr>
          <w:t>babichevk@list.ru</w:t>
        </w:r>
      </w:hyperlink>
      <w:r w:rsidR="00D36AA2" w:rsidRPr="00C26F40">
        <w:rPr>
          <w:bCs/>
          <w:szCs w:val="22"/>
          <w:lang w:val="en-US"/>
        </w:rPr>
        <w:t>)</w:t>
      </w:r>
    </w:p>
    <w:p w:rsidR="00D36AA2" w:rsidRDefault="00D36AA2" w:rsidP="00D36AA2">
      <w:pPr>
        <w:pStyle w:val="HTML"/>
        <w:shd w:val="clear" w:color="auto" w:fill="FFFFFF"/>
        <w:ind w:firstLine="709"/>
        <w:contextualSpacing/>
        <w:jc w:val="center"/>
        <w:rPr>
          <w:rFonts w:ascii="Times New Roman" w:hAnsi="Times New Roman" w:cs="Times New Roman"/>
          <w:b/>
          <w:bCs/>
          <w:color w:val="000000" w:themeColor="text1"/>
          <w:sz w:val="24"/>
          <w:szCs w:val="24"/>
          <w:lang w:val="en-US"/>
        </w:rPr>
      </w:pPr>
    </w:p>
    <w:p w:rsidR="00C22A77" w:rsidRDefault="00C22A77" w:rsidP="00D36AA2">
      <w:pPr>
        <w:pStyle w:val="HTML"/>
        <w:shd w:val="clear" w:color="auto" w:fill="FFFFFF"/>
        <w:ind w:firstLine="709"/>
        <w:contextualSpacing/>
        <w:jc w:val="center"/>
        <w:rPr>
          <w:rFonts w:ascii="Times New Roman" w:hAnsi="Times New Roman" w:cs="Times New Roman"/>
          <w:b/>
          <w:bCs/>
          <w:color w:val="000000" w:themeColor="text1"/>
          <w:sz w:val="24"/>
          <w:szCs w:val="24"/>
          <w:lang w:val="en-US"/>
        </w:rPr>
      </w:pPr>
    </w:p>
    <w:p w:rsidR="00C22A77" w:rsidRDefault="00C22A77" w:rsidP="00D36AA2">
      <w:pPr>
        <w:pStyle w:val="HTML"/>
        <w:shd w:val="clear" w:color="auto" w:fill="FFFFFF"/>
        <w:ind w:firstLine="709"/>
        <w:contextualSpacing/>
        <w:jc w:val="center"/>
        <w:rPr>
          <w:rFonts w:ascii="Times New Roman" w:hAnsi="Times New Roman" w:cs="Times New Roman"/>
          <w:b/>
          <w:bCs/>
          <w:color w:val="000000" w:themeColor="text1"/>
          <w:sz w:val="24"/>
          <w:szCs w:val="24"/>
          <w:lang w:val="en-US"/>
        </w:rPr>
      </w:pPr>
    </w:p>
    <w:p w:rsidR="00C22A77" w:rsidRDefault="00C22A77" w:rsidP="00D36AA2">
      <w:pPr>
        <w:pStyle w:val="HTML"/>
        <w:shd w:val="clear" w:color="auto" w:fill="FFFFFF"/>
        <w:ind w:firstLine="709"/>
        <w:contextualSpacing/>
        <w:jc w:val="center"/>
        <w:rPr>
          <w:rFonts w:ascii="Times New Roman" w:hAnsi="Times New Roman" w:cs="Times New Roman"/>
          <w:b/>
          <w:bCs/>
          <w:color w:val="000000" w:themeColor="text1"/>
          <w:sz w:val="24"/>
          <w:szCs w:val="24"/>
          <w:lang w:val="en-US"/>
        </w:rPr>
      </w:pPr>
    </w:p>
    <w:p w:rsidR="00D36AA2" w:rsidRDefault="00D36AA2" w:rsidP="00D36AA2">
      <w:pPr>
        <w:pStyle w:val="HTML"/>
        <w:shd w:val="clear" w:color="auto" w:fill="FFFFFF"/>
        <w:ind w:firstLine="709"/>
        <w:contextualSpacing/>
        <w:jc w:val="center"/>
        <w:rPr>
          <w:rFonts w:ascii="Times New Roman" w:hAnsi="Times New Roman" w:cs="Times New Roman"/>
          <w:b/>
          <w:bCs/>
          <w:color w:val="000000" w:themeColor="text1"/>
          <w:sz w:val="24"/>
          <w:szCs w:val="24"/>
          <w:lang w:val="en-US"/>
        </w:rPr>
      </w:pPr>
      <w:r w:rsidRPr="00C96013">
        <w:rPr>
          <w:rFonts w:ascii="Times New Roman" w:hAnsi="Times New Roman" w:cs="Times New Roman"/>
          <w:b/>
          <w:bCs/>
          <w:color w:val="000000" w:themeColor="text1"/>
          <w:sz w:val="24"/>
          <w:szCs w:val="24"/>
          <w:lang w:val="en-US"/>
        </w:rPr>
        <w:t>References</w:t>
      </w:r>
    </w:p>
    <w:p w:rsidR="00DF0C62" w:rsidRPr="00C96013" w:rsidRDefault="00DF0C62" w:rsidP="00D36AA2">
      <w:pPr>
        <w:pStyle w:val="HTML"/>
        <w:shd w:val="clear" w:color="auto" w:fill="FFFFFF"/>
        <w:ind w:firstLine="709"/>
        <w:contextualSpacing/>
        <w:jc w:val="center"/>
        <w:rPr>
          <w:rFonts w:ascii="Times New Roman" w:hAnsi="Times New Roman" w:cs="Times New Roman"/>
          <w:b/>
          <w:bCs/>
          <w:color w:val="000000" w:themeColor="text1"/>
          <w:sz w:val="24"/>
          <w:szCs w:val="24"/>
          <w:lang w:val="en-US"/>
        </w:rPr>
      </w:pPr>
    </w:p>
    <w:p w:rsidR="00DF0C62" w:rsidRPr="00DF0C62" w:rsidRDefault="00DF0C62" w:rsidP="00DF0C62">
      <w:pPr>
        <w:ind w:firstLine="709"/>
        <w:jc w:val="both"/>
        <w:rPr>
          <w:lang w:val="en-US"/>
        </w:rPr>
      </w:pPr>
      <w:r w:rsidRPr="00DF0C62">
        <w:rPr>
          <w:lang w:val="en-US"/>
        </w:rPr>
        <w:t xml:space="preserve">1) Development and justification of investment policy// </w:t>
      </w:r>
      <w:proofErr w:type="spellStart"/>
      <w:r w:rsidRPr="00DF0C62">
        <w:rPr>
          <w:lang w:val="en-US"/>
        </w:rPr>
        <w:t>Investicii</w:t>
      </w:r>
      <w:proofErr w:type="spellEnd"/>
      <w:r w:rsidRPr="00DF0C62">
        <w:rPr>
          <w:lang w:val="en-US"/>
        </w:rPr>
        <w:t>-V [electronic resource]. – 2017. – URL: https://investicii-v.ru/investicionnaya_politika / (accessed: 04/17/2022)</w:t>
      </w:r>
    </w:p>
    <w:p w:rsidR="00DF0C62" w:rsidRPr="00DF0C62" w:rsidRDefault="00DF0C62" w:rsidP="00DF0C62">
      <w:pPr>
        <w:ind w:firstLine="709"/>
        <w:jc w:val="both"/>
        <w:rPr>
          <w:lang w:val="en-US"/>
        </w:rPr>
      </w:pPr>
      <w:r w:rsidRPr="00DF0C62">
        <w:rPr>
          <w:lang w:val="en-US"/>
        </w:rPr>
        <w:t xml:space="preserve">2) </w:t>
      </w:r>
      <w:proofErr w:type="spellStart"/>
      <w:r w:rsidRPr="00DF0C62">
        <w:rPr>
          <w:lang w:val="en-US"/>
        </w:rPr>
        <w:t>Sidorenko</w:t>
      </w:r>
      <w:proofErr w:type="spellEnd"/>
      <w:r w:rsidRPr="00DF0C62">
        <w:rPr>
          <w:lang w:val="en-US"/>
        </w:rPr>
        <w:t xml:space="preserve"> O.V. Classification of instruments for the implementation of regional investment policy// Non-profit Foundation for the Promotion of Economic Science and Education "Economics" [electronic resource]. – 2019. – URL:https://elibrary.ru/</w:t>
      </w:r>
      <w:proofErr w:type="gramStart"/>
      <w:r w:rsidRPr="00DF0C62">
        <w:rPr>
          <w:lang w:val="en-US"/>
        </w:rPr>
        <w:t>item.asp?id</w:t>
      </w:r>
      <w:proofErr w:type="gramEnd"/>
      <w:r w:rsidRPr="00DF0C62">
        <w:rPr>
          <w:lang w:val="en-US"/>
        </w:rPr>
        <w:t>=37042240 (accessed 17.04.2022)</w:t>
      </w:r>
    </w:p>
    <w:p w:rsidR="00DF0C62" w:rsidRPr="00DF0C62" w:rsidRDefault="00DF0C62" w:rsidP="00DF0C62">
      <w:pPr>
        <w:ind w:firstLine="709"/>
        <w:jc w:val="both"/>
        <w:rPr>
          <w:lang w:val="en-US"/>
        </w:rPr>
      </w:pPr>
      <w:r w:rsidRPr="00DF0C62">
        <w:rPr>
          <w:lang w:val="en-US"/>
        </w:rPr>
        <w:t xml:space="preserve">3) </w:t>
      </w:r>
      <w:proofErr w:type="spellStart"/>
      <w:r w:rsidRPr="00DF0C62">
        <w:rPr>
          <w:lang w:val="en-US"/>
        </w:rPr>
        <w:t>Vorobyova</w:t>
      </w:r>
      <w:proofErr w:type="spellEnd"/>
      <w:r w:rsidRPr="00DF0C62">
        <w:rPr>
          <w:lang w:val="en-US"/>
        </w:rPr>
        <w:t xml:space="preserve"> </w:t>
      </w:r>
      <w:proofErr w:type="spellStart"/>
      <w:r w:rsidRPr="00DF0C62">
        <w:rPr>
          <w:lang w:val="en-US"/>
        </w:rPr>
        <w:t>Zhanna</w:t>
      </w:r>
      <w:proofErr w:type="spellEnd"/>
      <w:r w:rsidRPr="00DF0C62">
        <w:rPr>
          <w:lang w:val="en-US"/>
        </w:rPr>
        <w:t xml:space="preserve"> </w:t>
      </w:r>
      <w:proofErr w:type="spellStart"/>
      <w:r w:rsidRPr="00DF0C62">
        <w:rPr>
          <w:lang w:val="en-US"/>
        </w:rPr>
        <w:t>Borisovna</w:t>
      </w:r>
      <w:proofErr w:type="spellEnd"/>
      <w:r w:rsidRPr="00DF0C62">
        <w:rPr>
          <w:lang w:val="en-US"/>
        </w:rPr>
        <w:t xml:space="preserve">. Investment policy in the region and tools for its implementation // </w:t>
      </w:r>
      <w:proofErr w:type="spellStart"/>
      <w:r w:rsidRPr="00DF0C62">
        <w:rPr>
          <w:lang w:val="en-US"/>
        </w:rPr>
        <w:t>Izvestiya</w:t>
      </w:r>
      <w:proofErr w:type="spellEnd"/>
      <w:r w:rsidRPr="00DF0C62">
        <w:rPr>
          <w:lang w:val="en-US"/>
        </w:rPr>
        <w:t xml:space="preserve"> </w:t>
      </w:r>
      <w:proofErr w:type="spellStart"/>
      <w:r w:rsidRPr="00DF0C62">
        <w:rPr>
          <w:lang w:val="en-US"/>
        </w:rPr>
        <w:t>TulSU</w:t>
      </w:r>
      <w:proofErr w:type="spellEnd"/>
      <w:r w:rsidRPr="00DF0C62">
        <w:rPr>
          <w:lang w:val="en-US"/>
        </w:rPr>
        <w:t>. Economic and legal sciences [electronic resource]. – 2016. – URL: https://cyberleninka.ru/article/n/investitsionnaya-politika-v-regione-i-instrumenty-ee-realizatsii (accessed 17.04.2022).</w:t>
      </w:r>
    </w:p>
    <w:p w:rsidR="00DF0C62" w:rsidRPr="00DF0C62" w:rsidRDefault="00DF0C62" w:rsidP="00DF0C62">
      <w:pPr>
        <w:ind w:firstLine="709"/>
        <w:jc w:val="both"/>
        <w:rPr>
          <w:lang w:val="en-US"/>
        </w:rPr>
      </w:pPr>
      <w:r w:rsidRPr="00DF0C62">
        <w:rPr>
          <w:lang w:val="en-US"/>
        </w:rPr>
        <w:t xml:space="preserve">4) </w:t>
      </w:r>
      <w:proofErr w:type="spellStart"/>
      <w:r w:rsidRPr="00DF0C62">
        <w:rPr>
          <w:lang w:val="en-US"/>
        </w:rPr>
        <w:t>Arslanova</w:t>
      </w:r>
      <w:proofErr w:type="spellEnd"/>
      <w:r w:rsidRPr="00DF0C62">
        <w:rPr>
          <w:lang w:val="en-US"/>
        </w:rPr>
        <w:t xml:space="preserve"> H.D., </w:t>
      </w:r>
      <w:proofErr w:type="spellStart"/>
      <w:r w:rsidRPr="00DF0C62">
        <w:rPr>
          <w:lang w:val="en-US"/>
        </w:rPr>
        <w:t>Shakhtamanova</w:t>
      </w:r>
      <w:proofErr w:type="spellEnd"/>
      <w:r w:rsidRPr="00DF0C62">
        <w:rPr>
          <w:lang w:val="en-US"/>
        </w:rPr>
        <w:t xml:space="preserve"> L.G. Modern view on the investment policy of the regions// Tambov State University named after G.R. Derzhavin (Tambov). The Russian economy: a look into the future [electronic resource]. – No.2. 2017.PP. 73-74. – URL:https://elibrary.ru/</w:t>
      </w:r>
      <w:proofErr w:type="gramStart"/>
      <w:r w:rsidRPr="00DF0C62">
        <w:rPr>
          <w:lang w:val="en-US"/>
        </w:rPr>
        <w:t>item.asp?id</w:t>
      </w:r>
      <w:proofErr w:type="gramEnd"/>
      <w:r w:rsidRPr="00DF0C62">
        <w:rPr>
          <w:lang w:val="en-US"/>
        </w:rPr>
        <w:t>=28425828 (accessed 17.04.2022)</w:t>
      </w:r>
    </w:p>
    <w:p w:rsidR="00B67850" w:rsidRPr="00B10CD3" w:rsidRDefault="00DF0C62" w:rsidP="00DF0C62">
      <w:pPr>
        <w:ind w:firstLine="709"/>
        <w:jc w:val="both"/>
        <w:rPr>
          <w:lang w:val="en-US"/>
        </w:rPr>
      </w:pPr>
      <w:r w:rsidRPr="00DF0C62">
        <w:rPr>
          <w:lang w:val="en-US"/>
        </w:rPr>
        <w:t xml:space="preserve">5) </w:t>
      </w:r>
      <w:proofErr w:type="spellStart"/>
      <w:r w:rsidRPr="00DF0C62">
        <w:rPr>
          <w:lang w:val="en-US"/>
        </w:rPr>
        <w:t>Babanov</w:t>
      </w:r>
      <w:proofErr w:type="spellEnd"/>
      <w:r w:rsidRPr="00DF0C62">
        <w:rPr>
          <w:lang w:val="en-US"/>
        </w:rPr>
        <w:t xml:space="preserve"> Alexander </w:t>
      </w:r>
      <w:proofErr w:type="spellStart"/>
      <w:r w:rsidRPr="00DF0C62">
        <w:rPr>
          <w:lang w:val="en-US"/>
        </w:rPr>
        <w:t>Valerievich</w:t>
      </w:r>
      <w:proofErr w:type="spellEnd"/>
      <w:r w:rsidRPr="00DF0C62">
        <w:rPr>
          <w:lang w:val="en-US"/>
        </w:rPr>
        <w:t xml:space="preserve"> Classification of factors that form the investment attractiveness of the region // Economic Journal [electronic resource]. – 2012. No.28. – URL: https://cyberleninka.ru/article/n/klassifikatsiya-faktorov-formiruyuschih-invest-privlekatelnost-regiona (accessed 17.04.2022)</w:t>
      </w:r>
    </w:p>
    <w:sectPr w:rsidR="00B67850" w:rsidRPr="00B10CD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D5B46"/>
    <w:multiLevelType w:val="hybridMultilevel"/>
    <w:tmpl w:val="BD0C275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0E14144"/>
    <w:multiLevelType w:val="hybridMultilevel"/>
    <w:tmpl w:val="3898A80C"/>
    <w:lvl w:ilvl="0" w:tplc="99FCD2A8">
      <w:start w:val="1"/>
      <w:numFmt w:val="bullet"/>
      <w:lvlText w:val=""/>
      <w:lvlJc w:val="left"/>
      <w:pPr>
        <w:tabs>
          <w:tab w:val="num" w:pos="1080"/>
        </w:tabs>
        <w:ind w:left="1080" w:hanging="360"/>
      </w:pPr>
      <w:rPr>
        <w:rFonts w:ascii="Symbol" w:hAnsi="Symbol" w:hint="default"/>
        <w:color w:val="auto"/>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2887053F"/>
    <w:multiLevelType w:val="hybridMultilevel"/>
    <w:tmpl w:val="E2349BD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AD04A97"/>
    <w:multiLevelType w:val="hybridMultilevel"/>
    <w:tmpl w:val="407EA3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4C953635"/>
    <w:multiLevelType w:val="hybridMultilevel"/>
    <w:tmpl w:val="4F664B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0E42FCA"/>
    <w:multiLevelType w:val="hybridMultilevel"/>
    <w:tmpl w:val="2F74EFE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7C954383"/>
    <w:multiLevelType w:val="hybridMultilevel"/>
    <w:tmpl w:val="E8CEA6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4"/>
  </w:num>
  <w:num w:numId="3">
    <w:abstractNumId w:val="3"/>
  </w:num>
  <w:num w:numId="4">
    <w:abstractNumId w:val="5"/>
  </w:num>
  <w:num w:numId="5">
    <w:abstractNumId w:val="2"/>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5FC3"/>
    <w:rsid w:val="00077ACF"/>
    <w:rsid w:val="000E17EB"/>
    <w:rsid w:val="0044074D"/>
    <w:rsid w:val="004A3D87"/>
    <w:rsid w:val="00884211"/>
    <w:rsid w:val="008B64F0"/>
    <w:rsid w:val="00B10CD3"/>
    <w:rsid w:val="00B67850"/>
    <w:rsid w:val="00C22A77"/>
    <w:rsid w:val="00C26F40"/>
    <w:rsid w:val="00D36AA2"/>
    <w:rsid w:val="00DF0C62"/>
    <w:rsid w:val="00F65F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BE7BA4"/>
  <w15:chartTrackingRefBased/>
  <w15:docId w15:val="{CE977F66-9AFE-40AF-A724-DE2DBC8CE1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65FC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36AA2"/>
    <w:rPr>
      <w:color w:val="0563C1" w:themeColor="hyperlink"/>
      <w:u w:val="single"/>
    </w:rPr>
  </w:style>
  <w:style w:type="paragraph" w:styleId="a4">
    <w:name w:val="Normal (Web)"/>
    <w:basedOn w:val="a"/>
    <w:uiPriority w:val="99"/>
    <w:unhideWhenUsed/>
    <w:rsid w:val="00D36AA2"/>
    <w:pPr>
      <w:spacing w:before="100" w:beforeAutospacing="1" w:after="100" w:afterAutospacing="1"/>
    </w:pPr>
  </w:style>
  <w:style w:type="paragraph" w:styleId="HTML">
    <w:name w:val="HTML Preformatted"/>
    <w:basedOn w:val="a"/>
    <w:link w:val="HTML0"/>
    <w:uiPriority w:val="99"/>
    <w:unhideWhenUsed/>
    <w:rsid w:val="00D36A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D36AA2"/>
    <w:rPr>
      <w:rFonts w:ascii="Courier New" w:eastAsia="Times New Roman" w:hAnsi="Courier New" w:cs="Courier New"/>
      <w:sz w:val="20"/>
      <w:szCs w:val="20"/>
      <w:lang w:eastAsia="ru-RU"/>
    </w:rPr>
  </w:style>
  <w:style w:type="paragraph" w:styleId="a5">
    <w:name w:val="List Paragraph"/>
    <w:basedOn w:val="a"/>
    <w:uiPriority w:val="34"/>
    <w:qFormat/>
    <w:rsid w:val="00D36AA2"/>
    <w:pPr>
      <w:ind w:left="720"/>
      <w:contextualSpacing/>
    </w:pPr>
    <w:rPr>
      <w:sz w:val="20"/>
      <w:szCs w:val="20"/>
    </w:rPr>
  </w:style>
  <w:style w:type="paragraph" w:styleId="a6">
    <w:name w:val="footnote text"/>
    <w:basedOn w:val="a"/>
    <w:link w:val="a7"/>
    <w:uiPriority w:val="99"/>
    <w:semiHidden/>
    <w:unhideWhenUsed/>
    <w:rsid w:val="00D36AA2"/>
    <w:rPr>
      <w:sz w:val="20"/>
      <w:szCs w:val="20"/>
    </w:rPr>
  </w:style>
  <w:style w:type="character" w:customStyle="1" w:styleId="a7">
    <w:name w:val="Текст сноски Знак"/>
    <w:basedOn w:val="a0"/>
    <w:link w:val="a6"/>
    <w:uiPriority w:val="99"/>
    <w:semiHidden/>
    <w:rsid w:val="00D36AA2"/>
    <w:rPr>
      <w:rFonts w:ascii="Times New Roman" w:eastAsia="Times New Roman" w:hAnsi="Times New Roman" w:cs="Times New Roman"/>
      <w:sz w:val="20"/>
      <w:szCs w:val="20"/>
      <w:lang w:eastAsia="ru-RU"/>
    </w:rPr>
  </w:style>
  <w:style w:type="table" w:customStyle="1" w:styleId="1">
    <w:name w:val="Сетка таблицы1"/>
    <w:basedOn w:val="a1"/>
    <w:next w:val="a8"/>
    <w:rsid w:val="00DF0C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8">
    <w:name w:val="Table Grid"/>
    <w:basedOn w:val="a1"/>
    <w:uiPriority w:val="39"/>
    <w:rsid w:val="00DF0C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Colors" Target="diagrams/colors1.xml"/><Relationship Id="rId13" Type="http://schemas.openxmlformats.org/officeDocument/2006/relationships/hyperlink" Target="mailto:babichevk@list.ru" TargetMode="External"/><Relationship Id="rId3" Type="http://schemas.openxmlformats.org/officeDocument/2006/relationships/settings" Target="settings.xml"/><Relationship Id="rId7" Type="http://schemas.openxmlformats.org/officeDocument/2006/relationships/diagramQuickStyle" Target="diagrams/quickStyle1.xml"/><Relationship Id="rId12" Type="http://schemas.openxmlformats.org/officeDocument/2006/relationships/hyperlink" Target="https://cyberleninka.ru/article/n/klassifikatsiya-faktorov-formiruyuschih-invest-privlekatelnost-regiona"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diagramLayout" Target="diagrams/layout1.xml"/><Relationship Id="rId11" Type="http://schemas.openxmlformats.org/officeDocument/2006/relationships/hyperlink" Target="https://cyberleninka.ru/article/n/investitsionnaya-politika-v-regione-i-instrumenty-ee-realizatsii" TargetMode="External"/><Relationship Id="rId5" Type="http://schemas.openxmlformats.org/officeDocument/2006/relationships/diagramData" Target="diagrams/data1.xml"/><Relationship Id="rId15" Type="http://schemas.openxmlformats.org/officeDocument/2006/relationships/fontTable" Target="fontTable.xml"/><Relationship Id="rId10" Type="http://schemas.openxmlformats.org/officeDocument/2006/relationships/hyperlink" Target="https://investicii-v.ru/investicionnaya_politika/" TargetMode="External"/><Relationship Id="rId4" Type="http://schemas.openxmlformats.org/officeDocument/2006/relationships/webSettings" Target="webSettings.xml"/><Relationship Id="rId9" Type="http://schemas.microsoft.com/office/2007/relationships/diagramDrawing" Target="diagrams/drawing1.xml"/><Relationship Id="rId14" Type="http://schemas.openxmlformats.org/officeDocument/2006/relationships/hyperlink" Target="mailto:babichevk@list.ru"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DCC3769-5DDF-4D10-8E4D-603255D4634D}" type="doc">
      <dgm:prSet loTypeId="urn:microsoft.com/office/officeart/2008/layout/VerticalCurvedList" loCatId="list" qsTypeId="urn:microsoft.com/office/officeart/2005/8/quickstyle/simple5" qsCatId="simple" csTypeId="urn:microsoft.com/office/officeart/2005/8/colors/accent1_2" csCatId="accent1" phldr="1"/>
      <dgm:spPr/>
      <dgm:t>
        <a:bodyPr/>
        <a:lstStyle/>
        <a:p>
          <a:endParaRPr lang="ru-RU"/>
        </a:p>
      </dgm:t>
    </dgm:pt>
    <dgm:pt modelId="{AFE546E9-2E6D-4F86-9DED-C016E1B144E6}">
      <dgm:prSet phldrT="[Текст]" custT="1"/>
      <dgm:spPr>
        <a:xfrm>
          <a:off x="394867" y="109373"/>
          <a:ext cx="5514861" cy="829307"/>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solidFill>
            <a:srgbClr val="5B9BD5"/>
          </a:solidFill>
        </a:ln>
        <a:effectLst>
          <a:outerShdw blurRad="57150" dist="19050" dir="5400000" algn="ctr" rotWithShape="0">
            <a:srgbClr val="000000">
              <a:alpha val="63000"/>
            </a:srgbClr>
          </a:outerShdw>
        </a:effectLst>
      </dgm:spPr>
      <dgm:t>
        <a:bodyPr/>
        <a:lstStyle/>
        <a:p>
          <a:pPr algn="l"/>
          <a:r>
            <a:rPr lang="ru-RU" sz="1200">
              <a:solidFill>
                <a:sysClr val="window" lastClr="FFFFFF"/>
              </a:solidFill>
              <a:latin typeface="Times New Roman" panose="02020603050405020304" pitchFamily="18" charset="0"/>
              <a:ea typeface="+mn-ea"/>
              <a:cs typeface="Times New Roman" panose="02020603050405020304" pitchFamily="18" charset="0"/>
            </a:rPr>
            <a:t>факторы, определяющие экономический потенциал территории</a:t>
          </a:r>
        </a:p>
      </dgm:t>
    </dgm:pt>
    <dgm:pt modelId="{BB54312B-CB99-47F5-9B98-A0B3568F164D}" type="parTrans" cxnId="{2221C531-E000-4786-AAB4-3E3328211A50}">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57DC68E7-2844-4A9B-A11F-FC91A2A027FE}" type="sibTrans" cxnId="{2221C531-E000-4786-AAB4-3E3328211A50}">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5DD5EA61-3E5A-40D8-B63B-85682771BEB1}">
      <dgm:prSet phldrT="[Текст]" custT="1"/>
      <dgm:spPr>
        <a:xfrm>
          <a:off x="394867" y="109373"/>
          <a:ext cx="5514861" cy="829307"/>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solidFill>
            <a:srgbClr val="5B9BD5"/>
          </a:solidFill>
        </a:ln>
        <a:effectLst>
          <a:outerShdw blurRad="57150" dist="19050" dir="5400000" algn="ctr" rotWithShape="0">
            <a:srgbClr val="000000">
              <a:alpha val="63000"/>
            </a:srgbClr>
          </a:outerShdw>
        </a:effectLst>
      </dgm:spPr>
      <dgm:t>
        <a:bodyPr/>
        <a:lstStyle/>
        <a:p>
          <a:pPr algn="l"/>
          <a:r>
            <a:rPr lang="ru-RU" sz="1200">
              <a:solidFill>
                <a:sysClr val="window" lastClr="FFFFFF"/>
              </a:solidFill>
              <a:latin typeface="Times New Roman" panose="02020603050405020304" pitchFamily="18" charset="0"/>
              <a:ea typeface="+mn-ea"/>
              <a:cs typeface="Times New Roman" panose="02020603050405020304" pitchFamily="18" charset="0"/>
            </a:rPr>
            <a:t> уровень обеспеченности энерго- и трудовыми ресурсами</a:t>
          </a:r>
        </a:p>
      </dgm:t>
    </dgm:pt>
    <dgm:pt modelId="{6C15A4B3-326F-4FAB-A543-A7A24FD11687}" type="parTrans" cxnId="{B7DC1EFE-7567-4938-A119-1807A35A11DC}">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B7F81C92-03DB-4383-8D41-FE81204AC339}" type="sibTrans" cxnId="{B7DC1EFE-7567-4938-A119-1807A35A11DC}">
      <dgm:prSet/>
      <dgm:spPr>
        <a:xfrm>
          <a:off x="-6360082" y="-961211"/>
          <a:ext cx="7576046" cy="7576046"/>
        </a:xfrm>
        <a:prstGeom prst="blockArc">
          <a:avLst>
            <a:gd name="adj1" fmla="val 18900000"/>
            <a:gd name="adj2" fmla="val 2700000"/>
            <a:gd name="adj3" fmla="val 285"/>
          </a:avLst>
        </a:prstGeom>
        <a:noFill/>
        <a:ln w="12700" cap="flat" cmpd="sng" algn="ctr">
          <a:solidFill>
            <a:srgbClr val="5B9BD5">
              <a:shade val="60000"/>
              <a:hueOff val="0"/>
              <a:satOff val="0"/>
              <a:lumOff val="0"/>
              <a:alphaOff val="0"/>
            </a:srgbClr>
          </a:solidFill>
          <a:prstDash val="solid"/>
          <a:miter lim="800000"/>
        </a:ln>
        <a:effectLst/>
      </dgm:spPr>
      <dgm:t>
        <a:bodyPr/>
        <a:lstStyle/>
        <a:p>
          <a:pPr algn="l"/>
          <a:endParaRPr lang="ru-RU" sz="1200">
            <a:latin typeface="Times New Roman" panose="02020603050405020304" pitchFamily="18" charset="0"/>
            <a:cs typeface="Times New Roman" panose="02020603050405020304" pitchFamily="18" charset="0"/>
          </a:endParaRPr>
        </a:p>
      </dgm:t>
    </dgm:pt>
    <dgm:pt modelId="{C26C7FA0-2FFA-42D4-B34F-AA4F22074B6E}">
      <dgm:prSet phldrT="[Текст]" custT="1"/>
      <dgm:spPr>
        <a:xfrm>
          <a:off x="1123840" y="1802254"/>
          <a:ext cx="4797739" cy="656048"/>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l"/>
          <a:r>
            <a:rPr lang="ru-RU" sz="1200">
              <a:solidFill>
                <a:sysClr val="window" lastClr="FFFFFF"/>
              </a:solidFill>
              <a:latin typeface="Times New Roman" panose="02020603050405020304" pitchFamily="18" charset="0"/>
              <a:ea typeface="+mn-ea"/>
              <a:cs typeface="Times New Roman" panose="02020603050405020304" pitchFamily="18" charset="0"/>
            </a:rPr>
            <a:t>факторы, характеризующие общие условия хозяйствования </a:t>
          </a:r>
        </a:p>
      </dgm:t>
    </dgm:pt>
    <dgm:pt modelId="{41D40172-D219-4FA9-922B-E4B8BBE05254}" type="parTrans" cxnId="{1FCFA198-F1B3-4E2F-BDFF-E2AA9FF0273D}">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49430018-4B47-4E1B-9749-C41E5E196364}" type="sibTrans" cxnId="{1FCFA198-F1B3-4E2F-BDFF-E2AA9FF0273D}">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E429D491-C8D4-4EA2-9630-FD4D100AC360}">
      <dgm:prSet phldrT="[Текст]" custT="1"/>
      <dgm:spPr>
        <a:xfrm>
          <a:off x="1123840" y="1802254"/>
          <a:ext cx="4797739" cy="656048"/>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l"/>
          <a:r>
            <a:rPr lang="ru-RU" sz="1200">
              <a:solidFill>
                <a:sysClr val="window" lastClr="FFFFFF"/>
              </a:solidFill>
              <a:latin typeface="Times New Roman" panose="02020603050405020304" pitchFamily="18" charset="0"/>
              <a:ea typeface="+mn-ea"/>
              <a:cs typeface="Times New Roman" panose="02020603050405020304" pitchFamily="18" charset="0"/>
            </a:rPr>
            <a:t>развитие отраслей материального производства</a:t>
          </a:r>
        </a:p>
      </dgm:t>
    </dgm:pt>
    <dgm:pt modelId="{29E868B0-E83D-4585-B14C-0DC53F62C38B}" type="parTrans" cxnId="{673C85BD-7FA1-4ADF-8783-6FD1CA934DC9}">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219CACD1-0704-4DCF-8C7E-C43F589B7E87}" type="sibTrans" cxnId="{673C85BD-7FA1-4ADF-8783-6FD1CA934DC9}">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D1F68FCE-E168-4E47-8941-10B72DCCA6AA}">
      <dgm:prSet phldrT="[Текст]" custT="1"/>
      <dgm:spPr>
        <a:xfrm>
          <a:off x="1123840" y="1802254"/>
          <a:ext cx="4797739" cy="656048"/>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l"/>
          <a:r>
            <a:rPr lang="ru-RU" sz="1200">
              <a:solidFill>
                <a:sysClr val="window" lastClr="FFFFFF"/>
              </a:solidFill>
              <a:latin typeface="Times New Roman" panose="02020603050405020304" pitchFamily="18" charset="0"/>
              <a:ea typeface="+mn-ea"/>
              <a:cs typeface="Times New Roman" panose="02020603050405020304" pitchFamily="18" charset="0"/>
            </a:rPr>
            <a:t>экологическая безопасность</a:t>
          </a:r>
        </a:p>
      </dgm:t>
    </dgm:pt>
    <dgm:pt modelId="{05FBE5C9-839A-4CAF-9131-4C005544AF7B}" type="parTrans" cxnId="{36AFE078-9688-403E-BFEA-BEF66CB834E7}">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E620A973-4266-4C83-9AEC-28D69CE1DE22}" type="sibTrans" cxnId="{36AFE078-9688-403E-BFEA-BEF66CB834E7}">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F8608499-BDBB-4674-8BA8-806405436D11}">
      <dgm:prSet phldrT="[Текст]" custT="1"/>
      <dgm:spPr>
        <a:xfrm>
          <a:off x="394867" y="109373"/>
          <a:ext cx="5514861" cy="829307"/>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solidFill>
            <a:srgbClr val="5B9BD5"/>
          </a:solidFill>
        </a:ln>
        <a:effectLst>
          <a:outerShdw blurRad="57150" dist="19050" dir="5400000" algn="ctr" rotWithShape="0">
            <a:srgbClr val="000000">
              <a:alpha val="63000"/>
            </a:srgbClr>
          </a:outerShdw>
        </a:effectLst>
      </dgm:spPr>
      <dgm:t>
        <a:bodyPr/>
        <a:lstStyle/>
        <a:p>
          <a:pPr algn="l"/>
          <a:r>
            <a:rPr lang="ru-RU" sz="1200">
              <a:solidFill>
                <a:sysClr val="window" lastClr="FFFFFF"/>
              </a:solidFill>
              <a:latin typeface="Times New Roman" panose="02020603050405020304" pitchFamily="18" charset="0"/>
              <a:ea typeface="+mn-ea"/>
              <a:cs typeface="Times New Roman" panose="02020603050405020304" pitchFamily="18" charset="0"/>
            </a:rPr>
            <a:t>наличие свободных земель для производственного инвестирования</a:t>
          </a:r>
        </a:p>
      </dgm:t>
    </dgm:pt>
    <dgm:pt modelId="{BDF154F8-C8DC-47CC-8DC9-8CC4708733FB}" type="parTrans" cxnId="{62BFA8EE-28CA-4490-B06A-CAF15DA9353B}">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6944BA4A-31DF-4FE4-93FA-43C3FE589867}" type="sibTrans" cxnId="{62BFA8EE-28CA-4490-B06A-CAF15DA9353B}">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8540E90C-14BE-448E-862E-A932438D89EE}">
      <dgm:prSet phldrT="[Текст]" custT="1"/>
      <dgm:spPr>
        <a:xfrm>
          <a:off x="394867" y="109373"/>
          <a:ext cx="5514861" cy="829307"/>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solidFill>
            <a:srgbClr val="5B9BD5"/>
          </a:solidFill>
        </a:ln>
        <a:effectLst>
          <a:outerShdw blurRad="57150" dist="19050" dir="5400000" algn="ctr" rotWithShape="0">
            <a:srgbClr val="000000">
              <a:alpha val="63000"/>
            </a:srgbClr>
          </a:outerShdw>
        </a:effectLst>
      </dgm:spPr>
      <dgm:t>
        <a:bodyPr/>
        <a:lstStyle/>
        <a:p>
          <a:pPr algn="l"/>
          <a:r>
            <a:rPr lang="ru-RU" sz="1200">
              <a:solidFill>
                <a:sysClr val="window" lastClr="FFFFFF"/>
              </a:solidFill>
              <a:latin typeface="Times New Roman" panose="02020603050405020304" pitchFamily="18" charset="0"/>
              <a:ea typeface="+mn-ea"/>
              <a:cs typeface="Times New Roman" panose="02020603050405020304" pitchFamily="18" charset="0"/>
            </a:rPr>
            <a:t>развитость научно-технического потенциала и инфраструктуры</a:t>
          </a:r>
        </a:p>
      </dgm:t>
    </dgm:pt>
    <dgm:pt modelId="{CF08B0CA-0046-4E91-ADEB-062871F01B4F}" type="parTrans" cxnId="{49335515-D843-4BC3-8794-2BEB977EEDF7}">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F89EB694-7A0B-4AAE-ABFD-3F0123D8CAF5}" type="sibTrans" cxnId="{49335515-D843-4BC3-8794-2BEB977EEDF7}">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411CA6A5-1EF3-4F39-B3E6-CCF0AC206478}">
      <dgm:prSet phldrT="[Текст]" custT="1"/>
      <dgm:spPr>
        <a:xfrm>
          <a:off x="858126" y="3973272"/>
          <a:ext cx="5051602" cy="777082"/>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l"/>
          <a:r>
            <a:rPr lang="ru-RU" sz="1200">
              <a:solidFill>
                <a:sysClr val="window" lastClr="FFFFFF"/>
              </a:solidFill>
              <a:latin typeface="Times New Roman" panose="02020603050405020304" pitchFamily="18" charset="0"/>
              <a:ea typeface="+mn-ea"/>
              <a:cs typeface="Times New Roman" panose="02020603050405020304" pitchFamily="18" charset="0"/>
            </a:rPr>
            <a:t>факторы, свидетельствующие о зрелости рыночной среды </a:t>
          </a:r>
        </a:p>
      </dgm:t>
    </dgm:pt>
    <dgm:pt modelId="{17E648D7-CCE1-411E-BA61-7E8172C3486C}" type="parTrans" cxnId="{7EBF9234-BEA4-4EE9-A275-3CCCD4A2B3C7}">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4C9B3707-2943-4D0D-BCB6-C143AE9A287A}" type="sibTrans" cxnId="{7EBF9234-BEA4-4EE9-A275-3CCCD4A2B3C7}">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77B7AF7B-7190-41AA-94DE-377562A4E928}">
      <dgm:prSet phldrT="[Текст]" custT="1"/>
      <dgm:spPr>
        <a:xfrm>
          <a:off x="858126" y="3973272"/>
          <a:ext cx="5051602" cy="777082"/>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l"/>
          <a:r>
            <a:rPr lang="ru-RU" sz="1200">
              <a:solidFill>
                <a:sysClr val="window" lastClr="FFFFFF"/>
              </a:solidFill>
              <a:latin typeface="Times New Roman" panose="02020603050405020304" pitchFamily="18" charset="0"/>
              <a:ea typeface="+mn-ea"/>
              <a:cs typeface="Times New Roman" panose="02020603050405020304" pitchFamily="18" charset="0"/>
            </a:rPr>
            <a:t>развитость рыночной инфраструктуры</a:t>
          </a:r>
        </a:p>
      </dgm:t>
    </dgm:pt>
    <dgm:pt modelId="{0F89B9FA-7C60-49A8-A884-A9EEB2D57995}" type="parTrans" cxnId="{93415646-FA7E-499A-983F-738DE65F1FC1}">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5390BFE6-018C-4D4F-B808-5C95F3B4F2E5}" type="sibTrans" cxnId="{93415646-FA7E-499A-983F-738DE65F1FC1}">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8DD7F977-3A81-466D-879C-2CDBCB051A3C}">
      <dgm:prSet phldrT="[Текст]" custT="1"/>
      <dgm:spPr>
        <a:xfrm>
          <a:off x="858126" y="3973272"/>
          <a:ext cx="5051602" cy="777082"/>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l"/>
          <a:r>
            <a:rPr lang="ru-RU" sz="1200">
              <a:solidFill>
                <a:sysClr val="window" lastClr="FFFFFF"/>
              </a:solidFill>
              <a:latin typeface="Times New Roman" panose="02020603050405020304" pitchFamily="18" charset="0"/>
              <a:ea typeface="+mn-ea"/>
              <a:cs typeface="Times New Roman" panose="02020603050405020304" pitchFamily="18" charset="0"/>
            </a:rPr>
            <a:t>экспортные возможности</a:t>
          </a:r>
        </a:p>
      </dgm:t>
    </dgm:pt>
    <dgm:pt modelId="{A3E4F787-4CF3-4FE7-A541-CB98EF36E94A}" type="parTrans" cxnId="{8DED24D5-4F10-4BD6-BE81-A65C1979E8E0}">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5B0A433E-0062-45DA-930A-B5B47BD348B5}" type="sibTrans" cxnId="{8DED24D5-4F10-4BD6-BE81-A65C1979E8E0}">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05E7D0AD-1CF5-475D-AC77-32F455F43A70}">
      <dgm:prSet phldrT="[Текст]" custT="1"/>
      <dgm:spPr>
        <a:xfrm>
          <a:off x="858126" y="1099124"/>
          <a:ext cx="5051602" cy="599127"/>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l"/>
          <a:r>
            <a:rPr lang="ru-RU" sz="1200">
              <a:solidFill>
                <a:sysClr val="window" lastClr="FFFFFF"/>
              </a:solidFill>
              <a:latin typeface="Times New Roman" panose="02020603050405020304" pitchFamily="18" charset="0"/>
              <a:ea typeface="+mn-ea"/>
              <a:cs typeface="Times New Roman" panose="02020603050405020304" pitchFamily="18" charset="0"/>
            </a:rPr>
            <a:t>политические факторы</a:t>
          </a:r>
        </a:p>
      </dgm:t>
    </dgm:pt>
    <dgm:pt modelId="{71EC99B1-583E-4799-AD62-4ED5D82DE5A6}" type="parTrans" cxnId="{F3C70FCE-8946-4816-8CFE-5455F24C41E3}">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0C81456F-FAB7-4660-9FFA-F0154F90CC30}" type="sibTrans" cxnId="{F3C70FCE-8946-4816-8CFE-5455F24C41E3}">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540C41B0-F24F-4200-82FD-C030B80E8B8B}">
      <dgm:prSet phldrT="[Текст]" custT="1"/>
      <dgm:spPr>
        <a:xfrm>
          <a:off x="858126" y="1099124"/>
          <a:ext cx="5051602" cy="599127"/>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l"/>
          <a:r>
            <a:rPr lang="ru-RU" sz="1200">
              <a:solidFill>
                <a:sysClr val="window" lastClr="FFFFFF"/>
              </a:solidFill>
              <a:latin typeface="Times New Roman" panose="02020603050405020304" pitchFamily="18" charset="0"/>
              <a:ea typeface="+mn-ea"/>
              <a:cs typeface="Times New Roman" panose="02020603050405020304" pitchFamily="18" charset="0"/>
            </a:rPr>
            <a:t>стеепень доверия к власти</a:t>
          </a:r>
        </a:p>
      </dgm:t>
    </dgm:pt>
    <dgm:pt modelId="{092C0CEE-BD0C-4552-A784-5254D92E4339}" type="parTrans" cxnId="{ACD4CE03-1ECE-41C6-A04C-3994E988E141}">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2B9A0F62-C28C-4F37-9831-10BCF189EA5E}" type="sibTrans" cxnId="{ACD4CE03-1ECE-41C6-A04C-3994E988E141}">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F3B83330-9ABE-41E9-A2DD-E260BB2EB306}">
      <dgm:prSet phldrT="[Текст]" custT="1"/>
      <dgm:spPr>
        <a:xfrm>
          <a:off x="858126" y="1099124"/>
          <a:ext cx="5051602" cy="599127"/>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l"/>
          <a:r>
            <a:rPr lang="ru-RU" sz="1200">
              <a:solidFill>
                <a:sysClr val="window" lastClr="FFFFFF"/>
              </a:solidFill>
              <a:latin typeface="Times New Roman" panose="02020603050405020304" pitchFamily="18" charset="0"/>
              <a:ea typeface="+mn-ea"/>
              <a:cs typeface="Times New Roman" panose="02020603050405020304" pitchFamily="18" charset="0"/>
            </a:rPr>
            <a:t>взаимоотношение МСУ и властей региона</a:t>
          </a:r>
        </a:p>
      </dgm:t>
    </dgm:pt>
    <dgm:pt modelId="{A862D9C6-3706-451D-B096-17E2024BBF92}" type="parTrans" cxnId="{0700400B-F3B5-4512-B139-662F903AC555}">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B097F97A-73D4-4F5B-811F-38D944F5CB8F}" type="sibTrans" cxnId="{0700400B-F3B5-4512-B139-662F903AC555}">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098D60C1-C2E2-4C4B-A298-2DBE33791B06}">
      <dgm:prSet phldrT="[Текст]" custT="1"/>
      <dgm:spPr>
        <a:xfrm>
          <a:off x="1193046" y="2542136"/>
          <a:ext cx="4716682" cy="759351"/>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l"/>
          <a:r>
            <a:rPr lang="ru-RU" sz="1200">
              <a:solidFill>
                <a:sysClr val="window" lastClr="FFFFFF"/>
              </a:solidFill>
              <a:latin typeface="Times New Roman" panose="02020603050405020304" pitchFamily="18" charset="0"/>
              <a:ea typeface="+mn-ea"/>
              <a:cs typeface="Times New Roman" panose="02020603050405020304" pitchFamily="18" charset="0"/>
            </a:rPr>
            <a:t>социальные факторы</a:t>
          </a:r>
        </a:p>
      </dgm:t>
    </dgm:pt>
    <dgm:pt modelId="{1234A8DD-71BC-4F2B-96E4-7932669C55EC}" type="parTrans" cxnId="{32994799-9E13-40AE-A569-4223EAE6DD97}">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152E3FE6-82A6-4C9B-8CAB-96E12287E6D1}" type="sibTrans" cxnId="{32994799-9E13-40AE-A569-4223EAE6DD97}">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64878DF6-A91D-4A82-BF9A-9F5F703C4931}">
      <dgm:prSet phldrT="[Текст]" custT="1"/>
      <dgm:spPr>
        <a:xfrm>
          <a:off x="1193046" y="2542136"/>
          <a:ext cx="4716682" cy="759351"/>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l"/>
          <a:r>
            <a:rPr lang="ru-RU" sz="1200">
              <a:solidFill>
                <a:sysClr val="window" lastClr="FFFFFF"/>
              </a:solidFill>
              <a:latin typeface="Times New Roman" panose="02020603050405020304" pitchFamily="18" charset="0"/>
              <a:ea typeface="+mn-ea"/>
              <a:cs typeface="Times New Roman" panose="02020603050405020304" pitchFamily="18" charset="0"/>
            </a:rPr>
            <a:t>уровень жизни населения</a:t>
          </a:r>
        </a:p>
      </dgm:t>
    </dgm:pt>
    <dgm:pt modelId="{32DF0D11-8ECE-4E8D-9883-C7726CD7D804}" type="parTrans" cxnId="{9005D2D9-17EE-44FD-B2A4-2DCF2D15F466}">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4DC8A78F-1EB9-4E2F-B2B2-F9BA822EB03A}" type="sibTrans" cxnId="{9005D2D9-17EE-44FD-B2A4-2DCF2D15F466}">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5408E48F-49BE-4C59-9853-6FB024B459E7}">
      <dgm:prSet phldrT="[Текст]" custT="1"/>
      <dgm:spPr>
        <a:xfrm>
          <a:off x="1193046" y="2542136"/>
          <a:ext cx="4716682" cy="759351"/>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l"/>
          <a:r>
            <a:rPr lang="ru-RU" sz="1200">
              <a:solidFill>
                <a:sysClr val="window" lastClr="FFFFFF"/>
              </a:solidFill>
              <a:latin typeface="Times New Roman" panose="02020603050405020304" pitchFamily="18" charset="0"/>
              <a:ea typeface="+mn-ea"/>
              <a:cs typeface="Times New Roman" panose="02020603050405020304" pitchFamily="18" charset="0"/>
            </a:rPr>
            <a:t>величина заработной платы</a:t>
          </a:r>
        </a:p>
      </dgm:t>
    </dgm:pt>
    <dgm:pt modelId="{04AC234E-481C-4B9D-AD4B-768D46325E4A}" type="parTrans" cxnId="{071FBDC0-8210-4DEE-A2E1-7E86A8B841FB}">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A869392B-C63E-4A80-84D1-CD38D49FC381}" type="sibTrans" cxnId="{071FBDC0-8210-4DEE-A2E1-7E86A8B841FB}">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9F9BDA17-5262-4921-B8B3-A2F6BC091030}">
      <dgm:prSet phldrT="[Текст]" custT="1"/>
      <dgm:spPr>
        <a:xfrm>
          <a:off x="1193046" y="2542136"/>
          <a:ext cx="4716682" cy="759351"/>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l"/>
          <a:r>
            <a:rPr lang="ru-RU" sz="1200">
              <a:solidFill>
                <a:sysClr val="window" lastClr="FFFFFF"/>
              </a:solidFill>
              <a:latin typeface="Times New Roman" panose="02020603050405020304" pitchFamily="18" charset="0"/>
              <a:ea typeface="+mn-ea"/>
              <a:cs typeface="Times New Roman" panose="02020603050405020304" pitchFamily="18" charset="0"/>
            </a:rPr>
            <a:t>уровень безработицы</a:t>
          </a:r>
        </a:p>
      </dgm:t>
    </dgm:pt>
    <dgm:pt modelId="{637FA71D-637D-4F89-B9E5-2E00AD04062A}" type="parTrans" cxnId="{9B07BFF2-30BD-4417-9196-AF47F04015D8}">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CF508ABA-2615-4DDB-B62B-09A4CA52C6CF}" type="sibTrans" cxnId="{9B07BFF2-30BD-4417-9196-AF47F04015D8}">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5FF80F5F-4926-4E68-8F05-A783DFEF326A}">
      <dgm:prSet phldrT="[Текст]" custT="1"/>
      <dgm:spPr>
        <a:xfrm>
          <a:off x="1123888" y="3410071"/>
          <a:ext cx="4797739" cy="511554"/>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l"/>
          <a:r>
            <a:rPr lang="ru-RU" sz="1200">
              <a:solidFill>
                <a:sysClr val="window" lastClr="FFFFFF"/>
              </a:solidFill>
              <a:latin typeface="Times New Roman" panose="02020603050405020304" pitchFamily="18" charset="0"/>
              <a:ea typeface="+mn-ea"/>
              <a:cs typeface="Times New Roman" panose="02020603050405020304" pitchFamily="18" charset="0"/>
            </a:rPr>
            <a:t>организационно-правовые факторы</a:t>
          </a:r>
        </a:p>
      </dgm:t>
    </dgm:pt>
    <dgm:pt modelId="{3C7F0D26-3EEE-46FE-9310-51F49E0A926D}" type="parTrans" cxnId="{F850C733-EB47-43BB-BE13-B2DF4AAF0DB5}">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FFE2E471-FB61-4913-BF30-C4E1090436C2}" type="sibTrans" cxnId="{F850C733-EB47-43BB-BE13-B2DF4AAF0DB5}">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05BC43B2-1FE6-4E0B-B9E6-A28A92313653}">
      <dgm:prSet phldrT="[Текст]" custT="1"/>
      <dgm:spPr>
        <a:xfrm>
          <a:off x="1123888" y="3410071"/>
          <a:ext cx="4797739" cy="511554"/>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l"/>
          <a:r>
            <a:rPr lang="ru-RU" sz="1200">
              <a:solidFill>
                <a:sysClr val="window" lastClr="FFFFFF"/>
              </a:solidFill>
              <a:latin typeface="Times New Roman" panose="02020603050405020304" pitchFamily="18" charset="0"/>
              <a:ea typeface="+mn-ea"/>
              <a:cs typeface="Times New Roman" panose="02020603050405020304" pitchFamily="18" charset="0"/>
            </a:rPr>
            <a:t>льготы для инвесторов</a:t>
          </a:r>
        </a:p>
      </dgm:t>
    </dgm:pt>
    <dgm:pt modelId="{1E150ECC-D88D-4FD8-B6A7-96C5A90F334A}" type="parTrans" cxnId="{22BEE0AE-4791-4C63-9B93-11914A7DABFA}">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88BDD9E0-10E6-4DB9-89CD-22D6191C048D}" type="sibTrans" cxnId="{22BEE0AE-4791-4C63-9B93-11914A7DABFA}">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29687674-A03A-41E1-9D40-CB793F5B6E4F}">
      <dgm:prSet phldrT="[Текст]" custT="1"/>
      <dgm:spPr>
        <a:xfrm>
          <a:off x="394867" y="4808158"/>
          <a:ext cx="5514861" cy="761628"/>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l"/>
          <a:r>
            <a:rPr lang="ru-RU" sz="1200">
              <a:solidFill>
                <a:sysClr val="window" lastClr="FFFFFF"/>
              </a:solidFill>
              <a:latin typeface="Times New Roman" panose="02020603050405020304" pitchFamily="18" charset="0"/>
              <a:ea typeface="+mn-ea"/>
              <a:cs typeface="Times New Roman" panose="02020603050405020304" pitchFamily="18" charset="0"/>
            </a:rPr>
            <a:t>финансовые факторы</a:t>
          </a:r>
        </a:p>
      </dgm:t>
    </dgm:pt>
    <dgm:pt modelId="{6B84CAFF-6179-467F-8744-05A395803812}" type="sibTrans" cxnId="{EA585D1C-875D-4AA8-8CC6-6EA1B572A02B}">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DD3D421D-08A4-44DA-BC1F-431F1B6425A7}" type="parTrans" cxnId="{EA585D1C-875D-4AA8-8CC6-6EA1B572A02B}">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4A4D8C76-3ECA-481A-9A7B-A83B45F90DCA}">
      <dgm:prSet phldrT="[Текст]" custT="1"/>
      <dgm:spPr>
        <a:xfrm>
          <a:off x="394867" y="4808158"/>
          <a:ext cx="5514861" cy="761628"/>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l"/>
          <a:r>
            <a:rPr lang="ru-RU" sz="1200">
              <a:solidFill>
                <a:sysClr val="window" lastClr="FFFFFF"/>
              </a:solidFill>
              <a:latin typeface="Times New Roman" panose="02020603050405020304" pitchFamily="18" charset="0"/>
              <a:ea typeface="+mn-ea"/>
              <a:cs typeface="Times New Roman" panose="02020603050405020304" pitchFamily="18" charset="0"/>
            </a:rPr>
            <a:t>доходы бюджета</a:t>
          </a:r>
        </a:p>
      </dgm:t>
    </dgm:pt>
    <dgm:pt modelId="{AB5E4280-5CE4-4958-8F7F-C91F0C2FCCD9}" type="sibTrans" cxnId="{101575A1-3196-4E94-A9D5-D8AC67596C73}">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8E1BD516-0AB3-4115-80A8-CE262D5DC5B2}" type="parTrans" cxnId="{101575A1-3196-4E94-A9D5-D8AC67596C73}">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FC909E75-0CCC-4B61-BC1C-8AC4D7163837}">
      <dgm:prSet phldrT="[Текст]" custT="1"/>
      <dgm:spPr>
        <a:xfrm>
          <a:off x="394867" y="4808158"/>
          <a:ext cx="5514861" cy="761628"/>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l"/>
          <a:r>
            <a:rPr lang="ru-RU" sz="1200">
              <a:solidFill>
                <a:sysClr val="window" lastClr="FFFFFF"/>
              </a:solidFill>
              <a:latin typeface="Times New Roman" panose="02020603050405020304" pitchFamily="18" charset="0"/>
              <a:ea typeface="+mn-ea"/>
              <a:cs typeface="Times New Roman" panose="02020603050405020304" pitchFamily="18" charset="0"/>
            </a:rPr>
            <a:t>обеспеченность средствами безвозмездных поступлений</a:t>
          </a:r>
        </a:p>
        <a:p>
          <a:pPr algn="l"/>
          <a:endParaRPr lang="ru-RU" sz="1200">
            <a:solidFill>
              <a:sysClr val="window" lastClr="FFFFFF"/>
            </a:solidFill>
            <a:latin typeface="Times New Roman" panose="02020603050405020304" pitchFamily="18" charset="0"/>
            <a:ea typeface="+mn-ea"/>
            <a:cs typeface="Times New Roman" panose="02020603050405020304" pitchFamily="18" charset="0"/>
          </a:endParaRPr>
        </a:p>
      </dgm:t>
    </dgm:pt>
    <dgm:pt modelId="{272A0DFA-B4E8-4B0E-A02D-CAEAEDC21E0C}" type="sibTrans" cxnId="{BAC270A3-A77E-4175-9D95-277525CE6837}">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D150EAB0-DC60-40AC-9857-188DFDC22285}" type="parTrans" cxnId="{BAC270A3-A77E-4175-9D95-277525CE6837}">
      <dgm:prSet/>
      <dgm:spPr/>
      <dgm:t>
        <a:bodyPr/>
        <a:lstStyle/>
        <a:p>
          <a:pPr algn="l"/>
          <a:endParaRPr lang="ru-RU" sz="1200">
            <a:latin typeface="Times New Roman" panose="02020603050405020304" pitchFamily="18" charset="0"/>
            <a:cs typeface="Times New Roman" panose="02020603050405020304" pitchFamily="18" charset="0"/>
          </a:endParaRPr>
        </a:p>
      </dgm:t>
    </dgm:pt>
    <dgm:pt modelId="{CAF5F4AE-41B3-454E-A09D-DE0B0F322394}" type="pres">
      <dgm:prSet presAssocID="{3DCC3769-5DDF-4D10-8E4D-603255D4634D}" presName="Name0" presStyleCnt="0">
        <dgm:presLayoutVars>
          <dgm:chMax val="7"/>
          <dgm:chPref val="7"/>
          <dgm:dir/>
        </dgm:presLayoutVars>
      </dgm:prSet>
      <dgm:spPr/>
      <dgm:t>
        <a:bodyPr/>
        <a:lstStyle/>
        <a:p>
          <a:endParaRPr lang="ru-RU"/>
        </a:p>
      </dgm:t>
    </dgm:pt>
    <dgm:pt modelId="{CC4FA21C-8BE6-4C5D-A95D-9F3C39385EEE}" type="pres">
      <dgm:prSet presAssocID="{3DCC3769-5DDF-4D10-8E4D-603255D4634D}" presName="Name1" presStyleCnt="0"/>
      <dgm:spPr/>
    </dgm:pt>
    <dgm:pt modelId="{2915D4BB-7FE5-4870-B430-39915AAC1D33}" type="pres">
      <dgm:prSet presAssocID="{3DCC3769-5DDF-4D10-8E4D-603255D4634D}" presName="cycle" presStyleCnt="0"/>
      <dgm:spPr/>
    </dgm:pt>
    <dgm:pt modelId="{846E81BC-EC29-4971-9CAD-312D1F9AB221}" type="pres">
      <dgm:prSet presAssocID="{3DCC3769-5DDF-4D10-8E4D-603255D4634D}" presName="srcNode" presStyleLbl="node1" presStyleIdx="0" presStyleCnt="7"/>
      <dgm:spPr/>
    </dgm:pt>
    <dgm:pt modelId="{2398521D-A044-4CC0-B23A-AFB840580A33}" type="pres">
      <dgm:prSet presAssocID="{3DCC3769-5DDF-4D10-8E4D-603255D4634D}" presName="conn" presStyleLbl="parChTrans1D2" presStyleIdx="0" presStyleCnt="1"/>
      <dgm:spPr/>
      <dgm:t>
        <a:bodyPr/>
        <a:lstStyle/>
        <a:p>
          <a:endParaRPr lang="ru-RU"/>
        </a:p>
      </dgm:t>
    </dgm:pt>
    <dgm:pt modelId="{E5FCDA3A-74D6-4A3C-8868-DF1A2CBE51C2}" type="pres">
      <dgm:prSet presAssocID="{3DCC3769-5DDF-4D10-8E4D-603255D4634D}" presName="extraNode" presStyleLbl="node1" presStyleIdx="0" presStyleCnt="7"/>
      <dgm:spPr/>
    </dgm:pt>
    <dgm:pt modelId="{29983330-8762-4397-BEEA-44A72A51B63D}" type="pres">
      <dgm:prSet presAssocID="{3DCC3769-5DDF-4D10-8E4D-603255D4634D}" presName="dstNode" presStyleLbl="node1" presStyleIdx="0" presStyleCnt="7"/>
      <dgm:spPr/>
    </dgm:pt>
    <dgm:pt modelId="{9F793C79-6060-4662-AB91-9F924CAC5A60}" type="pres">
      <dgm:prSet presAssocID="{AFE546E9-2E6D-4F86-9DED-C016E1B144E6}" presName="text_1" presStyleLbl="node1" presStyleIdx="0" presStyleCnt="7" custScaleY="162115">
        <dgm:presLayoutVars>
          <dgm:bulletEnabled val="1"/>
        </dgm:presLayoutVars>
      </dgm:prSet>
      <dgm:spPr/>
      <dgm:t>
        <a:bodyPr/>
        <a:lstStyle/>
        <a:p>
          <a:endParaRPr lang="ru-RU"/>
        </a:p>
      </dgm:t>
    </dgm:pt>
    <dgm:pt modelId="{0A1CC801-49B0-4648-B38A-BA885734B3C7}" type="pres">
      <dgm:prSet presAssocID="{AFE546E9-2E6D-4F86-9DED-C016E1B144E6}" presName="accent_1" presStyleCnt="0"/>
      <dgm:spPr/>
    </dgm:pt>
    <dgm:pt modelId="{C8B3C58C-41E8-4317-A4FE-7FD493F670AF}" type="pres">
      <dgm:prSet presAssocID="{AFE546E9-2E6D-4F86-9DED-C016E1B144E6}" presName="accentRepeatNode" presStyleLbl="solidFgAcc1" presStyleIdx="0" presStyleCnt="7"/>
      <dgm:spPr>
        <a:xfrm>
          <a:off x="75145" y="204305"/>
          <a:ext cx="639443" cy="639443"/>
        </a:xfrm>
        <a:prstGeom prst="ellipse">
          <a:avLst/>
        </a:prstGeom>
        <a:solidFill>
          <a:sysClr val="window" lastClr="FFFFFF">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endParaRPr lang="ru-RU"/>
        </a:p>
      </dgm:t>
    </dgm:pt>
    <dgm:pt modelId="{2530A329-1718-4D50-BCE3-96F5090B79E5}" type="pres">
      <dgm:prSet presAssocID="{05E7D0AD-1CF5-475D-AC77-32F455F43A70}" presName="text_2" presStyleLbl="node1" presStyleIdx="1" presStyleCnt="7" custScaleY="117119" custLinFactNeighborY="20893">
        <dgm:presLayoutVars>
          <dgm:bulletEnabled val="1"/>
        </dgm:presLayoutVars>
      </dgm:prSet>
      <dgm:spPr/>
      <dgm:t>
        <a:bodyPr/>
        <a:lstStyle/>
        <a:p>
          <a:endParaRPr lang="ru-RU"/>
        </a:p>
      </dgm:t>
    </dgm:pt>
    <dgm:pt modelId="{461742CA-F7C7-42AF-A672-5A306E0F22A4}" type="pres">
      <dgm:prSet presAssocID="{05E7D0AD-1CF5-475D-AC77-32F455F43A70}" presName="accent_2" presStyleCnt="0"/>
      <dgm:spPr/>
    </dgm:pt>
    <dgm:pt modelId="{5181AFFE-081C-4811-A116-79F4E8346ED7}" type="pres">
      <dgm:prSet presAssocID="{05E7D0AD-1CF5-475D-AC77-32F455F43A70}" presName="accentRepeatNode" presStyleLbl="solidFgAcc1" presStyleIdx="1" presStyleCnt="7"/>
      <dgm:spPr>
        <a:xfrm>
          <a:off x="538404" y="972087"/>
          <a:ext cx="639443" cy="639443"/>
        </a:xfrm>
        <a:prstGeom prst="ellipse">
          <a:avLst/>
        </a:prstGeom>
        <a:solidFill>
          <a:sysClr val="window" lastClr="FFFFFF">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endParaRPr lang="ru-RU"/>
        </a:p>
      </dgm:t>
    </dgm:pt>
    <dgm:pt modelId="{FF471197-E04E-4DE4-9818-234E83E7A3F5}" type="pres">
      <dgm:prSet presAssocID="{C26C7FA0-2FFA-42D4-B34F-AA4F22074B6E}" presName="text_3" presStyleLbl="node1" presStyleIdx="2" presStyleCnt="7" custScaleY="128246" custLinFactNeighborX="247" custLinFactNeighborY="13928">
        <dgm:presLayoutVars>
          <dgm:bulletEnabled val="1"/>
        </dgm:presLayoutVars>
      </dgm:prSet>
      <dgm:spPr/>
      <dgm:t>
        <a:bodyPr/>
        <a:lstStyle/>
        <a:p>
          <a:endParaRPr lang="ru-RU"/>
        </a:p>
      </dgm:t>
    </dgm:pt>
    <dgm:pt modelId="{DA7D182E-28A9-4903-B022-8F20E960DE9D}" type="pres">
      <dgm:prSet presAssocID="{C26C7FA0-2FFA-42D4-B34F-AA4F22074B6E}" presName="accent_3" presStyleCnt="0"/>
      <dgm:spPr/>
    </dgm:pt>
    <dgm:pt modelId="{A098EABC-B34F-4A20-AE2B-3F9811C39E4F}" type="pres">
      <dgm:prSet presAssocID="{C26C7FA0-2FFA-42D4-B34F-AA4F22074B6E}" presName="accentRepeatNode" presStyleLbl="solidFgAcc1" presStyleIdx="2" presStyleCnt="7"/>
      <dgm:spPr>
        <a:xfrm>
          <a:off x="792268" y="1739307"/>
          <a:ext cx="639443" cy="639443"/>
        </a:xfrm>
        <a:prstGeom prst="ellipse">
          <a:avLst/>
        </a:prstGeom>
        <a:solidFill>
          <a:sysClr val="window" lastClr="FFFFFF">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endParaRPr lang="ru-RU"/>
        </a:p>
      </dgm:t>
    </dgm:pt>
    <dgm:pt modelId="{CD5965A5-4DC2-4BE9-92D1-7AE6EE95E116}" type="pres">
      <dgm:prSet presAssocID="{098D60C1-C2E2-4C4B-A298-2DBE33791B06}" presName="text_4" presStyleLbl="node1" presStyleIdx="3" presStyleCnt="7" custScaleY="148440" custLinFactNeighborY="18571">
        <dgm:presLayoutVars>
          <dgm:bulletEnabled val="1"/>
        </dgm:presLayoutVars>
      </dgm:prSet>
      <dgm:spPr/>
      <dgm:t>
        <a:bodyPr/>
        <a:lstStyle/>
        <a:p>
          <a:endParaRPr lang="ru-RU"/>
        </a:p>
      </dgm:t>
    </dgm:pt>
    <dgm:pt modelId="{2235A94C-499F-4C7D-B7B7-C604B0594277}" type="pres">
      <dgm:prSet presAssocID="{098D60C1-C2E2-4C4B-A298-2DBE33791B06}" presName="accent_4" presStyleCnt="0"/>
      <dgm:spPr/>
    </dgm:pt>
    <dgm:pt modelId="{4FD0D173-0A12-4B71-87DB-CC978A016CE4}" type="pres">
      <dgm:prSet presAssocID="{098D60C1-C2E2-4C4B-A298-2DBE33791B06}" presName="accentRepeatNode" presStyleLbl="solidFgAcc1" presStyleIdx="3" presStyleCnt="7"/>
      <dgm:spPr>
        <a:xfrm>
          <a:off x="873324" y="2507089"/>
          <a:ext cx="639443" cy="639443"/>
        </a:xfrm>
        <a:prstGeom prst="ellipse">
          <a:avLst/>
        </a:prstGeom>
        <a:solidFill>
          <a:sysClr val="window" lastClr="FFFFFF">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endParaRPr lang="ru-RU"/>
        </a:p>
      </dgm:t>
    </dgm:pt>
    <dgm:pt modelId="{F883569B-3278-4460-B0ED-0E4DEC0B1FF6}" type="pres">
      <dgm:prSet presAssocID="{5FF80F5F-4926-4E68-8F05-A783DFEF326A}" presName="text_5" presStyleLbl="node1" presStyleIdx="4" presStyleCnt="7" custLinFactNeighborX="248" custLinFactNeighborY="13929">
        <dgm:presLayoutVars>
          <dgm:bulletEnabled val="1"/>
        </dgm:presLayoutVars>
      </dgm:prSet>
      <dgm:spPr/>
      <dgm:t>
        <a:bodyPr/>
        <a:lstStyle/>
        <a:p>
          <a:endParaRPr lang="ru-RU"/>
        </a:p>
      </dgm:t>
    </dgm:pt>
    <dgm:pt modelId="{A5E91F8C-F85B-4179-A137-E2849249788F}" type="pres">
      <dgm:prSet presAssocID="{5FF80F5F-4926-4E68-8F05-A783DFEF326A}" presName="accent_5" presStyleCnt="0"/>
      <dgm:spPr/>
    </dgm:pt>
    <dgm:pt modelId="{026D3625-43BD-48DB-92A0-FA2C475AEBFE}" type="pres">
      <dgm:prSet presAssocID="{5FF80F5F-4926-4E68-8F05-A783DFEF326A}" presName="accentRepeatNode" presStyleLbl="solidFgAcc1" presStyleIdx="4" presStyleCnt="7"/>
      <dgm:spPr>
        <a:xfrm>
          <a:off x="792268" y="3274872"/>
          <a:ext cx="639443" cy="639443"/>
        </a:xfrm>
        <a:prstGeom prst="ellipse">
          <a:avLst/>
        </a:prstGeom>
        <a:solidFill>
          <a:sysClr val="window" lastClr="FFFFFF">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endParaRPr lang="ru-RU"/>
        </a:p>
      </dgm:t>
    </dgm:pt>
    <dgm:pt modelId="{5421A1BC-96BB-4B31-A5E0-74D03682BA8F}" type="pres">
      <dgm:prSet presAssocID="{411CA6A5-1EF3-4F39-B3E6-CCF0AC206478}" presName="text_6" presStyleLbl="node1" presStyleIdx="5" presStyleCnt="7" custScaleY="151906">
        <dgm:presLayoutVars>
          <dgm:bulletEnabled val="1"/>
        </dgm:presLayoutVars>
      </dgm:prSet>
      <dgm:spPr/>
      <dgm:t>
        <a:bodyPr/>
        <a:lstStyle/>
        <a:p>
          <a:endParaRPr lang="ru-RU"/>
        </a:p>
      </dgm:t>
    </dgm:pt>
    <dgm:pt modelId="{BADC46B9-DF1E-40AD-8694-F4AC8339B9F4}" type="pres">
      <dgm:prSet presAssocID="{411CA6A5-1EF3-4F39-B3E6-CCF0AC206478}" presName="accent_6" presStyleCnt="0"/>
      <dgm:spPr/>
    </dgm:pt>
    <dgm:pt modelId="{AFCE36C5-D393-4146-8570-2862776C6C24}" type="pres">
      <dgm:prSet presAssocID="{411CA6A5-1EF3-4F39-B3E6-CCF0AC206478}" presName="accentRepeatNode" presStyleLbl="solidFgAcc1" presStyleIdx="5" presStyleCnt="7"/>
      <dgm:spPr>
        <a:xfrm>
          <a:off x="538404" y="4042092"/>
          <a:ext cx="639443" cy="639443"/>
        </a:xfrm>
        <a:prstGeom prst="ellipse">
          <a:avLst/>
        </a:prstGeom>
        <a:solidFill>
          <a:sysClr val="window" lastClr="FFFFFF">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endParaRPr lang="ru-RU"/>
        </a:p>
      </dgm:t>
    </dgm:pt>
    <dgm:pt modelId="{D5E5D445-D596-4474-8006-B34B23071AE7}" type="pres">
      <dgm:prSet presAssocID="{29687674-A03A-41E1-9D40-CB793F5B6E4F}" presName="text_7" presStyleLbl="node1" presStyleIdx="6" presStyleCnt="7" custScaleY="148885" custLinFactNeighborY="11607">
        <dgm:presLayoutVars>
          <dgm:bulletEnabled val="1"/>
        </dgm:presLayoutVars>
      </dgm:prSet>
      <dgm:spPr/>
      <dgm:t>
        <a:bodyPr/>
        <a:lstStyle/>
        <a:p>
          <a:endParaRPr lang="ru-RU"/>
        </a:p>
      </dgm:t>
    </dgm:pt>
    <dgm:pt modelId="{8C2DD902-B191-4BDC-88A0-9369C2A6CBD8}" type="pres">
      <dgm:prSet presAssocID="{29687674-A03A-41E1-9D40-CB793F5B6E4F}" presName="accent_7" presStyleCnt="0"/>
      <dgm:spPr/>
    </dgm:pt>
    <dgm:pt modelId="{5BFF202D-6D95-4A1C-B216-DBB7BAF84D0B}" type="pres">
      <dgm:prSet presAssocID="{29687674-A03A-41E1-9D40-CB793F5B6E4F}" presName="accentRepeatNode" presStyleLbl="solidFgAcc1" presStyleIdx="6" presStyleCnt="7"/>
      <dgm:spPr>
        <a:xfrm>
          <a:off x="75145" y="4809874"/>
          <a:ext cx="639443" cy="639443"/>
        </a:xfrm>
        <a:prstGeom prst="ellipse">
          <a:avLst/>
        </a:prstGeom>
        <a:solidFill>
          <a:sysClr val="window" lastClr="FFFFFF">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endParaRPr lang="ru-RU"/>
        </a:p>
      </dgm:t>
    </dgm:pt>
  </dgm:ptLst>
  <dgm:cxnLst>
    <dgm:cxn modelId="{5A4996B8-2417-4B8A-8E70-F8AEA4778C76}" type="presOf" srcId="{8DD7F977-3A81-466D-879C-2CDBCB051A3C}" destId="{5421A1BC-96BB-4B31-A5E0-74D03682BA8F}" srcOrd="0" destOrd="2" presId="urn:microsoft.com/office/officeart/2008/layout/VerticalCurvedList"/>
    <dgm:cxn modelId="{0FDD115B-A010-486F-8777-A7E140EC18EE}" type="presOf" srcId="{29687674-A03A-41E1-9D40-CB793F5B6E4F}" destId="{D5E5D445-D596-4474-8006-B34B23071AE7}" srcOrd="0" destOrd="0" presId="urn:microsoft.com/office/officeart/2008/layout/VerticalCurvedList"/>
    <dgm:cxn modelId="{9005D2D9-17EE-44FD-B2A4-2DCF2D15F466}" srcId="{098D60C1-C2E2-4C4B-A298-2DBE33791B06}" destId="{64878DF6-A91D-4A82-BF9A-9F5F703C4931}" srcOrd="0" destOrd="0" parTransId="{32DF0D11-8ECE-4E8D-9883-C7726CD7D804}" sibTransId="{4DC8A78F-1EB9-4E2F-B2B2-F9BA822EB03A}"/>
    <dgm:cxn modelId="{CFB7CD3E-8BBF-432E-A2CF-92DCB1A9A0B4}" type="presOf" srcId="{5408E48F-49BE-4C59-9853-6FB024B459E7}" destId="{CD5965A5-4DC2-4BE9-92D1-7AE6EE95E116}" srcOrd="0" destOrd="2" presId="urn:microsoft.com/office/officeart/2008/layout/VerticalCurvedList"/>
    <dgm:cxn modelId="{0700400B-F3B5-4512-B139-662F903AC555}" srcId="{05E7D0AD-1CF5-475D-AC77-32F455F43A70}" destId="{F3B83330-9ABE-41E9-A2DD-E260BB2EB306}" srcOrd="1" destOrd="0" parTransId="{A862D9C6-3706-451D-B096-17E2024BBF92}" sibTransId="{B097F97A-73D4-4F5B-811F-38D944F5CB8F}"/>
    <dgm:cxn modelId="{79D299F6-27E5-4FEE-A2C5-A86A24D54694}" type="presOf" srcId="{05E7D0AD-1CF5-475D-AC77-32F455F43A70}" destId="{2530A329-1718-4D50-BCE3-96F5090B79E5}" srcOrd="0" destOrd="0" presId="urn:microsoft.com/office/officeart/2008/layout/VerticalCurvedList"/>
    <dgm:cxn modelId="{101575A1-3196-4E94-A9D5-D8AC67596C73}" srcId="{29687674-A03A-41E1-9D40-CB793F5B6E4F}" destId="{4A4D8C76-3ECA-481A-9A7B-A83B45F90DCA}" srcOrd="0" destOrd="0" parTransId="{8E1BD516-0AB3-4115-80A8-CE262D5DC5B2}" sibTransId="{AB5E4280-5CE4-4958-8F7F-C91F0C2FCCD9}"/>
    <dgm:cxn modelId="{32994799-9E13-40AE-A569-4223EAE6DD97}" srcId="{3DCC3769-5DDF-4D10-8E4D-603255D4634D}" destId="{098D60C1-C2E2-4C4B-A298-2DBE33791B06}" srcOrd="3" destOrd="0" parTransId="{1234A8DD-71BC-4F2B-96E4-7932669C55EC}" sibTransId="{152E3FE6-82A6-4C9B-8CAB-96E12287E6D1}"/>
    <dgm:cxn modelId="{A3B18BAE-2A47-4A1C-9250-12F19089185D}" type="presOf" srcId="{05BC43B2-1FE6-4E0B-B9E6-A28A92313653}" destId="{F883569B-3278-4460-B0ED-0E4DEC0B1FF6}" srcOrd="0" destOrd="1" presId="urn:microsoft.com/office/officeart/2008/layout/VerticalCurvedList"/>
    <dgm:cxn modelId="{FFCB1D90-C86C-47D6-82A7-A5CBE784A632}" type="presOf" srcId="{8540E90C-14BE-448E-862E-A932438D89EE}" destId="{9F793C79-6060-4662-AB91-9F924CAC5A60}" srcOrd="0" destOrd="3" presId="urn:microsoft.com/office/officeart/2008/layout/VerticalCurvedList"/>
    <dgm:cxn modelId="{73FD7FE6-6E14-4A88-9DD7-75067CB3CB05}" type="presOf" srcId="{D1F68FCE-E168-4E47-8941-10B72DCCA6AA}" destId="{FF471197-E04E-4DE4-9818-234E83E7A3F5}" srcOrd="0" destOrd="2" presId="urn:microsoft.com/office/officeart/2008/layout/VerticalCurvedList"/>
    <dgm:cxn modelId="{BAC270A3-A77E-4175-9D95-277525CE6837}" srcId="{29687674-A03A-41E1-9D40-CB793F5B6E4F}" destId="{FC909E75-0CCC-4B61-BC1C-8AC4D7163837}" srcOrd="1" destOrd="0" parTransId="{D150EAB0-DC60-40AC-9857-188DFDC22285}" sibTransId="{272A0DFA-B4E8-4B0E-A02D-CAEAEDC21E0C}"/>
    <dgm:cxn modelId="{8DED24D5-4F10-4BD6-BE81-A65C1979E8E0}" srcId="{411CA6A5-1EF3-4F39-B3E6-CCF0AC206478}" destId="{8DD7F977-3A81-466D-879C-2CDBCB051A3C}" srcOrd="1" destOrd="0" parTransId="{A3E4F787-4CF3-4FE7-A541-CB98EF36E94A}" sibTransId="{5B0A433E-0062-45DA-930A-B5B47BD348B5}"/>
    <dgm:cxn modelId="{62BFA8EE-28CA-4490-B06A-CAF15DA9353B}" srcId="{AFE546E9-2E6D-4F86-9DED-C016E1B144E6}" destId="{F8608499-BDBB-4674-8BA8-806405436D11}" srcOrd="1" destOrd="0" parTransId="{BDF154F8-C8DC-47CC-8DC9-8CC4708733FB}" sibTransId="{6944BA4A-31DF-4FE4-93FA-43C3FE589867}"/>
    <dgm:cxn modelId="{1288B18E-696F-404F-B19B-B846AFAAA55D}" type="presOf" srcId="{FC909E75-0CCC-4B61-BC1C-8AC4D7163837}" destId="{D5E5D445-D596-4474-8006-B34B23071AE7}" srcOrd="0" destOrd="2" presId="urn:microsoft.com/office/officeart/2008/layout/VerticalCurvedList"/>
    <dgm:cxn modelId="{36AFE078-9688-403E-BFEA-BEF66CB834E7}" srcId="{C26C7FA0-2FFA-42D4-B34F-AA4F22074B6E}" destId="{D1F68FCE-E168-4E47-8941-10B72DCCA6AA}" srcOrd="1" destOrd="0" parTransId="{05FBE5C9-839A-4CAF-9131-4C005544AF7B}" sibTransId="{E620A973-4266-4C83-9AEC-28D69CE1DE22}"/>
    <dgm:cxn modelId="{1E95605E-818F-46F5-855B-A34D4599021F}" type="presOf" srcId="{411CA6A5-1EF3-4F39-B3E6-CCF0AC206478}" destId="{5421A1BC-96BB-4B31-A5E0-74D03682BA8F}" srcOrd="0" destOrd="0" presId="urn:microsoft.com/office/officeart/2008/layout/VerticalCurvedList"/>
    <dgm:cxn modelId="{B7DC1EFE-7567-4938-A119-1807A35A11DC}" srcId="{AFE546E9-2E6D-4F86-9DED-C016E1B144E6}" destId="{5DD5EA61-3E5A-40D8-B63B-85682771BEB1}" srcOrd="0" destOrd="0" parTransId="{6C15A4B3-326F-4FAB-A543-A7A24FD11687}" sibTransId="{B7F81C92-03DB-4383-8D41-FE81204AC339}"/>
    <dgm:cxn modelId="{FC842430-5E9E-4E5E-ABED-2F4C46819913}" type="presOf" srcId="{3DCC3769-5DDF-4D10-8E4D-603255D4634D}" destId="{CAF5F4AE-41B3-454E-A09D-DE0B0F322394}" srcOrd="0" destOrd="0" presId="urn:microsoft.com/office/officeart/2008/layout/VerticalCurvedList"/>
    <dgm:cxn modelId="{49335515-D843-4BC3-8794-2BEB977EEDF7}" srcId="{AFE546E9-2E6D-4F86-9DED-C016E1B144E6}" destId="{8540E90C-14BE-448E-862E-A932438D89EE}" srcOrd="2" destOrd="0" parTransId="{CF08B0CA-0046-4E91-ADEB-062871F01B4F}" sibTransId="{F89EB694-7A0B-4AAE-ABFD-3F0123D8CAF5}"/>
    <dgm:cxn modelId="{9B07BFF2-30BD-4417-9196-AF47F04015D8}" srcId="{098D60C1-C2E2-4C4B-A298-2DBE33791B06}" destId="{9F9BDA17-5262-4921-B8B3-A2F6BC091030}" srcOrd="2" destOrd="0" parTransId="{637FA71D-637D-4F89-B9E5-2E00AD04062A}" sibTransId="{CF508ABA-2615-4DDB-B62B-09A4CA52C6CF}"/>
    <dgm:cxn modelId="{2A6C4D2A-CEC2-46A1-8C86-03D93D4A820C}" type="presOf" srcId="{5DD5EA61-3E5A-40D8-B63B-85682771BEB1}" destId="{9F793C79-6060-4662-AB91-9F924CAC5A60}" srcOrd="0" destOrd="1" presId="urn:microsoft.com/office/officeart/2008/layout/VerticalCurvedList"/>
    <dgm:cxn modelId="{EB624ADE-F635-49E0-8797-FC6CEE63D42D}" type="presOf" srcId="{540C41B0-F24F-4200-82FD-C030B80E8B8B}" destId="{2530A329-1718-4D50-BCE3-96F5090B79E5}" srcOrd="0" destOrd="1" presId="urn:microsoft.com/office/officeart/2008/layout/VerticalCurvedList"/>
    <dgm:cxn modelId="{6A65475B-F892-402B-BE93-74A664B3CDD5}" type="presOf" srcId="{098D60C1-C2E2-4C4B-A298-2DBE33791B06}" destId="{CD5965A5-4DC2-4BE9-92D1-7AE6EE95E116}" srcOrd="0" destOrd="0" presId="urn:microsoft.com/office/officeart/2008/layout/VerticalCurvedList"/>
    <dgm:cxn modelId="{894DDE37-8572-436A-B082-B32961DEB023}" type="presOf" srcId="{F3B83330-9ABE-41E9-A2DD-E260BB2EB306}" destId="{2530A329-1718-4D50-BCE3-96F5090B79E5}" srcOrd="0" destOrd="2" presId="urn:microsoft.com/office/officeart/2008/layout/VerticalCurvedList"/>
    <dgm:cxn modelId="{7EBF9234-BEA4-4EE9-A275-3CCCD4A2B3C7}" srcId="{3DCC3769-5DDF-4D10-8E4D-603255D4634D}" destId="{411CA6A5-1EF3-4F39-B3E6-CCF0AC206478}" srcOrd="5" destOrd="0" parTransId="{17E648D7-CCE1-411E-BA61-7E8172C3486C}" sibTransId="{4C9B3707-2943-4D0D-BCB6-C143AE9A287A}"/>
    <dgm:cxn modelId="{F850C733-EB47-43BB-BE13-B2DF4AAF0DB5}" srcId="{3DCC3769-5DDF-4D10-8E4D-603255D4634D}" destId="{5FF80F5F-4926-4E68-8F05-A783DFEF326A}" srcOrd="4" destOrd="0" parTransId="{3C7F0D26-3EEE-46FE-9310-51F49E0A926D}" sibTransId="{FFE2E471-FB61-4913-BF30-C4E1090436C2}"/>
    <dgm:cxn modelId="{F3C70FCE-8946-4816-8CFE-5455F24C41E3}" srcId="{3DCC3769-5DDF-4D10-8E4D-603255D4634D}" destId="{05E7D0AD-1CF5-475D-AC77-32F455F43A70}" srcOrd="1" destOrd="0" parTransId="{71EC99B1-583E-4799-AD62-4ED5D82DE5A6}" sibTransId="{0C81456F-FAB7-4660-9FFA-F0154F90CC30}"/>
    <dgm:cxn modelId="{93415646-FA7E-499A-983F-738DE65F1FC1}" srcId="{411CA6A5-1EF3-4F39-B3E6-CCF0AC206478}" destId="{77B7AF7B-7190-41AA-94DE-377562A4E928}" srcOrd="0" destOrd="0" parTransId="{0F89B9FA-7C60-49A8-A884-A9EEB2D57995}" sibTransId="{5390BFE6-018C-4D4F-B808-5C95F3B4F2E5}"/>
    <dgm:cxn modelId="{7C8CFE4E-B71C-4E3A-BC52-3EA71520FD09}" type="presOf" srcId="{4A4D8C76-3ECA-481A-9A7B-A83B45F90DCA}" destId="{D5E5D445-D596-4474-8006-B34B23071AE7}" srcOrd="0" destOrd="1" presId="urn:microsoft.com/office/officeart/2008/layout/VerticalCurvedList"/>
    <dgm:cxn modelId="{DBEB428C-F15B-4D46-9733-EFCC47A6C775}" type="presOf" srcId="{AFE546E9-2E6D-4F86-9DED-C016E1B144E6}" destId="{9F793C79-6060-4662-AB91-9F924CAC5A60}" srcOrd="0" destOrd="0" presId="urn:microsoft.com/office/officeart/2008/layout/VerticalCurvedList"/>
    <dgm:cxn modelId="{673C85BD-7FA1-4ADF-8783-6FD1CA934DC9}" srcId="{C26C7FA0-2FFA-42D4-B34F-AA4F22074B6E}" destId="{E429D491-C8D4-4EA2-9630-FD4D100AC360}" srcOrd="0" destOrd="0" parTransId="{29E868B0-E83D-4585-B14C-0DC53F62C38B}" sibTransId="{219CACD1-0704-4DCF-8C7E-C43F589B7E87}"/>
    <dgm:cxn modelId="{81953E4D-B0A6-4FDE-A17A-24FD364B9926}" type="presOf" srcId="{77B7AF7B-7190-41AA-94DE-377562A4E928}" destId="{5421A1BC-96BB-4B31-A5E0-74D03682BA8F}" srcOrd="0" destOrd="1" presId="urn:microsoft.com/office/officeart/2008/layout/VerticalCurvedList"/>
    <dgm:cxn modelId="{83519701-D85B-48E8-942D-085C75CD9E03}" type="presOf" srcId="{F8608499-BDBB-4674-8BA8-806405436D11}" destId="{9F793C79-6060-4662-AB91-9F924CAC5A60}" srcOrd="0" destOrd="2" presId="urn:microsoft.com/office/officeart/2008/layout/VerticalCurvedList"/>
    <dgm:cxn modelId="{83127AE4-E9B6-4788-98AF-7048A6EE27B8}" type="presOf" srcId="{B7F81C92-03DB-4383-8D41-FE81204AC339}" destId="{2398521D-A044-4CC0-B23A-AFB840580A33}" srcOrd="0" destOrd="0" presId="urn:microsoft.com/office/officeart/2008/layout/VerticalCurvedList"/>
    <dgm:cxn modelId="{ACD4CE03-1ECE-41C6-A04C-3994E988E141}" srcId="{05E7D0AD-1CF5-475D-AC77-32F455F43A70}" destId="{540C41B0-F24F-4200-82FD-C030B80E8B8B}" srcOrd="0" destOrd="0" parTransId="{092C0CEE-BD0C-4552-A784-5254D92E4339}" sibTransId="{2B9A0F62-C28C-4F37-9831-10BCF189EA5E}"/>
    <dgm:cxn modelId="{9E40EFC1-03B5-406E-9A1A-F36526C21203}" type="presOf" srcId="{64878DF6-A91D-4A82-BF9A-9F5F703C4931}" destId="{CD5965A5-4DC2-4BE9-92D1-7AE6EE95E116}" srcOrd="0" destOrd="1" presId="urn:microsoft.com/office/officeart/2008/layout/VerticalCurvedList"/>
    <dgm:cxn modelId="{4D8DB4C8-97E2-4A52-91C8-EA6249185103}" type="presOf" srcId="{9F9BDA17-5262-4921-B8B3-A2F6BC091030}" destId="{CD5965A5-4DC2-4BE9-92D1-7AE6EE95E116}" srcOrd="0" destOrd="3" presId="urn:microsoft.com/office/officeart/2008/layout/VerticalCurvedList"/>
    <dgm:cxn modelId="{EA585D1C-875D-4AA8-8CC6-6EA1B572A02B}" srcId="{3DCC3769-5DDF-4D10-8E4D-603255D4634D}" destId="{29687674-A03A-41E1-9D40-CB793F5B6E4F}" srcOrd="6" destOrd="0" parTransId="{DD3D421D-08A4-44DA-BC1F-431F1B6425A7}" sibTransId="{6B84CAFF-6179-467F-8744-05A395803812}"/>
    <dgm:cxn modelId="{785983BD-5AC2-4994-9365-7B22B757F426}" type="presOf" srcId="{5FF80F5F-4926-4E68-8F05-A783DFEF326A}" destId="{F883569B-3278-4460-B0ED-0E4DEC0B1FF6}" srcOrd="0" destOrd="0" presId="urn:microsoft.com/office/officeart/2008/layout/VerticalCurvedList"/>
    <dgm:cxn modelId="{2221C531-E000-4786-AAB4-3E3328211A50}" srcId="{3DCC3769-5DDF-4D10-8E4D-603255D4634D}" destId="{AFE546E9-2E6D-4F86-9DED-C016E1B144E6}" srcOrd="0" destOrd="0" parTransId="{BB54312B-CB99-47F5-9B98-A0B3568F164D}" sibTransId="{57DC68E7-2844-4A9B-A11F-FC91A2A027FE}"/>
    <dgm:cxn modelId="{6731B7C1-DC09-44E2-BE22-6914B97E142C}" type="presOf" srcId="{E429D491-C8D4-4EA2-9630-FD4D100AC360}" destId="{FF471197-E04E-4DE4-9818-234E83E7A3F5}" srcOrd="0" destOrd="1" presId="urn:microsoft.com/office/officeart/2008/layout/VerticalCurvedList"/>
    <dgm:cxn modelId="{22BEE0AE-4791-4C63-9B93-11914A7DABFA}" srcId="{5FF80F5F-4926-4E68-8F05-A783DFEF326A}" destId="{05BC43B2-1FE6-4E0B-B9E6-A28A92313653}" srcOrd="0" destOrd="0" parTransId="{1E150ECC-D88D-4FD8-B6A7-96C5A90F334A}" sibTransId="{88BDD9E0-10E6-4DB9-89CD-22D6191C048D}"/>
    <dgm:cxn modelId="{24FBCC71-1EDA-44F0-89CF-DD145AFDC1CE}" type="presOf" srcId="{C26C7FA0-2FFA-42D4-B34F-AA4F22074B6E}" destId="{FF471197-E04E-4DE4-9818-234E83E7A3F5}" srcOrd="0" destOrd="0" presId="urn:microsoft.com/office/officeart/2008/layout/VerticalCurvedList"/>
    <dgm:cxn modelId="{071FBDC0-8210-4DEE-A2E1-7E86A8B841FB}" srcId="{098D60C1-C2E2-4C4B-A298-2DBE33791B06}" destId="{5408E48F-49BE-4C59-9853-6FB024B459E7}" srcOrd="1" destOrd="0" parTransId="{04AC234E-481C-4B9D-AD4B-768D46325E4A}" sibTransId="{A869392B-C63E-4A80-84D1-CD38D49FC381}"/>
    <dgm:cxn modelId="{1FCFA198-F1B3-4E2F-BDFF-E2AA9FF0273D}" srcId="{3DCC3769-5DDF-4D10-8E4D-603255D4634D}" destId="{C26C7FA0-2FFA-42D4-B34F-AA4F22074B6E}" srcOrd="2" destOrd="0" parTransId="{41D40172-D219-4FA9-922B-E4B8BBE05254}" sibTransId="{49430018-4B47-4E1B-9749-C41E5E196364}"/>
    <dgm:cxn modelId="{A8F642A4-B993-4A5C-8328-5CCC522F8E61}" type="presParOf" srcId="{CAF5F4AE-41B3-454E-A09D-DE0B0F322394}" destId="{CC4FA21C-8BE6-4C5D-A95D-9F3C39385EEE}" srcOrd="0" destOrd="0" presId="urn:microsoft.com/office/officeart/2008/layout/VerticalCurvedList"/>
    <dgm:cxn modelId="{CF4DD3C8-D687-4113-9697-6CCD4F9F9783}" type="presParOf" srcId="{CC4FA21C-8BE6-4C5D-A95D-9F3C39385EEE}" destId="{2915D4BB-7FE5-4870-B430-39915AAC1D33}" srcOrd="0" destOrd="0" presId="urn:microsoft.com/office/officeart/2008/layout/VerticalCurvedList"/>
    <dgm:cxn modelId="{BA8532B6-A1EA-4D3C-ACDA-25EF3978629F}" type="presParOf" srcId="{2915D4BB-7FE5-4870-B430-39915AAC1D33}" destId="{846E81BC-EC29-4971-9CAD-312D1F9AB221}" srcOrd="0" destOrd="0" presId="urn:microsoft.com/office/officeart/2008/layout/VerticalCurvedList"/>
    <dgm:cxn modelId="{E4B1A091-9339-4E76-8D64-39258336D415}" type="presParOf" srcId="{2915D4BB-7FE5-4870-B430-39915AAC1D33}" destId="{2398521D-A044-4CC0-B23A-AFB840580A33}" srcOrd="1" destOrd="0" presId="urn:microsoft.com/office/officeart/2008/layout/VerticalCurvedList"/>
    <dgm:cxn modelId="{9C7DCF24-57FA-43CD-8BEC-D7A77CB6B21F}" type="presParOf" srcId="{2915D4BB-7FE5-4870-B430-39915AAC1D33}" destId="{E5FCDA3A-74D6-4A3C-8868-DF1A2CBE51C2}" srcOrd="2" destOrd="0" presId="urn:microsoft.com/office/officeart/2008/layout/VerticalCurvedList"/>
    <dgm:cxn modelId="{ED788DA4-11E0-4C78-ADAF-EF883D3EBFDD}" type="presParOf" srcId="{2915D4BB-7FE5-4870-B430-39915AAC1D33}" destId="{29983330-8762-4397-BEEA-44A72A51B63D}" srcOrd="3" destOrd="0" presId="urn:microsoft.com/office/officeart/2008/layout/VerticalCurvedList"/>
    <dgm:cxn modelId="{E93797E3-1FE7-4F64-90B3-1C386FC739EA}" type="presParOf" srcId="{CC4FA21C-8BE6-4C5D-A95D-9F3C39385EEE}" destId="{9F793C79-6060-4662-AB91-9F924CAC5A60}" srcOrd="1" destOrd="0" presId="urn:microsoft.com/office/officeart/2008/layout/VerticalCurvedList"/>
    <dgm:cxn modelId="{8D12D0A4-A414-46EA-A56A-61E1B30BAE6E}" type="presParOf" srcId="{CC4FA21C-8BE6-4C5D-A95D-9F3C39385EEE}" destId="{0A1CC801-49B0-4648-B38A-BA885734B3C7}" srcOrd="2" destOrd="0" presId="urn:microsoft.com/office/officeart/2008/layout/VerticalCurvedList"/>
    <dgm:cxn modelId="{3A5A3414-3883-435C-A46C-C1773DB04212}" type="presParOf" srcId="{0A1CC801-49B0-4648-B38A-BA885734B3C7}" destId="{C8B3C58C-41E8-4317-A4FE-7FD493F670AF}" srcOrd="0" destOrd="0" presId="urn:microsoft.com/office/officeart/2008/layout/VerticalCurvedList"/>
    <dgm:cxn modelId="{DD64F5B0-17AF-4B68-9607-BA29DBD82C05}" type="presParOf" srcId="{CC4FA21C-8BE6-4C5D-A95D-9F3C39385EEE}" destId="{2530A329-1718-4D50-BCE3-96F5090B79E5}" srcOrd="3" destOrd="0" presId="urn:microsoft.com/office/officeart/2008/layout/VerticalCurvedList"/>
    <dgm:cxn modelId="{F0DEE98C-BC6C-4397-9D59-80572CB06400}" type="presParOf" srcId="{CC4FA21C-8BE6-4C5D-A95D-9F3C39385EEE}" destId="{461742CA-F7C7-42AF-A672-5A306E0F22A4}" srcOrd="4" destOrd="0" presId="urn:microsoft.com/office/officeart/2008/layout/VerticalCurvedList"/>
    <dgm:cxn modelId="{D50D37A8-D61A-47CC-A43B-5273DB221F7D}" type="presParOf" srcId="{461742CA-F7C7-42AF-A672-5A306E0F22A4}" destId="{5181AFFE-081C-4811-A116-79F4E8346ED7}" srcOrd="0" destOrd="0" presId="urn:microsoft.com/office/officeart/2008/layout/VerticalCurvedList"/>
    <dgm:cxn modelId="{2B382189-0F9E-436E-B657-1F1E55C32A0C}" type="presParOf" srcId="{CC4FA21C-8BE6-4C5D-A95D-9F3C39385EEE}" destId="{FF471197-E04E-4DE4-9818-234E83E7A3F5}" srcOrd="5" destOrd="0" presId="urn:microsoft.com/office/officeart/2008/layout/VerticalCurvedList"/>
    <dgm:cxn modelId="{F2BA7CF8-407B-466B-A388-5B08DAE177BB}" type="presParOf" srcId="{CC4FA21C-8BE6-4C5D-A95D-9F3C39385EEE}" destId="{DA7D182E-28A9-4903-B022-8F20E960DE9D}" srcOrd="6" destOrd="0" presId="urn:microsoft.com/office/officeart/2008/layout/VerticalCurvedList"/>
    <dgm:cxn modelId="{9D8B1064-7DB2-462F-9DB5-FCD54B5067B2}" type="presParOf" srcId="{DA7D182E-28A9-4903-B022-8F20E960DE9D}" destId="{A098EABC-B34F-4A20-AE2B-3F9811C39E4F}" srcOrd="0" destOrd="0" presId="urn:microsoft.com/office/officeart/2008/layout/VerticalCurvedList"/>
    <dgm:cxn modelId="{43D84D8A-9F45-466A-B2C2-98C06D0400A2}" type="presParOf" srcId="{CC4FA21C-8BE6-4C5D-A95D-9F3C39385EEE}" destId="{CD5965A5-4DC2-4BE9-92D1-7AE6EE95E116}" srcOrd="7" destOrd="0" presId="urn:microsoft.com/office/officeart/2008/layout/VerticalCurvedList"/>
    <dgm:cxn modelId="{19F1DF1B-DE4D-44DB-B735-670A99727B84}" type="presParOf" srcId="{CC4FA21C-8BE6-4C5D-A95D-9F3C39385EEE}" destId="{2235A94C-499F-4C7D-B7B7-C604B0594277}" srcOrd="8" destOrd="0" presId="urn:microsoft.com/office/officeart/2008/layout/VerticalCurvedList"/>
    <dgm:cxn modelId="{731C9AA8-8412-471E-8E26-CD9166AF60B0}" type="presParOf" srcId="{2235A94C-499F-4C7D-B7B7-C604B0594277}" destId="{4FD0D173-0A12-4B71-87DB-CC978A016CE4}" srcOrd="0" destOrd="0" presId="urn:microsoft.com/office/officeart/2008/layout/VerticalCurvedList"/>
    <dgm:cxn modelId="{3F7E73A2-0FBF-4E5D-BF48-3D1F37184A8D}" type="presParOf" srcId="{CC4FA21C-8BE6-4C5D-A95D-9F3C39385EEE}" destId="{F883569B-3278-4460-B0ED-0E4DEC0B1FF6}" srcOrd="9" destOrd="0" presId="urn:microsoft.com/office/officeart/2008/layout/VerticalCurvedList"/>
    <dgm:cxn modelId="{4F5DA6EE-E36D-4E87-880D-EE74FBC8DF1F}" type="presParOf" srcId="{CC4FA21C-8BE6-4C5D-A95D-9F3C39385EEE}" destId="{A5E91F8C-F85B-4179-A137-E2849249788F}" srcOrd="10" destOrd="0" presId="urn:microsoft.com/office/officeart/2008/layout/VerticalCurvedList"/>
    <dgm:cxn modelId="{A9365A98-03DD-465B-8F4A-54A62D3B11EF}" type="presParOf" srcId="{A5E91F8C-F85B-4179-A137-E2849249788F}" destId="{026D3625-43BD-48DB-92A0-FA2C475AEBFE}" srcOrd="0" destOrd="0" presId="urn:microsoft.com/office/officeart/2008/layout/VerticalCurvedList"/>
    <dgm:cxn modelId="{DA24A79F-2D1E-408B-9173-B2DFEB92F36B}" type="presParOf" srcId="{CC4FA21C-8BE6-4C5D-A95D-9F3C39385EEE}" destId="{5421A1BC-96BB-4B31-A5E0-74D03682BA8F}" srcOrd="11" destOrd="0" presId="urn:microsoft.com/office/officeart/2008/layout/VerticalCurvedList"/>
    <dgm:cxn modelId="{EEB12A2A-BA0E-4E65-B6D1-8EF37E7928BE}" type="presParOf" srcId="{CC4FA21C-8BE6-4C5D-A95D-9F3C39385EEE}" destId="{BADC46B9-DF1E-40AD-8694-F4AC8339B9F4}" srcOrd="12" destOrd="0" presId="urn:microsoft.com/office/officeart/2008/layout/VerticalCurvedList"/>
    <dgm:cxn modelId="{966D61BA-2B83-4E4B-9444-A5FB801E629A}" type="presParOf" srcId="{BADC46B9-DF1E-40AD-8694-F4AC8339B9F4}" destId="{AFCE36C5-D393-4146-8570-2862776C6C24}" srcOrd="0" destOrd="0" presId="urn:microsoft.com/office/officeart/2008/layout/VerticalCurvedList"/>
    <dgm:cxn modelId="{69B4B3BA-2B08-405F-B3B3-B8AD34F08570}" type="presParOf" srcId="{CC4FA21C-8BE6-4C5D-A95D-9F3C39385EEE}" destId="{D5E5D445-D596-4474-8006-B34B23071AE7}" srcOrd="13" destOrd="0" presId="urn:microsoft.com/office/officeart/2008/layout/VerticalCurvedList"/>
    <dgm:cxn modelId="{386C0486-AF45-4AD9-8BA4-340784828DD3}" type="presParOf" srcId="{CC4FA21C-8BE6-4C5D-A95D-9F3C39385EEE}" destId="{8C2DD902-B191-4BDC-88A0-9369C2A6CBD8}" srcOrd="14" destOrd="0" presId="urn:microsoft.com/office/officeart/2008/layout/VerticalCurvedList"/>
    <dgm:cxn modelId="{D691791B-6611-428B-A664-95178C3C2DE0}" type="presParOf" srcId="{8C2DD902-B191-4BDC-88A0-9369C2A6CBD8}" destId="{5BFF202D-6D95-4A1C-B216-DBB7BAF84D0B}" srcOrd="0" destOrd="0" presId="urn:microsoft.com/office/officeart/2008/layout/VerticalCurvedList"/>
  </dgm:cxnLst>
  <dgm:bg/>
  <dgm:whole/>
  <dgm:extLst>
    <a:ext uri="http://schemas.microsoft.com/office/drawing/2008/diagram">
      <dsp:dataModelExt xmlns:dsp="http://schemas.microsoft.com/office/drawing/2008/diagram" relId="rId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398521D-A044-4CC0-B23A-AFB840580A33}">
      <dsp:nvSpPr>
        <dsp:cNvPr id="0" name=""/>
        <dsp:cNvSpPr/>
      </dsp:nvSpPr>
      <dsp:spPr>
        <a:xfrm>
          <a:off x="-5812091" y="-879564"/>
          <a:ext cx="6923664" cy="6923664"/>
        </a:xfrm>
        <a:prstGeom prst="blockArc">
          <a:avLst>
            <a:gd name="adj1" fmla="val 18900000"/>
            <a:gd name="adj2" fmla="val 2700000"/>
            <a:gd name="adj3" fmla="val 285"/>
          </a:avLst>
        </a:pr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F793C79-6060-4662-AB91-9F924CAC5A60}">
      <dsp:nvSpPr>
        <dsp:cNvPr id="0" name=""/>
        <dsp:cNvSpPr/>
      </dsp:nvSpPr>
      <dsp:spPr>
        <a:xfrm>
          <a:off x="360816" y="99165"/>
          <a:ext cx="5555392" cy="757792"/>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solidFill>
            <a:srgbClr val="5B9BD5"/>
          </a:solid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71032" tIns="30480" rIns="30480" bIns="30480" numCol="1" spcCol="1270" anchor="t" anchorCtr="0">
          <a:noAutofit/>
        </a:bodyPr>
        <a:lstStyle/>
        <a:p>
          <a:pPr lvl="0" algn="l" defTabSz="533400">
            <a:lnSpc>
              <a:spcPct val="90000"/>
            </a:lnSpc>
            <a:spcBef>
              <a:spcPct val="0"/>
            </a:spcBef>
            <a:spcAft>
              <a:spcPct val="35000"/>
            </a:spcAft>
          </a:pPr>
          <a:r>
            <a:rPr lang="ru-RU" sz="1200" kern="1200">
              <a:solidFill>
                <a:sysClr val="window" lastClr="FFFFFF"/>
              </a:solidFill>
              <a:latin typeface="Times New Roman" panose="02020603050405020304" pitchFamily="18" charset="0"/>
              <a:ea typeface="+mn-ea"/>
              <a:cs typeface="Times New Roman" panose="02020603050405020304" pitchFamily="18" charset="0"/>
            </a:rPr>
            <a:t>факторы, определяющие экономический потенциал территории</a:t>
          </a:r>
        </a:p>
        <a:p>
          <a:pPr marL="114300" lvl="1" indent="-114300" algn="l" defTabSz="533400">
            <a:lnSpc>
              <a:spcPct val="90000"/>
            </a:lnSpc>
            <a:spcBef>
              <a:spcPct val="0"/>
            </a:spcBef>
            <a:spcAft>
              <a:spcPct val="15000"/>
            </a:spcAft>
            <a:buChar char="••"/>
          </a:pPr>
          <a:r>
            <a:rPr lang="ru-RU" sz="1200" kern="1200">
              <a:solidFill>
                <a:sysClr val="window" lastClr="FFFFFF"/>
              </a:solidFill>
              <a:latin typeface="Times New Roman" panose="02020603050405020304" pitchFamily="18" charset="0"/>
              <a:ea typeface="+mn-ea"/>
              <a:cs typeface="Times New Roman" panose="02020603050405020304" pitchFamily="18" charset="0"/>
            </a:rPr>
            <a:t> уровень обеспеченности энерго- и трудовыми ресурсами</a:t>
          </a:r>
        </a:p>
        <a:p>
          <a:pPr marL="114300" lvl="1" indent="-114300" algn="l" defTabSz="533400">
            <a:lnSpc>
              <a:spcPct val="90000"/>
            </a:lnSpc>
            <a:spcBef>
              <a:spcPct val="0"/>
            </a:spcBef>
            <a:spcAft>
              <a:spcPct val="15000"/>
            </a:spcAft>
            <a:buChar char="••"/>
          </a:pPr>
          <a:r>
            <a:rPr lang="ru-RU" sz="1200" kern="1200">
              <a:solidFill>
                <a:sysClr val="window" lastClr="FFFFFF"/>
              </a:solidFill>
              <a:latin typeface="Times New Roman" panose="02020603050405020304" pitchFamily="18" charset="0"/>
              <a:ea typeface="+mn-ea"/>
              <a:cs typeface="Times New Roman" panose="02020603050405020304" pitchFamily="18" charset="0"/>
            </a:rPr>
            <a:t>наличие свободных земель для производственного инвестирования</a:t>
          </a:r>
        </a:p>
        <a:p>
          <a:pPr marL="114300" lvl="1" indent="-114300" algn="l" defTabSz="533400">
            <a:lnSpc>
              <a:spcPct val="90000"/>
            </a:lnSpc>
            <a:spcBef>
              <a:spcPct val="0"/>
            </a:spcBef>
            <a:spcAft>
              <a:spcPct val="15000"/>
            </a:spcAft>
            <a:buChar char="••"/>
          </a:pPr>
          <a:r>
            <a:rPr lang="ru-RU" sz="1200" kern="1200">
              <a:solidFill>
                <a:sysClr val="window" lastClr="FFFFFF"/>
              </a:solidFill>
              <a:latin typeface="Times New Roman" panose="02020603050405020304" pitchFamily="18" charset="0"/>
              <a:ea typeface="+mn-ea"/>
              <a:cs typeface="Times New Roman" panose="02020603050405020304" pitchFamily="18" charset="0"/>
            </a:rPr>
            <a:t>развитость научно-технического потенциала и инфраструктуры</a:t>
          </a:r>
        </a:p>
      </dsp:txBody>
      <dsp:txXfrm>
        <a:off x="360816" y="99165"/>
        <a:ext cx="5555392" cy="757792"/>
      </dsp:txXfrm>
    </dsp:sp>
    <dsp:sp modelId="{C8B3C58C-41E8-4317-A4FE-7FD493F670AF}">
      <dsp:nvSpPr>
        <dsp:cNvPr id="0" name=""/>
        <dsp:cNvSpPr/>
      </dsp:nvSpPr>
      <dsp:spPr>
        <a:xfrm>
          <a:off x="68665" y="185911"/>
          <a:ext cx="584301" cy="584301"/>
        </a:xfrm>
        <a:prstGeom prst="ellipse">
          <a:avLst/>
        </a:prstGeom>
        <a:solidFill>
          <a:sysClr val="window" lastClr="FFFFFF">
            <a:hueOff val="0"/>
            <a:satOff val="0"/>
            <a:lumOff val="0"/>
            <a:alphaOff val="0"/>
          </a:sysClr>
        </a:solidFill>
        <a:ln w="6350" cap="flat" cmpd="sng" algn="ctr">
          <a:solidFill>
            <a:srgbClr val="5B9BD5">
              <a:hueOff val="0"/>
              <a:satOff val="0"/>
              <a:lumOff val="0"/>
              <a:alphaOff val="0"/>
            </a:srgbClr>
          </a:solidFill>
          <a:prstDash val="solid"/>
          <a:miter lim="800000"/>
        </a:ln>
        <a:effectLst/>
      </dsp:spPr>
      <dsp:style>
        <a:lnRef idx="1">
          <a:scrgbClr r="0" g="0" b="0"/>
        </a:lnRef>
        <a:fillRef idx="1">
          <a:scrgbClr r="0" g="0" b="0"/>
        </a:fillRef>
        <a:effectRef idx="2">
          <a:scrgbClr r="0" g="0" b="0"/>
        </a:effectRef>
        <a:fontRef idx="minor"/>
      </dsp:style>
    </dsp:sp>
    <dsp:sp modelId="{2530A329-1718-4D50-BCE3-96F5090B79E5}">
      <dsp:nvSpPr>
        <dsp:cNvPr id="0" name=""/>
        <dsp:cNvSpPr/>
      </dsp:nvSpPr>
      <dsp:spPr>
        <a:xfrm>
          <a:off x="784126" y="1003566"/>
          <a:ext cx="5132082" cy="547462"/>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71032" tIns="30480" rIns="30480" bIns="30480" numCol="1" spcCol="1270" anchor="t" anchorCtr="0">
          <a:noAutofit/>
        </a:bodyPr>
        <a:lstStyle/>
        <a:p>
          <a:pPr lvl="0" algn="l" defTabSz="533400">
            <a:lnSpc>
              <a:spcPct val="90000"/>
            </a:lnSpc>
            <a:spcBef>
              <a:spcPct val="0"/>
            </a:spcBef>
            <a:spcAft>
              <a:spcPct val="35000"/>
            </a:spcAft>
          </a:pPr>
          <a:r>
            <a:rPr lang="ru-RU" sz="1200" kern="1200">
              <a:solidFill>
                <a:sysClr val="window" lastClr="FFFFFF"/>
              </a:solidFill>
              <a:latin typeface="Times New Roman" panose="02020603050405020304" pitchFamily="18" charset="0"/>
              <a:ea typeface="+mn-ea"/>
              <a:cs typeface="Times New Roman" panose="02020603050405020304" pitchFamily="18" charset="0"/>
            </a:rPr>
            <a:t>политические факторы</a:t>
          </a:r>
        </a:p>
        <a:p>
          <a:pPr marL="114300" lvl="1" indent="-114300" algn="l" defTabSz="533400">
            <a:lnSpc>
              <a:spcPct val="90000"/>
            </a:lnSpc>
            <a:spcBef>
              <a:spcPct val="0"/>
            </a:spcBef>
            <a:spcAft>
              <a:spcPct val="15000"/>
            </a:spcAft>
            <a:buChar char="••"/>
          </a:pPr>
          <a:r>
            <a:rPr lang="ru-RU" sz="1200" kern="1200">
              <a:solidFill>
                <a:sysClr val="window" lastClr="FFFFFF"/>
              </a:solidFill>
              <a:latin typeface="Times New Roman" panose="02020603050405020304" pitchFamily="18" charset="0"/>
              <a:ea typeface="+mn-ea"/>
              <a:cs typeface="Times New Roman" panose="02020603050405020304" pitchFamily="18" charset="0"/>
            </a:rPr>
            <a:t>стеепень доверия к власти</a:t>
          </a:r>
        </a:p>
        <a:p>
          <a:pPr marL="114300" lvl="1" indent="-114300" algn="l" defTabSz="533400">
            <a:lnSpc>
              <a:spcPct val="90000"/>
            </a:lnSpc>
            <a:spcBef>
              <a:spcPct val="0"/>
            </a:spcBef>
            <a:spcAft>
              <a:spcPct val="15000"/>
            </a:spcAft>
            <a:buChar char="••"/>
          </a:pPr>
          <a:r>
            <a:rPr lang="ru-RU" sz="1200" kern="1200">
              <a:solidFill>
                <a:sysClr val="window" lastClr="FFFFFF"/>
              </a:solidFill>
              <a:latin typeface="Times New Roman" panose="02020603050405020304" pitchFamily="18" charset="0"/>
              <a:ea typeface="+mn-ea"/>
              <a:cs typeface="Times New Roman" panose="02020603050405020304" pitchFamily="18" charset="0"/>
            </a:rPr>
            <a:t>взаимоотношение МСУ и властей региона</a:t>
          </a:r>
        </a:p>
      </dsp:txBody>
      <dsp:txXfrm>
        <a:off x="784126" y="1003566"/>
        <a:ext cx="5132082" cy="547462"/>
      </dsp:txXfrm>
    </dsp:sp>
    <dsp:sp modelId="{5181AFFE-081C-4811-A116-79F4E8346ED7}">
      <dsp:nvSpPr>
        <dsp:cNvPr id="0" name=""/>
        <dsp:cNvSpPr/>
      </dsp:nvSpPr>
      <dsp:spPr>
        <a:xfrm>
          <a:off x="491975" y="887484"/>
          <a:ext cx="584301" cy="584301"/>
        </a:xfrm>
        <a:prstGeom prst="ellipse">
          <a:avLst/>
        </a:prstGeom>
        <a:solidFill>
          <a:sysClr val="window" lastClr="FFFFFF">
            <a:hueOff val="0"/>
            <a:satOff val="0"/>
            <a:lumOff val="0"/>
            <a:alphaOff val="0"/>
          </a:sysClr>
        </a:solidFill>
        <a:ln w="6350" cap="flat" cmpd="sng" algn="ctr">
          <a:solidFill>
            <a:srgbClr val="5B9BD5">
              <a:hueOff val="0"/>
              <a:satOff val="0"/>
              <a:lumOff val="0"/>
              <a:alphaOff val="0"/>
            </a:srgbClr>
          </a:solidFill>
          <a:prstDash val="solid"/>
          <a:miter lim="800000"/>
        </a:ln>
        <a:effectLst/>
      </dsp:spPr>
      <dsp:style>
        <a:lnRef idx="1">
          <a:scrgbClr r="0" g="0" b="0"/>
        </a:lnRef>
        <a:fillRef idx="1">
          <a:scrgbClr r="0" g="0" b="0"/>
        </a:fillRef>
        <a:effectRef idx="2">
          <a:scrgbClr r="0" g="0" b="0"/>
        </a:effectRef>
        <a:fontRef idx="minor"/>
      </dsp:style>
    </dsp:sp>
    <dsp:sp modelId="{FF471197-E04E-4DE4-9818-234E83E7A3F5}">
      <dsp:nvSpPr>
        <dsp:cNvPr id="0" name=""/>
        <dsp:cNvSpPr/>
      </dsp:nvSpPr>
      <dsp:spPr>
        <a:xfrm>
          <a:off x="1028201" y="1646062"/>
          <a:ext cx="4900110" cy="599474"/>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71032" tIns="30480" rIns="30480" bIns="30480" numCol="1" spcCol="1270" anchor="t" anchorCtr="0">
          <a:noAutofit/>
        </a:bodyPr>
        <a:lstStyle/>
        <a:p>
          <a:pPr lvl="0" algn="l" defTabSz="533400">
            <a:lnSpc>
              <a:spcPct val="90000"/>
            </a:lnSpc>
            <a:spcBef>
              <a:spcPct val="0"/>
            </a:spcBef>
            <a:spcAft>
              <a:spcPct val="35000"/>
            </a:spcAft>
          </a:pPr>
          <a:r>
            <a:rPr lang="ru-RU" sz="1200" kern="1200">
              <a:solidFill>
                <a:sysClr val="window" lastClr="FFFFFF"/>
              </a:solidFill>
              <a:latin typeface="Times New Roman" panose="02020603050405020304" pitchFamily="18" charset="0"/>
              <a:ea typeface="+mn-ea"/>
              <a:cs typeface="Times New Roman" panose="02020603050405020304" pitchFamily="18" charset="0"/>
            </a:rPr>
            <a:t>факторы, характеризующие общие условия хозяйствования </a:t>
          </a:r>
        </a:p>
        <a:p>
          <a:pPr marL="114300" lvl="1" indent="-114300" algn="l" defTabSz="533400">
            <a:lnSpc>
              <a:spcPct val="90000"/>
            </a:lnSpc>
            <a:spcBef>
              <a:spcPct val="0"/>
            </a:spcBef>
            <a:spcAft>
              <a:spcPct val="15000"/>
            </a:spcAft>
            <a:buChar char="••"/>
          </a:pPr>
          <a:r>
            <a:rPr lang="ru-RU" sz="1200" kern="1200">
              <a:solidFill>
                <a:sysClr val="window" lastClr="FFFFFF"/>
              </a:solidFill>
              <a:latin typeface="Times New Roman" panose="02020603050405020304" pitchFamily="18" charset="0"/>
              <a:ea typeface="+mn-ea"/>
              <a:cs typeface="Times New Roman" panose="02020603050405020304" pitchFamily="18" charset="0"/>
            </a:rPr>
            <a:t>развитие отраслей материального производства</a:t>
          </a:r>
        </a:p>
        <a:p>
          <a:pPr marL="114300" lvl="1" indent="-114300" algn="l" defTabSz="533400">
            <a:lnSpc>
              <a:spcPct val="90000"/>
            </a:lnSpc>
            <a:spcBef>
              <a:spcPct val="0"/>
            </a:spcBef>
            <a:spcAft>
              <a:spcPct val="15000"/>
            </a:spcAft>
            <a:buChar char="••"/>
          </a:pPr>
          <a:r>
            <a:rPr lang="ru-RU" sz="1200" kern="1200">
              <a:solidFill>
                <a:sysClr val="window" lastClr="FFFFFF"/>
              </a:solidFill>
              <a:latin typeface="Times New Roman" panose="02020603050405020304" pitchFamily="18" charset="0"/>
              <a:ea typeface="+mn-ea"/>
              <a:cs typeface="Times New Roman" panose="02020603050405020304" pitchFamily="18" charset="0"/>
            </a:rPr>
            <a:t>экологическая безопасность</a:t>
          </a:r>
        </a:p>
      </dsp:txBody>
      <dsp:txXfrm>
        <a:off x="1028201" y="1646062"/>
        <a:ext cx="4900110" cy="599474"/>
      </dsp:txXfrm>
    </dsp:sp>
    <dsp:sp modelId="{A098EABC-B34F-4A20-AE2B-3F9811C39E4F}">
      <dsp:nvSpPr>
        <dsp:cNvPr id="0" name=""/>
        <dsp:cNvSpPr/>
      </dsp:nvSpPr>
      <dsp:spPr>
        <a:xfrm>
          <a:off x="723947" y="1588543"/>
          <a:ext cx="584301" cy="584301"/>
        </a:xfrm>
        <a:prstGeom prst="ellipse">
          <a:avLst/>
        </a:prstGeom>
        <a:solidFill>
          <a:sysClr val="window" lastClr="FFFFFF">
            <a:hueOff val="0"/>
            <a:satOff val="0"/>
            <a:lumOff val="0"/>
            <a:alphaOff val="0"/>
          </a:sysClr>
        </a:solidFill>
        <a:ln w="6350" cap="flat" cmpd="sng" algn="ctr">
          <a:solidFill>
            <a:srgbClr val="5B9BD5">
              <a:hueOff val="0"/>
              <a:satOff val="0"/>
              <a:lumOff val="0"/>
              <a:alphaOff val="0"/>
            </a:srgbClr>
          </a:solidFill>
          <a:prstDash val="solid"/>
          <a:miter lim="800000"/>
        </a:ln>
        <a:effectLst/>
      </dsp:spPr>
      <dsp:style>
        <a:lnRef idx="1">
          <a:scrgbClr r="0" g="0" b="0"/>
        </a:lnRef>
        <a:fillRef idx="1">
          <a:scrgbClr r="0" g="0" b="0"/>
        </a:fillRef>
        <a:effectRef idx="2">
          <a:scrgbClr r="0" g="0" b="0"/>
        </a:effectRef>
        <a:fontRef idx="minor"/>
      </dsp:style>
    </dsp:sp>
    <dsp:sp modelId="{CD5965A5-4DC2-4BE9-92D1-7AE6EE95E116}">
      <dsp:nvSpPr>
        <dsp:cNvPr id="0" name=""/>
        <dsp:cNvSpPr/>
      </dsp:nvSpPr>
      <dsp:spPr>
        <a:xfrm>
          <a:off x="1090164" y="2322141"/>
          <a:ext cx="4826044" cy="693869"/>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71032" tIns="30480" rIns="30480" bIns="30480" numCol="1" spcCol="1270" anchor="t" anchorCtr="0">
          <a:noAutofit/>
        </a:bodyPr>
        <a:lstStyle/>
        <a:p>
          <a:pPr lvl="0" algn="l" defTabSz="533400">
            <a:lnSpc>
              <a:spcPct val="90000"/>
            </a:lnSpc>
            <a:spcBef>
              <a:spcPct val="0"/>
            </a:spcBef>
            <a:spcAft>
              <a:spcPct val="35000"/>
            </a:spcAft>
          </a:pPr>
          <a:r>
            <a:rPr lang="ru-RU" sz="1200" kern="1200">
              <a:solidFill>
                <a:sysClr val="window" lastClr="FFFFFF"/>
              </a:solidFill>
              <a:latin typeface="Times New Roman" panose="02020603050405020304" pitchFamily="18" charset="0"/>
              <a:ea typeface="+mn-ea"/>
              <a:cs typeface="Times New Roman" panose="02020603050405020304" pitchFamily="18" charset="0"/>
            </a:rPr>
            <a:t>социальные факторы</a:t>
          </a:r>
        </a:p>
        <a:p>
          <a:pPr marL="114300" lvl="1" indent="-114300" algn="l" defTabSz="533400">
            <a:lnSpc>
              <a:spcPct val="90000"/>
            </a:lnSpc>
            <a:spcBef>
              <a:spcPct val="0"/>
            </a:spcBef>
            <a:spcAft>
              <a:spcPct val="15000"/>
            </a:spcAft>
            <a:buChar char="••"/>
          </a:pPr>
          <a:r>
            <a:rPr lang="ru-RU" sz="1200" kern="1200">
              <a:solidFill>
                <a:sysClr val="window" lastClr="FFFFFF"/>
              </a:solidFill>
              <a:latin typeface="Times New Roman" panose="02020603050405020304" pitchFamily="18" charset="0"/>
              <a:ea typeface="+mn-ea"/>
              <a:cs typeface="Times New Roman" panose="02020603050405020304" pitchFamily="18" charset="0"/>
            </a:rPr>
            <a:t>уровень жизни населения</a:t>
          </a:r>
        </a:p>
        <a:p>
          <a:pPr marL="114300" lvl="1" indent="-114300" algn="l" defTabSz="533400">
            <a:lnSpc>
              <a:spcPct val="90000"/>
            </a:lnSpc>
            <a:spcBef>
              <a:spcPct val="0"/>
            </a:spcBef>
            <a:spcAft>
              <a:spcPct val="15000"/>
            </a:spcAft>
            <a:buChar char="••"/>
          </a:pPr>
          <a:r>
            <a:rPr lang="ru-RU" sz="1200" kern="1200">
              <a:solidFill>
                <a:sysClr val="window" lastClr="FFFFFF"/>
              </a:solidFill>
              <a:latin typeface="Times New Roman" panose="02020603050405020304" pitchFamily="18" charset="0"/>
              <a:ea typeface="+mn-ea"/>
              <a:cs typeface="Times New Roman" panose="02020603050405020304" pitchFamily="18" charset="0"/>
            </a:rPr>
            <a:t>величина заработной платы</a:t>
          </a:r>
        </a:p>
        <a:p>
          <a:pPr marL="114300" lvl="1" indent="-114300" algn="l" defTabSz="533400">
            <a:lnSpc>
              <a:spcPct val="90000"/>
            </a:lnSpc>
            <a:spcBef>
              <a:spcPct val="0"/>
            </a:spcBef>
            <a:spcAft>
              <a:spcPct val="15000"/>
            </a:spcAft>
            <a:buChar char="••"/>
          </a:pPr>
          <a:r>
            <a:rPr lang="ru-RU" sz="1200" kern="1200">
              <a:solidFill>
                <a:sysClr val="window" lastClr="FFFFFF"/>
              </a:solidFill>
              <a:latin typeface="Times New Roman" panose="02020603050405020304" pitchFamily="18" charset="0"/>
              <a:ea typeface="+mn-ea"/>
              <a:cs typeface="Times New Roman" panose="02020603050405020304" pitchFamily="18" charset="0"/>
            </a:rPr>
            <a:t>уровень безработицы</a:t>
          </a:r>
        </a:p>
      </dsp:txBody>
      <dsp:txXfrm>
        <a:off x="1090164" y="2322141"/>
        <a:ext cx="4826044" cy="693869"/>
      </dsp:txXfrm>
    </dsp:sp>
    <dsp:sp modelId="{4FD0D173-0A12-4B71-87DB-CC978A016CE4}">
      <dsp:nvSpPr>
        <dsp:cNvPr id="0" name=""/>
        <dsp:cNvSpPr/>
      </dsp:nvSpPr>
      <dsp:spPr>
        <a:xfrm>
          <a:off x="798014" y="2290116"/>
          <a:ext cx="584301" cy="584301"/>
        </a:xfrm>
        <a:prstGeom prst="ellipse">
          <a:avLst/>
        </a:prstGeom>
        <a:solidFill>
          <a:sysClr val="window" lastClr="FFFFFF">
            <a:hueOff val="0"/>
            <a:satOff val="0"/>
            <a:lumOff val="0"/>
            <a:alphaOff val="0"/>
          </a:sysClr>
        </a:solidFill>
        <a:ln w="6350" cap="flat" cmpd="sng" algn="ctr">
          <a:solidFill>
            <a:srgbClr val="5B9BD5">
              <a:hueOff val="0"/>
              <a:satOff val="0"/>
              <a:lumOff val="0"/>
              <a:alphaOff val="0"/>
            </a:srgbClr>
          </a:solidFill>
          <a:prstDash val="solid"/>
          <a:miter lim="800000"/>
        </a:ln>
        <a:effectLst/>
      </dsp:spPr>
      <dsp:style>
        <a:lnRef idx="1">
          <a:scrgbClr r="0" g="0" b="0"/>
        </a:lnRef>
        <a:fillRef idx="1">
          <a:scrgbClr r="0" g="0" b="0"/>
        </a:fillRef>
        <a:effectRef idx="2">
          <a:scrgbClr r="0" g="0" b="0"/>
        </a:effectRef>
        <a:fontRef idx="minor"/>
      </dsp:style>
    </dsp:sp>
    <dsp:sp modelId="{F883569B-3278-4460-B0ED-0E4DEC0B1FF6}">
      <dsp:nvSpPr>
        <dsp:cNvPr id="0" name=""/>
        <dsp:cNvSpPr/>
      </dsp:nvSpPr>
      <dsp:spPr>
        <a:xfrm>
          <a:off x="1028250" y="3115230"/>
          <a:ext cx="4900110" cy="467441"/>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71032" tIns="30480" rIns="30480" bIns="30480" numCol="1" spcCol="1270" anchor="t" anchorCtr="0">
          <a:noAutofit/>
        </a:bodyPr>
        <a:lstStyle/>
        <a:p>
          <a:pPr lvl="0" algn="l" defTabSz="533400">
            <a:lnSpc>
              <a:spcPct val="90000"/>
            </a:lnSpc>
            <a:spcBef>
              <a:spcPct val="0"/>
            </a:spcBef>
            <a:spcAft>
              <a:spcPct val="35000"/>
            </a:spcAft>
          </a:pPr>
          <a:r>
            <a:rPr lang="ru-RU" sz="1200" kern="1200">
              <a:solidFill>
                <a:sysClr val="window" lastClr="FFFFFF"/>
              </a:solidFill>
              <a:latin typeface="Times New Roman" panose="02020603050405020304" pitchFamily="18" charset="0"/>
              <a:ea typeface="+mn-ea"/>
              <a:cs typeface="Times New Roman" panose="02020603050405020304" pitchFamily="18" charset="0"/>
            </a:rPr>
            <a:t>организационно-правовые факторы</a:t>
          </a:r>
        </a:p>
        <a:p>
          <a:pPr marL="114300" lvl="1" indent="-114300" algn="l" defTabSz="533400">
            <a:lnSpc>
              <a:spcPct val="90000"/>
            </a:lnSpc>
            <a:spcBef>
              <a:spcPct val="0"/>
            </a:spcBef>
            <a:spcAft>
              <a:spcPct val="15000"/>
            </a:spcAft>
            <a:buChar char="••"/>
          </a:pPr>
          <a:r>
            <a:rPr lang="ru-RU" sz="1200" kern="1200">
              <a:solidFill>
                <a:sysClr val="window" lastClr="FFFFFF"/>
              </a:solidFill>
              <a:latin typeface="Times New Roman" panose="02020603050405020304" pitchFamily="18" charset="0"/>
              <a:ea typeface="+mn-ea"/>
              <a:cs typeface="Times New Roman" panose="02020603050405020304" pitchFamily="18" charset="0"/>
            </a:rPr>
            <a:t>льготы для инвесторов</a:t>
          </a:r>
        </a:p>
      </dsp:txBody>
      <dsp:txXfrm>
        <a:off x="1028250" y="3115230"/>
        <a:ext cx="4900110" cy="467441"/>
      </dsp:txXfrm>
    </dsp:sp>
    <dsp:sp modelId="{026D3625-43BD-48DB-92A0-FA2C475AEBFE}">
      <dsp:nvSpPr>
        <dsp:cNvPr id="0" name=""/>
        <dsp:cNvSpPr/>
      </dsp:nvSpPr>
      <dsp:spPr>
        <a:xfrm>
          <a:off x="723947" y="2991690"/>
          <a:ext cx="584301" cy="584301"/>
        </a:xfrm>
        <a:prstGeom prst="ellipse">
          <a:avLst/>
        </a:prstGeom>
        <a:solidFill>
          <a:sysClr val="window" lastClr="FFFFFF">
            <a:hueOff val="0"/>
            <a:satOff val="0"/>
            <a:lumOff val="0"/>
            <a:alphaOff val="0"/>
          </a:sysClr>
        </a:solidFill>
        <a:ln w="6350" cap="flat" cmpd="sng" algn="ctr">
          <a:solidFill>
            <a:srgbClr val="5B9BD5">
              <a:hueOff val="0"/>
              <a:satOff val="0"/>
              <a:lumOff val="0"/>
              <a:alphaOff val="0"/>
            </a:srgbClr>
          </a:solidFill>
          <a:prstDash val="solid"/>
          <a:miter lim="800000"/>
        </a:ln>
        <a:effectLst/>
      </dsp:spPr>
      <dsp:style>
        <a:lnRef idx="1">
          <a:scrgbClr r="0" g="0" b="0"/>
        </a:lnRef>
        <a:fillRef idx="1">
          <a:scrgbClr r="0" g="0" b="0"/>
        </a:fillRef>
        <a:effectRef idx="2">
          <a:scrgbClr r="0" g="0" b="0"/>
        </a:effectRef>
        <a:fontRef idx="minor"/>
      </dsp:style>
    </dsp:sp>
    <dsp:sp modelId="{5421A1BC-96BB-4B31-A5E0-74D03682BA8F}">
      <dsp:nvSpPr>
        <dsp:cNvPr id="0" name=""/>
        <dsp:cNvSpPr/>
      </dsp:nvSpPr>
      <dsp:spPr>
        <a:xfrm>
          <a:off x="784126" y="3629864"/>
          <a:ext cx="5132082" cy="710071"/>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71032" tIns="30480" rIns="30480" bIns="30480" numCol="1" spcCol="1270" anchor="t" anchorCtr="0">
          <a:noAutofit/>
        </a:bodyPr>
        <a:lstStyle/>
        <a:p>
          <a:pPr lvl="0" algn="l" defTabSz="533400">
            <a:lnSpc>
              <a:spcPct val="90000"/>
            </a:lnSpc>
            <a:spcBef>
              <a:spcPct val="0"/>
            </a:spcBef>
            <a:spcAft>
              <a:spcPct val="35000"/>
            </a:spcAft>
          </a:pPr>
          <a:r>
            <a:rPr lang="ru-RU" sz="1200" kern="1200">
              <a:solidFill>
                <a:sysClr val="window" lastClr="FFFFFF"/>
              </a:solidFill>
              <a:latin typeface="Times New Roman" panose="02020603050405020304" pitchFamily="18" charset="0"/>
              <a:ea typeface="+mn-ea"/>
              <a:cs typeface="Times New Roman" panose="02020603050405020304" pitchFamily="18" charset="0"/>
            </a:rPr>
            <a:t>факторы, свидетельствующие о зрелости рыночной среды </a:t>
          </a:r>
        </a:p>
        <a:p>
          <a:pPr marL="114300" lvl="1" indent="-114300" algn="l" defTabSz="533400">
            <a:lnSpc>
              <a:spcPct val="90000"/>
            </a:lnSpc>
            <a:spcBef>
              <a:spcPct val="0"/>
            </a:spcBef>
            <a:spcAft>
              <a:spcPct val="15000"/>
            </a:spcAft>
            <a:buChar char="••"/>
          </a:pPr>
          <a:r>
            <a:rPr lang="ru-RU" sz="1200" kern="1200">
              <a:solidFill>
                <a:sysClr val="window" lastClr="FFFFFF"/>
              </a:solidFill>
              <a:latin typeface="Times New Roman" panose="02020603050405020304" pitchFamily="18" charset="0"/>
              <a:ea typeface="+mn-ea"/>
              <a:cs typeface="Times New Roman" panose="02020603050405020304" pitchFamily="18" charset="0"/>
            </a:rPr>
            <a:t>развитость рыночной инфраструктуры</a:t>
          </a:r>
        </a:p>
        <a:p>
          <a:pPr marL="114300" lvl="1" indent="-114300" algn="l" defTabSz="533400">
            <a:lnSpc>
              <a:spcPct val="90000"/>
            </a:lnSpc>
            <a:spcBef>
              <a:spcPct val="0"/>
            </a:spcBef>
            <a:spcAft>
              <a:spcPct val="15000"/>
            </a:spcAft>
            <a:buChar char="••"/>
          </a:pPr>
          <a:r>
            <a:rPr lang="ru-RU" sz="1200" kern="1200">
              <a:solidFill>
                <a:sysClr val="window" lastClr="FFFFFF"/>
              </a:solidFill>
              <a:latin typeface="Times New Roman" panose="02020603050405020304" pitchFamily="18" charset="0"/>
              <a:ea typeface="+mn-ea"/>
              <a:cs typeface="Times New Roman" panose="02020603050405020304" pitchFamily="18" charset="0"/>
            </a:rPr>
            <a:t>экспортные возможности</a:t>
          </a:r>
        </a:p>
      </dsp:txBody>
      <dsp:txXfrm>
        <a:off x="784126" y="3629864"/>
        <a:ext cx="5132082" cy="710071"/>
      </dsp:txXfrm>
    </dsp:sp>
    <dsp:sp modelId="{AFCE36C5-D393-4146-8570-2862776C6C24}">
      <dsp:nvSpPr>
        <dsp:cNvPr id="0" name=""/>
        <dsp:cNvSpPr/>
      </dsp:nvSpPr>
      <dsp:spPr>
        <a:xfrm>
          <a:off x="491975" y="3692749"/>
          <a:ext cx="584301" cy="584301"/>
        </a:xfrm>
        <a:prstGeom prst="ellipse">
          <a:avLst/>
        </a:prstGeom>
        <a:solidFill>
          <a:sysClr val="window" lastClr="FFFFFF">
            <a:hueOff val="0"/>
            <a:satOff val="0"/>
            <a:lumOff val="0"/>
            <a:alphaOff val="0"/>
          </a:sysClr>
        </a:solidFill>
        <a:ln w="6350" cap="flat" cmpd="sng" algn="ctr">
          <a:solidFill>
            <a:srgbClr val="5B9BD5">
              <a:hueOff val="0"/>
              <a:satOff val="0"/>
              <a:lumOff val="0"/>
              <a:alphaOff val="0"/>
            </a:srgbClr>
          </a:solidFill>
          <a:prstDash val="solid"/>
          <a:miter lim="800000"/>
        </a:ln>
        <a:effectLst/>
      </dsp:spPr>
      <dsp:style>
        <a:lnRef idx="1">
          <a:scrgbClr r="0" g="0" b="0"/>
        </a:lnRef>
        <a:fillRef idx="1">
          <a:scrgbClr r="0" g="0" b="0"/>
        </a:fillRef>
        <a:effectRef idx="2">
          <a:scrgbClr r="0" g="0" b="0"/>
        </a:effectRef>
        <a:fontRef idx="minor"/>
      </dsp:style>
    </dsp:sp>
    <dsp:sp modelId="{D5E5D445-D596-4474-8006-B34B23071AE7}">
      <dsp:nvSpPr>
        <dsp:cNvPr id="0" name=""/>
        <dsp:cNvSpPr/>
      </dsp:nvSpPr>
      <dsp:spPr>
        <a:xfrm>
          <a:off x="360816" y="4392754"/>
          <a:ext cx="5555392" cy="695949"/>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71032" tIns="30480" rIns="30480" bIns="30480" numCol="1" spcCol="1270" anchor="t" anchorCtr="0">
          <a:noAutofit/>
        </a:bodyPr>
        <a:lstStyle/>
        <a:p>
          <a:pPr lvl="0" algn="l" defTabSz="533400">
            <a:lnSpc>
              <a:spcPct val="90000"/>
            </a:lnSpc>
            <a:spcBef>
              <a:spcPct val="0"/>
            </a:spcBef>
            <a:spcAft>
              <a:spcPct val="35000"/>
            </a:spcAft>
          </a:pPr>
          <a:r>
            <a:rPr lang="ru-RU" sz="1200" kern="1200">
              <a:solidFill>
                <a:sysClr val="window" lastClr="FFFFFF"/>
              </a:solidFill>
              <a:latin typeface="Times New Roman" panose="02020603050405020304" pitchFamily="18" charset="0"/>
              <a:ea typeface="+mn-ea"/>
              <a:cs typeface="Times New Roman" panose="02020603050405020304" pitchFamily="18" charset="0"/>
            </a:rPr>
            <a:t>финансовые факторы</a:t>
          </a:r>
        </a:p>
        <a:p>
          <a:pPr marL="114300" lvl="1" indent="-114300" algn="l" defTabSz="533400">
            <a:lnSpc>
              <a:spcPct val="90000"/>
            </a:lnSpc>
            <a:spcBef>
              <a:spcPct val="0"/>
            </a:spcBef>
            <a:spcAft>
              <a:spcPct val="15000"/>
            </a:spcAft>
            <a:buChar char="••"/>
          </a:pPr>
          <a:r>
            <a:rPr lang="ru-RU" sz="1200" kern="1200">
              <a:solidFill>
                <a:sysClr val="window" lastClr="FFFFFF"/>
              </a:solidFill>
              <a:latin typeface="Times New Roman" panose="02020603050405020304" pitchFamily="18" charset="0"/>
              <a:ea typeface="+mn-ea"/>
              <a:cs typeface="Times New Roman" panose="02020603050405020304" pitchFamily="18" charset="0"/>
            </a:rPr>
            <a:t>доходы бюджета</a:t>
          </a:r>
        </a:p>
        <a:p>
          <a:pPr marL="114300" lvl="1" indent="-114300" algn="l" defTabSz="533400">
            <a:lnSpc>
              <a:spcPct val="90000"/>
            </a:lnSpc>
            <a:spcBef>
              <a:spcPct val="0"/>
            </a:spcBef>
            <a:spcAft>
              <a:spcPct val="15000"/>
            </a:spcAft>
            <a:buChar char="••"/>
          </a:pPr>
          <a:r>
            <a:rPr lang="ru-RU" sz="1200" kern="1200">
              <a:solidFill>
                <a:sysClr val="window" lastClr="FFFFFF"/>
              </a:solidFill>
              <a:latin typeface="Times New Roman" panose="02020603050405020304" pitchFamily="18" charset="0"/>
              <a:ea typeface="+mn-ea"/>
              <a:cs typeface="Times New Roman" panose="02020603050405020304" pitchFamily="18" charset="0"/>
            </a:rPr>
            <a:t>обеспеченность средствами безвозмездных поступлений</a:t>
          </a:r>
        </a:p>
        <a:p>
          <a:pPr marL="114300" lvl="1" indent="-114300" algn="l" defTabSz="533400">
            <a:lnSpc>
              <a:spcPct val="90000"/>
            </a:lnSpc>
            <a:spcBef>
              <a:spcPct val="0"/>
            </a:spcBef>
            <a:spcAft>
              <a:spcPct val="15000"/>
            </a:spcAft>
            <a:buChar char="••"/>
          </a:pPr>
          <a:endParaRPr lang="ru-RU" sz="12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360816" y="4392754"/>
        <a:ext cx="5555392" cy="695949"/>
      </dsp:txXfrm>
    </dsp:sp>
    <dsp:sp modelId="{5BFF202D-6D95-4A1C-B216-DBB7BAF84D0B}">
      <dsp:nvSpPr>
        <dsp:cNvPr id="0" name=""/>
        <dsp:cNvSpPr/>
      </dsp:nvSpPr>
      <dsp:spPr>
        <a:xfrm>
          <a:off x="68665" y="4394322"/>
          <a:ext cx="584301" cy="584301"/>
        </a:xfrm>
        <a:prstGeom prst="ellipse">
          <a:avLst/>
        </a:prstGeom>
        <a:solidFill>
          <a:sysClr val="window" lastClr="FFFFFF">
            <a:hueOff val="0"/>
            <a:satOff val="0"/>
            <a:lumOff val="0"/>
            <a:alphaOff val="0"/>
          </a:sysClr>
        </a:solidFill>
        <a:ln w="6350" cap="flat" cmpd="sng" algn="ctr">
          <a:solidFill>
            <a:srgbClr val="5B9BD5">
              <a:hueOff val="0"/>
              <a:satOff val="0"/>
              <a:lumOff val="0"/>
              <a:alphaOff val="0"/>
            </a:srgbClr>
          </a:solidFill>
          <a:prstDash val="solid"/>
          <a:miter lim="800000"/>
        </a:ln>
        <a:effectLst/>
      </dsp:spPr>
      <dsp:style>
        <a:lnRef idx="1">
          <a:scrgbClr r="0" g="0" b="0"/>
        </a:lnRef>
        <a:fillRef idx="1">
          <a:scrgbClr r="0" g="0" b="0"/>
        </a:fillRef>
        <a:effectRef idx="2">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6</Pages>
  <Words>2244</Words>
  <Characters>12792</Characters>
  <Application>Microsoft Office Word</Application>
  <DocSecurity>0</DocSecurity>
  <Lines>106</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15006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КУБГУ</dc:creator>
  <cp:keywords/>
  <dc:description/>
  <cp:lastModifiedBy>Константин Николаевич Бабичев</cp:lastModifiedBy>
  <cp:revision>4</cp:revision>
  <dcterms:created xsi:type="dcterms:W3CDTF">2022-05-11T08:25:00Z</dcterms:created>
  <dcterms:modified xsi:type="dcterms:W3CDTF">2022-05-11T08:38:00Z</dcterms:modified>
</cp:coreProperties>
</file>