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9FBA" w14:textId="230119B0" w:rsidR="00827E82" w:rsidRPr="007E673C" w:rsidRDefault="007E673C" w:rsidP="00827E82">
      <w:pPr>
        <w:pStyle w:val="12"/>
        <w:rPr>
          <w:rFonts w:asciiTheme="majorHAnsi" w:hAnsiTheme="majorHAnsi" w:cstheme="majorBidi"/>
          <w:caps/>
          <w:szCs w:val="24"/>
        </w:rPr>
      </w:pPr>
      <w:bookmarkStart w:id="0" w:name="_Toc76714064"/>
      <w:r w:rsidRPr="007E673C">
        <w:rPr>
          <w:lang w:eastAsia="ru-RU"/>
        </w:rPr>
        <w:t>Сидоров М.А.</w:t>
      </w:r>
      <w:r w:rsidR="00827E82" w:rsidRPr="007E673C">
        <w:rPr>
          <w:rFonts w:asciiTheme="majorHAnsi" w:hAnsiTheme="majorHAnsi"/>
          <w:caps/>
          <w:szCs w:val="24"/>
          <w:vertAlign w:val="superscript"/>
        </w:rPr>
        <w:footnoteReference w:customMarkFollows="1" w:id="1"/>
        <w:t>1</w:t>
      </w:r>
      <w:bookmarkEnd w:id="0"/>
    </w:p>
    <w:p w14:paraId="4F8C61BC" w14:textId="77777777" w:rsidR="00827E82" w:rsidRPr="007E673C" w:rsidRDefault="00827E82" w:rsidP="00827E82">
      <w:pPr>
        <w:spacing w:after="0" w:line="252" w:lineRule="auto"/>
        <w:ind w:firstLine="425"/>
        <w:jc w:val="right"/>
        <w:rPr>
          <w:rFonts w:ascii="Times New Roman" w:hAnsi="Times New Roman" w:cs="Times New Roman"/>
          <w:b/>
          <w:sz w:val="24"/>
          <w:highlight w:val="yellow"/>
        </w:rPr>
      </w:pPr>
    </w:p>
    <w:p w14:paraId="578E47DB" w14:textId="4A498A6B" w:rsidR="00827E82" w:rsidRPr="007E673C" w:rsidRDefault="00045F88" w:rsidP="00827E82">
      <w:pPr>
        <w:pStyle w:val="123"/>
        <w:rPr>
          <w:rFonts w:eastAsia="Times New Roman"/>
          <w:highlight w:val="yellow"/>
        </w:rPr>
      </w:pPr>
      <w:r w:rsidRPr="00045F88">
        <w:rPr>
          <w:rFonts w:eastAsia="Times New Roman"/>
        </w:rPr>
        <w:t>О количественном измерении рынков сбыта продукции регионов Северо-Запада России</w:t>
      </w:r>
    </w:p>
    <w:p w14:paraId="08677F3E" w14:textId="77777777" w:rsidR="00827E82" w:rsidRPr="007E673C" w:rsidRDefault="00827E82" w:rsidP="00827E82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231F20"/>
          <w:sz w:val="24"/>
          <w:szCs w:val="24"/>
          <w:highlight w:val="yellow"/>
        </w:rPr>
      </w:pPr>
    </w:p>
    <w:p w14:paraId="06C6C6E6" w14:textId="3491391C" w:rsidR="00383F62" w:rsidRPr="003C0745" w:rsidRDefault="00827E82" w:rsidP="00383F62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 w:rsidRPr="003C0745">
        <w:rPr>
          <w:rFonts w:ascii="Times New Roman" w:hAnsi="Times New Roman" w:cs="Times New Roman"/>
          <w:i/>
        </w:rPr>
        <w:t xml:space="preserve">Аннотация: </w:t>
      </w:r>
      <w:r w:rsidR="00383F62" w:rsidRPr="003C0745">
        <w:rPr>
          <w:rFonts w:ascii="Times New Roman" w:hAnsi="Times New Roman" w:cs="Times New Roman"/>
          <w:i/>
        </w:rPr>
        <w:t xml:space="preserve">Цель исследования </w:t>
      </w:r>
      <w:r w:rsidR="003C0745" w:rsidRPr="003C0745">
        <w:rPr>
          <w:rFonts w:ascii="Times New Roman" w:hAnsi="Times New Roman" w:cs="Times New Roman"/>
          <w:i/>
        </w:rPr>
        <w:t>–</w:t>
      </w:r>
      <w:r w:rsidR="00383F62" w:rsidRPr="003C0745">
        <w:rPr>
          <w:rFonts w:ascii="Times New Roman" w:hAnsi="Times New Roman" w:cs="Times New Roman"/>
          <w:i/>
        </w:rPr>
        <w:t xml:space="preserve"> количественная оценка рынков сбыта продукции регионов Северо-Запада России с учетом отраслевой и территориальной специфики их производства. </w:t>
      </w:r>
      <w:r w:rsidR="003C0745" w:rsidRPr="003C0745">
        <w:rPr>
          <w:rFonts w:ascii="Times New Roman" w:hAnsi="Times New Roman" w:cs="Times New Roman"/>
          <w:i/>
        </w:rPr>
        <w:t>В</w:t>
      </w:r>
      <w:r w:rsidR="00383F62" w:rsidRPr="003C0745">
        <w:rPr>
          <w:rFonts w:ascii="Times New Roman" w:hAnsi="Times New Roman" w:cs="Times New Roman"/>
          <w:i/>
        </w:rPr>
        <w:t>ыявлено, что в целом по Северо-Западу России национальный и зарубежные рынки превалируют над местными и макрорегиональным, межтерриториальное взаимодействие во многом остаётся фрагментарным.</w:t>
      </w:r>
    </w:p>
    <w:p w14:paraId="7A08A00E" w14:textId="30DAD18A" w:rsidR="00827E82" w:rsidRPr="00045F88" w:rsidRDefault="00827E82" w:rsidP="00827E82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 w:rsidRPr="00045F88">
        <w:rPr>
          <w:rFonts w:ascii="Times New Roman" w:hAnsi="Times New Roman" w:cs="Times New Roman"/>
          <w:i/>
        </w:rPr>
        <w:t xml:space="preserve">Ключевые слова: </w:t>
      </w:r>
      <w:r w:rsidR="00045F88" w:rsidRPr="00045F88">
        <w:rPr>
          <w:rFonts w:ascii="Times New Roman" w:hAnsi="Times New Roman" w:cs="Times New Roman"/>
          <w:i/>
        </w:rPr>
        <w:t>макрорегион, Северо-Запад России, цепочки создания стоимости, межрегиональная торговля, экономическая интеграция</w:t>
      </w:r>
    </w:p>
    <w:p w14:paraId="242C8FC2" w14:textId="77777777" w:rsidR="003C0745" w:rsidRDefault="003C0745" w:rsidP="003C0745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14:paraId="37C3FB40" w14:textId="548C447F" w:rsidR="003C0745" w:rsidRPr="003C0745" w:rsidRDefault="003C0745" w:rsidP="003C0745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3C0745">
        <w:rPr>
          <w:rFonts w:ascii="Times New Roman" w:hAnsi="Times New Roman" w:cs="Times New Roman"/>
        </w:rPr>
        <w:t>Тематика трансформации внутристрановых цепочек создания стоимости (ЦСС) становится всё более актуальной по причине нарастающей регионализации глобальной торговли. Ощутимым толчком к активизации этого направления стало нарушение цепочек создания стоимости в начале пандемии коронавируса, когда остановка производств и закрытие границ ведущих стран привели к разрыву привычных хозяйственных связей, обострили отношения между традиционными партнерами. Так, из-за десятикратного роста стоимости услуг морского грузового транспорта в 2020-2021 гг. конкурентное преимущество получили поставщики, предлагающие продукцию в географической близости к покупателю.</w:t>
      </w:r>
    </w:p>
    <w:p w14:paraId="748AA196" w14:textId="0B3DC077" w:rsidR="003C0745" w:rsidRPr="003C0745" w:rsidRDefault="003C0745" w:rsidP="003C0745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3C0745">
        <w:rPr>
          <w:rFonts w:ascii="Times New Roman" w:hAnsi="Times New Roman" w:cs="Times New Roman"/>
        </w:rPr>
        <w:t>Снижение устойчивости торговых связей вынудило правительства переоценить допустимый уровень открытости собственных экономик. Как отмечает В.А. Мау, у правительств стран с ведущими экономиками «явно уменьшается готовность платить за рыночную эффективность экономической (а следовательно, и политической) безопасностью» [1].</w:t>
      </w:r>
    </w:p>
    <w:p w14:paraId="0565E172" w14:textId="77777777" w:rsidR="003C0745" w:rsidRPr="003C0745" w:rsidRDefault="003C0745" w:rsidP="003C0745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3C0745">
        <w:rPr>
          <w:rFonts w:ascii="Times New Roman" w:hAnsi="Times New Roman" w:cs="Times New Roman"/>
        </w:rPr>
        <w:t>При этом со стороны органов власти также наблюдается интерес к данной тематике, о чем свидетельствует освещение важности производственных цепочек для развития внутреннего рынка в Сводной стратегии развития обрабатывающей промышленности Российской Федерации  («В сфере потребительских товаров следует сосредоточиться на обеспечении платежеспособного спроса, как внутреннего, так и внешнего»). Отметим также, что закрепление в Стратегии в качестве общего принципа развития промышленности выхода на смежные стадии производственных цепочек подразумевает рост потенциала внутристрановой кооперации.</w:t>
      </w:r>
    </w:p>
    <w:p w14:paraId="30867FE6" w14:textId="78E95049" w:rsidR="003C0745" w:rsidRPr="003C0745" w:rsidRDefault="003C0745" w:rsidP="003C0745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3C0745">
        <w:rPr>
          <w:rFonts w:ascii="Times New Roman" w:hAnsi="Times New Roman" w:cs="Times New Roman"/>
        </w:rPr>
        <w:t xml:space="preserve">Одним из драйверов политики мобилизация пространственного фактора национального экономического развития в Стратегии пространственного развития РФ представлено деление экономического пространства страны на макрорегионы </w:t>
      </w:r>
      <w:r w:rsidRPr="003C0745">
        <w:rPr>
          <w:rFonts w:ascii="Times New Roman" w:hAnsi="Times New Roman" w:cs="Times New Roman"/>
        </w:rPr>
        <w:t>[2]</w:t>
      </w:r>
      <w:r w:rsidRPr="003C0745">
        <w:rPr>
          <w:rFonts w:ascii="Times New Roman" w:hAnsi="Times New Roman" w:cs="Times New Roman"/>
        </w:rPr>
        <w:t>. Потребность в выделении макрорегионов усиливается тогда, когда для решения определенных задач потенциал отдельных субъектов очень мал и нужно рассматривать их потенциал вместе и в более широком контексте</w:t>
      </w:r>
      <w:r w:rsidRPr="003C0745">
        <w:rPr>
          <w:rFonts w:ascii="Times New Roman" w:hAnsi="Times New Roman" w:cs="Times New Roman"/>
        </w:rPr>
        <w:t xml:space="preserve"> [3]</w:t>
      </w:r>
      <w:r w:rsidRPr="003C0745">
        <w:rPr>
          <w:rFonts w:ascii="Times New Roman" w:hAnsi="Times New Roman" w:cs="Times New Roman"/>
        </w:rPr>
        <w:t>.</w:t>
      </w:r>
    </w:p>
    <w:p w14:paraId="12225CFA" w14:textId="238778A8" w:rsidR="003C0745" w:rsidRDefault="003C0745" w:rsidP="003C0745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3C0745">
        <w:rPr>
          <w:rFonts w:ascii="Times New Roman" w:hAnsi="Times New Roman" w:cs="Times New Roman"/>
        </w:rPr>
        <w:lastRenderedPageBreak/>
        <w:t>В рамках макрорегионов предполагается усиление межрегионального сотрудничества и координации социально-экономического развития субъектов Российской Федерации, развитие транспортной, энергетической, информационно-телекоммуникационной инфраструктуры, обеспечивающей усиление экономической связанности территорий, достраивание цепочек создания стоимости, в том числе за счет реализации крупных межрегиональных инвестиционных проектов. Это в свою очередь потребует разработки стратегий социально-экономического развития макрорегионов и синхронизированных во времени и пространстве планов их реализации.</w:t>
      </w:r>
    </w:p>
    <w:p w14:paraId="1853F807" w14:textId="77777777" w:rsidR="003C0745" w:rsidRPr="003C0745" w:rsidRDefault="003C0745" w:rsidP="003C0745">
      <w:pPr>
        <w:spacing w:after="0" w:line="252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3C0745">
        <w:rPr>
          <w:rFonts w:ascii="Times New Roman" w:hAnsi="Times New Roman" w:cs="Times New Roman"/>
          <w:b/>
          <w:bCs/>
        </w:rPr>
        <w:t>Экономические взаимодействия северо-западных регионов</w:t>
      </w:r>
    </w:p>
    <w:p w14:paraId="685EDDF0" w14:textId="4926A79A" w:rsidR="003C0745" w:rsidRDefault="003C0745" w:rsidP="003C0745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3C0745">
        <w:rPr>
          <w:rFonts w:ascii="Times New Roman" w:hAnsi="Times New Roman" w:cs="Times New Roman"/>
        </w:rPr>
        <w:t>Взаимные поставки регионов Северо-Запада России представлены в рис. 1. Полюсом макрорегионального рынка является товарооборот между Санкт-Петербургом, Республикой Коми, Ленинградской и Вологодской областями. На эти территории приходится 84,3% стоимостного объема взаимной торговли регионов Северо-Запада России.</w:t>
      </w:r>
    </w:p>
    <w:p w14:paraId="6AF89CAE" w14:textId="77777777" w:rsidR="003C0745" w:rsidRPr="003C0745" w:rsidRDefault="003C0745" w:rsidP="003C0745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</w:p>
    <w:p w14:paraId="51956EF1" w14:textId="77777777" w:rsidR="003C0745" w:rsidRDefault="003C0745" w:rsidP="003C0745">
      <w:pPr>
        <w:spacing w:after="0"/>
        <w:jc w:val="center"/>
        <w:rPr>
          <w:rFonts w:ascii="Times New Roman" w:hAnsi="Times New Roman" w:cs="Times New Roman"/>
          <w:spacing w:val="-4"/>
          <w:sz w:val="52"/>
          <w:szCs w:val="52"/>
          <w:highlight w:val="yellow"/>
        </w:rPr>
      </w:pPr>
      <w:r>
        <w:rPr>
          <w:rFonts w:ascii="Times New Roman" w:hAnsi="Times New Roman" w:cs="Times New Roman"/>
          <w:noProof/>
          <w:spacing w:val="-4"/>
          <w:sz w:val="52"/>
          <w:szCs w:val="52"/>
        </w:rPr>
        <w:drawing>
          <wp:inline distT="0" distB="0" distL="0" distR="0" wp14:anchorId="08945C1D" wp14:editId="60697DE7">
            <wp:extent cx="4275667" cy="24635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199" cy="24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DE200" w14:textId="77777777" w:rsidR="003C0745" w:rsidRDefault="003C0745" w:rsidP="003C0745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pacing w:val="-4"/>
          <w:sz w:val="28"/>
          <w:szCs w:val="28"/>
        </w:rPr>
        <w:drawing>
          <wp:inline distT="0" distB="0" distL="0" distR="0" wp14:anchorId="61889016" wp14:editId="13FF7DB3">
            <wp:extent cx="2650067" cy="1940092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Легенда торговых потоков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962" cy="19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FAA9" w14:textId="299649D0" w:rsidR="003C0745" w:rsidRPr="003C0745" w:rsidRDefault="003C0745" w:rsidP="003C0745">
      <w:pPr>
        <w:spacing w:after="0" w:line="252" w:lineRule="auto"/>
        <w:ind w:firstLine="425"/>
        <w:jc w:val="center"/>
        <w:rPr>
          <w:rFonts w:ascii="Times New Roman" w:hAnsi="Times New Roman" w:cs="Times New Roman"/>
          <w:b/>
        </w:rPr>
      </w:pPr>
      <w:r w:rsidRPr="003C0745">
        <w:rPr>
          <w:rFonts w:ascii="Times New Roman" w:hAnsi="Times New Roman" w:cs="Times New Roman"/>
          <w:b/>
        </w:rPr>
        <w:t>Рис. 1. Распределение регионов Северо-Запада России по роли макрорегионального рынка</w:t>
      </w:r>
    </w:p>
    <w:p w14:paraId="6393E528" w14:textId="77777777" w:rsidR="003C0745" w:rsidRPr="003C0745" w:rsidRDefault="003C0745" w:rsidP="003C0745">
      <w:pPr>
        <w:widowControl w:val="0"/>
        <w:suppressAutoHyphens/>
        <w:spacing w:after="0" w:line="247" w:lineRule="auto"/>
        <w:ind w:firstLine="425"/>
        <w:jc w:val="both"/>
        <w:rPr>
          <w:rFonts w:ascii="Times New Roman" w:eastAsia="DejaVu Sans" w:hAnsi="Times New Roman" w:cs="Times New Roman"/>
          <w:kern w:val="1"/>
          <w:sz w:val="20"/>
          <w:lang w:eastAsia="ru-RU"/>
        </w:rPr>
      </w:pPr>
      <w:r w:rsidRPr="003C0745">
        <w:rPr>
          <w:rFonts w:ascii="Times New Roman" w:eastAsia="DejaVu Sans" w:hAnsi="Times New Roman" w:cs="Times New Roman"/>
          <w:kern w:val="1"/>
          <w:sz w:val="20"/>
          <w:lang w:eastAsia="ru-RU"/>
        </w:rPr>
        <w:t>Источник: Составлено на основе материалов Единого архива экономических и социологических данных НИУ ВШЭ «Софист», региональные топливно-энергетические балансы и отчеты крупнейших компаний.</w:t>
      </w:r>
    </w:p>
    <w:p w14:paraId="7A834D07" w14:textId="0A3379F5" w:rsidR="003C0745" w:rsidRPr="00A5196D" w:rsidRDefault="003C0745" w:rsidP="00A5196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A5196D">
        <w:rPr>
          <w:rFonts w:ascii="Times New Roman" w:hAnsi="Times New Roman" w:cs="Times New Roman"/>
        </w:rPr>
        <w:lastRenderedPageBreak/>
        <w:t>Ключевая роль в макрорегионе принадлежит торговле Санкт-Петербурга и Ленинградской области, оборот между которыми составляет 60,2% общего товарооборота в пределах этого субрегиона и 7,1% выпуска регионов Северо-Запада России. Основную часть двухсторонней торговли составляют поставки в Санкт-Петербург.</w:t>
      </w:r>
    </w:p>
    <w:p w14:paraId="1A2F1136" w14:textId="77777777" w:rsidR="003C0745" w:rsidRPr="00A5196D" w:rsidRDefault="003C0745" w:rsidP="00A5196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A5196D">
        <w:rPr>
          <w:rFonts w:ascii="Times New Roman" w:hAnsi="Times New Roman" w:cs="Times New Roman"/>
        </w:rPr>
        <w:t>Существенная доля вывоза представлена поставками железной руды (Республика Коми и Мурманская область) и угля (Республика Коми). Большая их часть направляется в Вологодскую область, где затем в рамках производственного процесса ПАО «Северсталь» происходит выпуск металлопроката, крупнейшим покупателем которого в макрорегионе является Санкт-Петербург.</w:t>
      </w:r>
    </w:p>
    <w:p w14:paraId="1AB40E46" w14:textId="49CFD7C3" w:rsidR="003C0745" w:rsidRPr="00A5196D" w:rsidRDefault="003C0745" w:rsidP="00A5196D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A5196D">
        <w:rPr>
          <w:rFonts w:ascii="Times New Roman" w:hAnsi="Times New Roman" w:cs="Times New Roman"/>
        </w:rPr>
        <w:t>Анализ взаимной торговли регионов Северо-Запада России подтверждает предположение о неоднородности его экономической системы, его дифференцированности в плане участия субъектов макрорегиона в межрегиональной торговле. При этом существующие экономические связи малочисленных экономически состоятельных и некоторых узкоспециализированных регионов нуждаются в дополнении в рамках комплексного освоения российского простран</w:t>
      </w:r>
      <w:r w:rsidRPr="00A5196D">
        <w:rPr>
          <w:rFonts w:ascii="Times New Roman" w:hAnsi="Times New Roman" w:cs="Times New Roman"/>
        </w:rPr>
        <w:softHyphen/>
        <w:t>ства</w:t>
      </w:r>
      <w:r w:rsidR="00A5196D" w:rsidRPr="00A5196D">
        <w:rPr>
          <w:rFonts w:ascii="Times New Roman" w:hAnsi="Times New Roman" w:cs="Times New Roman"/>
        </w:rPr>
        <w:t xml:space="preserve"> [4].</w:t>
      </w:r>
    </w:p>
    <w:p w14:paraId="1F2C822D" w14:textId="77777777" w:rsidR="003C0745" w:rsidRPr="007E673C" w:rsidRDefault="003C0745" w:rsidP="003C0745">
      <w:pPr>
        <w:spacing w:after="0" w:line="252" w:lineRule="auto"/>
        <w:ind w:firstLine="425"/>
        <w:jc w:val="both"/>
        <w:rPr>
          <w:rFonts w:ascii="Times New Roman" w:hAnsi="Times New Roman" w:cs="Times New Roman"/>
          <w:highlight w:val="yellow"/>
        </w:rPr>
      </w:pPr>
    </w:p>
    <w:p w14:paraId="168CC24E" w14:textId="77777777" w:rsidR="00827E82" w:rsidRPr="007E673C" w:rsidRDefault="00827E82" w:rsidP="00827E82">
      <w:pPr>
        <w:spacing w:after="0" w:line="252" w:lineRule="auto"/>
        <w:ind w:firstLine="425"/>
        <w:jc w:val="both"/>
        <w:rPr>
          <w:rFonts w:ascii="Times New Roman" w:hAnsi="Times New Roman" w:cs="Times New Roman"/>
          <w:b/>
        </w:rPr>
      </w:pPr>
      <w:r w:rsidRPr="007E673C">
        <w:rPr>
          <w:rFonts w:ascii="Times New Roman" w:hAnsi="Times New Roman" w:cs="Times New Roman"/>
          <w:b/>
        </w:rPr>
        <w:t>ЛИТЕРАТУРА</w:t>
      </w:r>
    </w:p>
    <w:p w14:paraId="59647B42" w14:textId="2473ABBB" w:rsidR="003C0745" w:rsidRPr="00A5196D" w:rsidRDefault="003C0745" w:rsidP="003C0745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96D">
        <w:rPr>
          <w:rFonts w:ascii="Times New Roman" w:eastAsia="Calibri" w:hAnsi="Times New Roman" w:cs="Times New Roman"/>
        </w:rPr>
        <w:t>Мау. В.А. Пандемия коронавируса и тренды экономической политики. Вопросы экономики.</w:t>
      </w:r>
      <w:r w:rsidR="00A5196D" w:rsidRPr="00A5196D">
        <w:rPr>
          <w:rFonts w:ascii="Times New Roman" w:eastAsia="Calibri" w:hAnsi="Times New Roman" w:cs="Times New Roman"/>
        </w:rPr>
        <w:t xml:space="preserve"> 2021.</w:t>
      </w:r>
      <w:r w:rsidRPr="00A5196D">
        <w:rPr>
          <w:rFonts w:ascii="Times New Roman" w:eastAsia="Calibri" w:hAnsi="Times New Roman" w:cs="Times New Roman"/>
        </w:rPr>
        <w:t xml:space="preserve"> № 3. С. 5–30. DOI: 10.32609/0042-8736-2021-3-5-30</w:t>
      </w:r>
    </w:p>
    <w:p w14:paraId="3E79877D" w14:textId="6E479DA5" w:rsidR="00A5196D" w:rsidRPr="00A5196D" w:rsidRDefault="00A5196D" w:rsidP="00A5196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96D">
        <w:rPr>
          <w:rFonts w:ascii="Times New Roman" w:eastAsia="Calibri" w:hAnsi="Times New Roman" w:cs="Times New Roman"/>
        </w:rPr>
        <w:t>Минакир П.А., Исаев А.Г., Демьяненко А.Н., Прокапало О.М. Экономические макрорегионы: интеграционный феномен или политико-географическая целесообразность? Случай Дальнего Востока // Пространственная экономика.</w:t>
      </w:r>
      <w:r w:rsidRPr="00A5196D">
        <w:rPr>
          <w:rFonts w:ascii="Times New Roman" w:eastAsia="Calibri" w:hAnsi="Times New Roman" w:cs="Times New Roman"/>
        </w:rPr>
        <w:t xml:space="preserve"> 2020.</w:t>
      </w:r>
      <w:r w:rsidRPr="00A5196D">
        <w:rPr>
          <w:rFonts w:ascii="Times New Roman" w:eastAsia="Calibri" w:hAnsi="Times New Roman" w:cs="Times New Roman"/>
        </w:rPr>
        <w:t xml:space="preserve"> Т. 16. № 1. С. 66–99. DOI: 10.14530/se.2020.1.066-099</w:t>
      </w:r>
    </w:p>
    <w:p w14:paraId="4E198C66" w14:textId="3915DC4B" w:rsidR="00A5196D" w:rsidRPr="00A5196D" w:rsidRDefault="00A5196D" w:rsidP="00A5196D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96D">
        <w:rPr>
          <w:rFonts w:ascii="Times New Roman" w:eastAsia="Calibri" w:hAnsi="Times New Roman" w:cs="Times New Roman"/>
        </w:rPr>
        <w:t>Котов А.В</w:t>
      </w:r>
      <w:r w:rsidRPr="00A5196D">
        <w:rPr>
          <w:rFonts w:ascii="Times New Roman" w:eastAsia="Calibri" w:hAnsi="Times New Roman" w:cs="Times New Roman"/>
        </w:rPr>
        <w:t xml:space="preserve">. </w:t>
      </w:r>
      <w:r w:rsidRPr="00A5196D">
        <w:rPr>
          <w:rFonts w:ascii="Times New Roman" w:eastAsia="Calibri" w:hAnsi="Times New Roman" w:cs="Times New Roman"/>
        </w:rPr>
        <w:t>Территория требу</w:t>
      </w:r>
      <w:bookmarkStart w:id="1" w:name="_GoBack"/>
      <w:bookmarkEnd w:id="1"/>
      <w:r w:rsidRPr="00A5196D">
        <w:rPr>
          <w:rFonts w:ascii="Times New Roman" w:eastAsia="Calibri" w:hAnsi="Times New Roman" w:cs="Times New Roman"/>
        </w:rPr>
        <w:t>ет связной работы: роль межрегиональных взаимодействий в восстановлении экономики (к 100-летию работы И.Г. Александрова «Экономическое районирование России») // Пространственная экономика.</w:t>
      </w:r>
      <w:r w:rsidRPr="00A5196D">
        <w:rPr>
          <w:rFonts w:ascii="Times New Roman" w:eastAsia="Calibri" w:hAnsi="Times New Roman" w:cs="Times New Roman"/>
        </w:rPr>
        <w:t xml:space="preserve"> 2021.</w:t>
      </w:r>
      <w:r w:rsidRPr="00A5196D">
        <w:rPr>
          <w:rFonts w:ascii="Times New Roman" w:eastAsia="Calibri" w:hAnsi="Times New Roman" w:cs="Times New Roman"/>
        </w:rPr>
        <w:t xml:space="preserve"> Т. 17. № 1. С. 18–34. DOI: 10.14530/se.2021.1.018-034</w:t>
      </w:r>
    </w:p>
    <w:p w14:paraId="4DEE930D" w14:textId="25EA8760" w:rsidR="003C0745" w:rsidRPr="00A5196D" w:rsidRDefault="00A5196D" w:rsidP="003C0745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196D">
        <w:rPr>
          <w:rFonts w:ascii="Times New Roman" w:eastAsia="Calibri" w:hAnsi="Times New Roman" w:cs="Times New Roman"/>
        </w:rPr>
        <w:t>Михеева Н.Н. Долгосрочные прогнозы регионального развития: анализ результатов и проблемы разработки // Проблемы прогнозирования.</w:t>
      </w:r>
      <w:r w:rsidRPr="00A5196D">
        <w:rPr>
          <w:rFonts w:ascii="Times New Roman" w:eastAsia="Calibri" w:hAnsi="Times New Roman" w:cs="Times New Roman"/>
        </w:rPr>
        <w:t xml:space="preserve"> 2018.</w:t>
      </w:r>
      <w:r w:rsidRPr="00A5196D">
        <w:rPr>
          <w:rFonts w:ascii="Times New Roman" w:eastAsia="Calibri" w:hAnsi="Times New Roman" w:cs="Times New Roman"/>
        </w:rPr>
        <w:t xml:space="preserve"> № 5 (170). С. 24–38.</w:t>
      </w:r>
    </w:p>
    <w:p w14:paraId="5193335C" w14:textId="77777777" w:rsidR="00854770" w:rsidRPr="00A5196D" w:rsidRDefault="00854770"/>
    <w:sectPr w:rsidR="00854770" w:rsidRPr="00A5196D" w:rsidSect="00827E82">
      <w:pgSz w:w="11906" w:h="16838"/>
      <w:pgMar w:top="2211" w:right="1985" w:bottom="232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5F20" w14:textId="77777777" w:rsidR="00827E82" w:rsidRDefault="00827E82" w:rsidP="00827E82">
      <w:pPr>
        <w:spacing w:after="0" w:line="240" w:lineRule="auto"/>
      </w:pPr>
      <w:r>
        <w:separator/>
      </w:r>
    </w:p>
  </w:endnote>
  <w:endnote w:type="continuationSeparator" w:id="0">
    <w:p w14:paraId="65DFAE45" w14:textId="77777777" w:rsidR="00827E82" w:rsidRDefault="00827E82" w:rsidP="0082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27FF" w14:textId="77777777" w:rsidR="00827E82" w:rsidRDefault="00827E82" w:rsidP="00827E82">
      <w:pPr>
        <w:spacing w:after="0" w:line="240" w:lineRule="auto"/>
      </w:pPr>
      <w:r>
        <w:separator/>
      </w:r>
    </w:p>
  </w:footnote>
  <w:footnote w:type="continuationSeparator" w:id="0">
    <w:p w14:paraId="23204287" w14:textId="77777777" w:rsidR="00827E82" w:rsidRDefault="00827E82" w:rsidP="00827E82">
      <w:pPr>
        <w:spacing w:after="0" w:line="240" w:lineRule="auto"/>
      </w:pPr>
      <w:r>
        <w:continuationSeparator/>
      </w:r>
    </w:p>
  </w:footnote>
  <w:footnote w:id="1">
    <w:p w14:paraId="5F700448" w14:textId="3D5C4F8F" w:rsidR="007E673C" w:rsidRPr="007E673C" w:rsidRDefault="00827E82" w:rsidP="007E673C">
      <w:pPr>
        <w:spacing w:line="240" w:lineRule="auto"/>
        <w:jc w:val="both"/>
        <w:rPr>
          <w:sz w:val="24"/>
          <w:szCs w:val="24"/>
        </w:rPr>
      </w:pPr>
      <w:r w:rsidRPr="00CA7DF7">
        <w:rPr>
          <w:rStyle w:val="a3"/>
          <w:rFonts w:ascii="Times New Roman" w:hAnsi="Times New Roman" w:cs="Times New Roman"/>
          <w:sz w:val="20"/>
          <w:szCs w:val="20"/>
        </w:rPr>
        <w:t>1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 w:rsidR="007E673C" w:rsidRPr="007E673C">
        <w:rPr>
          <w:rFonts w:ascii="Times New Roman" w:hAnsi="Times New Roman" w:cs="Times New Roman"/>
          <w:sz w:val="20"/>
          <w:szCs w:val="20"/>
        </w:rPr>
        <w:t xml:space="preserve">Сидоров Максим Андреевич (Россия, г. Вологда) – </w:t>
      </w:r>
      <w:proofErr w:type="spellStart"/>
      <w:r w:rsidR="007E673C" w:rsidRPr="007E673C">
        <w:rPr>
          <w:rFonts w:ascii="Times New Roman" w:hAnsi="Times New Roman" w:cs="Times New Roman"/>
          <w:sz w:val="20"/>
          <w:szCs w:val="20"/>
        </w:rPr>
        <w:t>м.н.с</w:t>
      </w:r>
      <w:proofErr w:type="spellEnd"/>
      <w:r w:rsidR="007E673C" w:rsidRPr="007E673C">
        <w:rPr>
          <w:rFonts w:ascii="Times New Roman" w:hAnsi="Times New Roman" w:cs="Times New Roman"/>
          <w:sz w:val="20"/>
          <w:szCs w:val="20"/>
        </w:rPr>
        <w:t>., Вологодский научный центр РАН (160014, г. Вологда, ул. Горького 56а), ma.sidorov@mail.ru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53B01"/>
    <w:multiLevelType w:val="hybridMultilevel"/>
    <w:tmpl w:val="949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82"/>
    <w:rsid w:val="00045F88"/>
    <w:rsid w:val="00093BEC"/>
    <w:rsid w:val="00383F62"/>
    <w:rsid w:val="003C0745"/>
    <w:rsid w:val="0044325D"/>
    <w:rsid w:val="005F5AF9"/>
    <w:rsid w:val="00787640"/>
    <w:rsid w:val="007D79E0"/>
    <w:rsid w:val="007E673C"/>
    <w:rsid w:val="0081440B"/>
    <w:rsid w:val="00827E82"/>
    <w:rsid w:val="00854770"/>
    <w:rsid w:val="00916BF7"/>
    <w:rsid w:val="00A5196D"/>
    <w:rsid w:val="00BC155A"/>
    <w:rsid w:val="00E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756A"/>
  <w15:chartTrackingRefBased/>
  <w15:docId w15:val="{3FF504E4-0A48-4C0E-A683-C5D5B87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72"/>
  </w:style>
  <w:style w:type="paragraph" w:styleId="1">
    <w:name w:val="heading 1"/>
    <w:basedOn w:val="a"/>
    <w:next w:val="a"/>
    <w:link w:val="10"/>
    <w:uiPriority w:val="9"/>
    <w:qFormat/>
    <w:rsid w:val="00827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827E82"/>
    <w:rPr>
      <w:rFonts w:ascii="Times New Roman" w:hAnsi="Times New Roman" w:cs="Times New Roman"/>
      <w:b/>
      <w:bCs/>
      <w:spacing w:val="-7"/>
      <w:sz w:val="24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qFormat/>
    <w:rsid w:val="00827E82"/>
    <w:pPr>
      <w:widowControl w:val="0"/>
      <w:shd w:val="clear" w:color="auto" w:fill="FFFFFF"/>
      <w:spacing w:after="0" w:line="365" w:lineRule="exact"/>
      <w:ind w:firstLine="425"/>
      <w:jc w:val="right"/>
      <w:outlineLvl w:val="0"/>
    </w:pPr>
    <w:rPr>
      <w:rFonts w:ascii="Times New Roman" w:hAnsi="Times New Roman" w:cs="Times New Roman"/>
      <w:b/>
      <w:bCs/>
      <w:spacing w:val="-7"/>
      <w:sz w:val="24"/>
      <w:szCs w:val="31"/>
    </w:rPr>
  </w:style>
  <w:style w:type="character" w:styleId="a3">
    <w:name w:val="footnote reference"/>
    <w:aliases w:val="Знак сноски-FN,Ciae niinee-FN,Знак сноски 1,Referencia nota al pie,SUPERS,анкета сноска,fr,Ciae niinee 1,Footnote symbol,Footnote Reference Number,Used by Word for Help footnote symbols,Çíàê ñíîñêè-FN,Çíàê ñíîñêè 1,текст сноски,-++ Знак Знак"/>
    <w:basedOn w:val="a0"/>
    <w:uiPriority w:val="99"/>
    <w:unhideWhenUsed/>
    <w:rsid w:val="00827E82"/>
    <w:rPr>
      <w:vertAlign w:val="superscript"/>
    </w:rPr>
  </w:style>
  <w:style w:type="paragraph" w:customStyle="1" w:styleId="123">
    <w:name w:val="Заголовок123"/>
    <w:basedOn w:val="1"/>
    <w:link w:val="1230"/>
    <w:qFormat/>
    <w:rsid w:val="00827E82"/>
    <w:pPr>
      <w:spacing w:before="0" w:line="360" w:lineRule="auto"/>
      <w:ind w:firstLine="425"/>
      <w:jc w:val="center"/>
    </w:pPr>
    <w:rPr>
      <w:rFonts w:ascii="Times New Roman" w:hAnsi="Times New Roman"/>
      <w:b/>
      <w:snapToGrid w:val="0"/>
      <w:color w:val="000000" w:themeColor="text1"/>
      <w:sz w:val="24"/>
      <w:lang w:eastAsia="ru-RU"/>
    </w:rPr>
  </w:style>
  <w:style w:type="character" w:customStyle="1" w:styleId="1230">
    <w:name w:val="Заголовок123 Знак"/>
    <w:basedOn w:val="a0"/>
    <w:link w:val="123"/>
    <w:rsid w:val="00827E82"/>
    <w:rPr>
      <w:rFonts w:ascii="Times New Roman" w:eastAsiaTheme="majorEastAsia" w:hAnsi="Times New Roman" w:cstheme="majorBidi"/>
      <w:b/>
      <w:snapToGrid w:val="0"/>
      <w:color w:val="000000" w:themeColor="text1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3C0745"/>
    <w:pPr>
      <w:ind w:left="720"/>
      <w:contextualSpacing/>
    </w:pPr>
  </w:style>
  <w:style w:type="paragraph" w:styleId="a5">
    <w:name w:val="No Spacing"/>
    <w:aliases w:val="ИСТОЧН"/>
    <w:basedOn w:val="a"/>
    <w:next w:val="a"/>
    <w:link w:val="a6"/>
    <w:uiPriority w:val="1"/>
    <w:qFormat/>
    <w:rsid w:val="003C0745"/>
    <w:pPr>
      <w:spacing w:before="120" w:after="0" w:line="240" w:lineRule="auto"/>
      <w:jc w:val="both"/>
    </w:pPr>
    <w:rPr>
      <w:rFonts w:ascii="Times New Roman" w:hAnsi="Times New Roman"/>
      <w:sz w:val="18"/>
    </w:rPr>
  </w:style>
  <w:style w:type="character" w:customStyle="1" w:styleId="a6">
    <w:name w:val="Без интервала Знак"/>
    <w:aliases w:val="ИСТОЧН Знак"/>
    <w:link w:val="a5"/>
    <w:uiPriority w:val="1"/>
    <w:locked/>
    <w:rsid w:val="003C074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Георгиевна Леонидова</dc:creator>
  <cp:keywords/>
  <dc:description/>
  <cp:lastModifiedBy>Максим Андреевич Сидоров</cp:lastModifiedBy>
  <cp:revision>8</cp:revision>
  <dcterms:created xsi:type="dcterms:W3CDTF">2022-04-20T10:54:00Z</dcterms:created>
  <dcterms:modified xsi:type="dcterms:W3CDTF">2022-05-11T09:16:00Z</dcterms:modified>
</cp:coreProperties>
</file>