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A249A" w14:textId="2C363A2A" w:rsidR="00827E82" w:rsidRPr="002422EA" w:rsidRDefault="004C4D20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>Вахитова В.В</w:t>
      </w:r>
      <w:r w:rsidR="00827E82">
        <w:rPr>
          <w:lang w:eastAsia="ru-RU"/>
        </w:rPr>
        <w:t>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14:paraId="5E2AFCC3" w14:textId="77777777"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14:paraId="322FB65B" w14:textId="6D82E943" w:rsidR="00827E82" w:rsidRPr="002422EA" w:rsidRDefault="002B34FF" w:rsidP="00827E82">
      <w:pPr>
        <w:pStyle w:val="123"/>
        <w:rPr>
          <w:rFonts w:eastAsia="Times New Roman"/>
        </w:rPr>
      </w:pPr>
      <w:r w:rsidRPr="002B34FF">
        <w:rPr>
          <w:rFonts w:eastAsia="Times New Roman"/>
        </w:rPr>
        <w:t>Стратегическое управление деятельностью организации в цифровой экономике</w:t>
      </w:r>
    </w:p>
    <w:p w14:paraId="6B73A203" w14:textId="77777777"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14:paraId="4E1B4EF1" w14:textId="228B398E" w:rsidR="00827E82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 w:rsidR="002B34FF" w:rsidRPr="002B34FF">
        <w:rPr>
          <w:rFonts w:ascii="Times New Roman" w:hAnsi="Times New Roman" w:cs="Times New Roman"/>
          <w:i/>
        </w:rPr>
        <w:t>Современное экономическое развитие обусловлено многими факторами. В статье показано, что важную роль в стратегическом управлении играет цифровизация «всего»: экономики, предприятий и социальной жизни. Представлены направления совершенствования стратегического управления деятельностью предприятия с учетом особенностей и тенденций цифровой экономики и интенсивно развивающихся процессов нетворкинга.</w:t>
      </w:r>
    </w:p>
    <w:p w14:paraId="08B04527" w14:textId="16B539AE"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8A1720" w:rsidRPr="008A1720">
        <w:rPr>
          <w:rFonts w:ascii="Times New Roman" w:hAnsi="Times New Roman" w:cs="Times New Roman"/>
          <w:i/>
        </w:rPr>
        <w:t>нетворкинг, цифровая трансформация, бизнес-модель, эффективность, цифровые технологии</w:t>
      </w:r>
    </w:p>
    <w:p w14:paraId="621C484B" w14:textId="77777777" w:rsidR="008A1720" w:rsidRDefault="008A1720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2C260C29" w14:textId="77777777" w:rsidR="008A1720" w:rsidRDefault="008A1720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2F6B0CFD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Современная экономика меняется беспрецедентными темпами, определяемыми двумя взаимосвязанными процессами: нетворкингом и цифровизацией. Развитие цифровой экономики идет в русле изменений, происходящих в последние несколько десятилетий, которые начались с появления на массовом рынке персональных компьютеров в середине 1980-х годов, за которыми последовало развитие средств цифрового проектирования, эволюция Интернет, тенденции аутсорсинга и офшоринга и, как следствие, развитие сложных глобальных цепочек создания стоимости. Явления, характеризующие сетевой характер экономики (например, хаос, непредсказуемость, отсутствие границ предприятий, продвижение нематериальных ресурсов и процессы сотрудничества между организациями), сопровождаются повсеместной адаптацией и увеличением использования цифровых или компьютерных технологий всеми субъектами экономики. экономика (организации, отрасли экономики, государственные учреждения) [3]. </w:t>
      </w:r>
    </w:p>
    <w:p w14:paraId="38DE1E2D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>После трех последовательных промышленных революций мы вступаем в эпоху, известную как четвертая промышленная революция, в основе которой лежат новые информационные технологии, основанные на больших данных, Интернете вещей и искусственном интеллекте. Эти новые технологии открывают огромные возможности для предприятий с точки зрения повышения производительности, конкурентоспособности, а также создания и использования добавленной стоимости. Внедрение искусственного интеллекта в машины и устройства и, прежде всего, новые поколения интеллектуальных роботов создают основу для развития интеллектуальных заводов и современной индустрии 4.0. Предприятия должны адаптироваться к новой ситуации, внедряя бизнес-стратегии цифровизации [2].</w:t>
      </w:r>
    </w:p>
    <w:p w14:paraId="3C387D23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Вспышка пандемии Covid-19 и связанный с ней повсеместный карантин вынудили и ускорили цифровую трансформацию (с использованием широко понимаемой технологии </w:t>
      </w:r>
      <w:r w:rsidRPr="008A1720">
        <w:rPr>
          <w:rFonts w:ascii="Times New Roman" w:hAnsi="Times New Roman" w:cs="Times New Roman"/>
        </w:rPr>
        <w:lastRenderedPageBreak/>
        <w:t xml:space="preserve">для радикального повышения эффективности компании или ее ассортимента) также в отношении предприятий, которые по разным причинам еще не внедрили этот процесс. Сегодня цифровая трансформация распространяется не только на технологические аспекты компании, но и должна охватывать всю ее стратегию, изменяя способ мышления и восприятия мира менеджерами. </w:t>
      </w:r>
    </w:p>
    <w:p w14:paraId="5E258AEB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>Несмотря на повсеместную цифровизацию мира и распространение управляемых компьютером сетей, взаимоотношений между различными организациями, в центре стратегического мышления находится человек — со своими установками, стремлениями, но и ограничениями. Недаром приписывают организациям человеческие качества (антропоморфизация) — именно люди создают их, реализуют в них свои планы и амбиции (стратегические выборы), выстраивают определенную рабочую среду (организационную культуру) и задают направление развития. стратегическое развитие (стратегические мыслители). Создание и реализация стратегии обусловлены культурой организации, на что указывают многие исследователи [4].</w:t>
      </w:r>
    </w:p>
    <w:p w14:paraId="614F4617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 Культуры, характеризующиеся стратегической открытостью, основанной на коллективном разуме, способствуют правильному стратегическому выбору, облегчают его реализацию и повышают эффективность достижения целей. Организационная культура также определяет конкурентоспособность предприятий, но в условиях распространенной в сетевой экономике диффузии культур необходимо правильно настроить ресурсы и навыки предприятия. Значительную роль в этом процессе играют руководители современных предприятий. Качество стратегических решений зависит от их индивидуальных особенностей, влияющих на восприятие, обработку и оценку информации. Отдельные авторы обращают внимание на особенности отношения и поведения предпринимателей в международных операциях [1]. </w:t>
      </w:r>
    </w:p>
    <w:p w14:paraId="3940CFB3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Динамичное развитие концепции бизнес-модели напрямую связано с наличием и развитием интернет-услуг (цифровизация экономики). Новые возможности для создания и доставки ценности для клиентов, принесенные Интернетом, вылились в повышенный интерес к концепции бизнес-модели со стороны практиков и теоретиков управления. Бизнес-модели произвели революцию во многих секторах и отраслях и поэтому стали серьезным оружием в создании конкурентных преимуществ для предприятий. </w:t>
      </w:r>
    </w:p>
    <w:p w14:paraId="066CDCB9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Стратегический менеджмент охватывает два основных вопроса: подготовку стратегии и ее реализацию – претворение в жизнь. Хорошая подготовка стратегии не гарантирует успеха. Нестабильная динамика рынка, стремительные технологические изменения, нормативные изменения и изменения ожиданий клиентов заставляют компании сталкиваться с трудностями в реализации своих стратегий. Многочисленные исследования показывают, что в большинстве случаев реализация стратегии заканчивается неудачей, хотя ее масштаб может варьироваться в зависимости от принятого метода измерения. Выигрышные стратегии требуют эффективных механизмов их подготовки и реализации, элементами которых являются: учет в стратегии возможностей, создаваемых средой, повышение гибкости организации внутри и снаружи, оптимизация внутренних процессов. </w:t>
      </w:r>
    </w:p>
    <w:p w14:paraId="195C5EC1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Элементом оптимизации деятельности является совершенствование сочетания стратегического анализа и стратегического планирования с фазой реализации на предприятии, а также координация операций внутри отраслевых цепочек добавленной стоимости, что было представлено на примере отрасли тяжелой промышленности. В сетевой экономике, где создание стоимости происходит во взаимодействии с другими </w:t>
      </w:r>
      <w:r w:rsidRPr="008A1720">
        <w:rPr>
          <w:rFonts w:ascii="Times New Roman" w:hAnsi="Times New Roman" w:cs="Times New Roman"/>
        </w:rPr>
        <w:lastRenderedPageBreak/>
        <w:t>субъектами, а значительная часть ресурсов, необходимых для реализации стратегии, находится за пределами правовых границ организации, правильная конфигурация ресурсов с целью создания добавленной стоимости и захвата имеет особое значение [5].</w:t>
      </w:r>
    </w:p>
    <w:p w14:paraId="07ABD8C6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Предприятия должны интегрировать свои внутренние ресурсы и возможности с внешними, чтобы иметь возможность достигать конкретных стратегических целей благодаря соответствующему реагированию на вызовы, связанные с динамикой внешней среды. В этом контексте важной представляется концепция гибкого предприятия, которая использует появляющиеся бизнес-возможности в своей среде для получения выгоды. </w:t>
      </w:r>
    </w:p>
    <w:p w14:paraId="66A7E26B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В результате изменений в строении мирового порядка весьма большое значение имеет постулат о расширении стратегического анализа за счет включения в него геополитики и геостратегии, что может оказаться полезным при включении в стратегии, в частности, предприятий из ключевых секторов с точки зрения государства, важных аспектов глобальной политики, которые могут иметь существенное значение. воздействия на эти предприятия. Для понимания прогресса развития предприятий весьма уместно проводить оценку эффективности стратегии и выделять факторы, определяющие ее успех. Измерение эффективности стратегии — сложный вопрос. В литературе по этому вопросу отсутствует последовательное определение системы измерения реализации стратегии [7]. </w:t>
      </w:r>
    </w:p>
    <w:p w14:paraId="51A60F71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Измерение достигнутых результатов является одним из ключевых аспектов процесса реализации стратегии, поскольку влияет на возможность внесения необходимых корректировок, а также может быть инструментом диагностики ключевых элементов, определяющих успех организации. Измерение стратегии может учитывать две группы факторов: ее согласованность и эффективность выполняемых действий. Согласованность относится к его внутренней логике и согласованности (наличию ресурсов) и внешней (с учетом динамики отрасли). Под эффективностью осуществляемой деятельности понимается степень достижения намеченных стратегических целей и полученных финансовых результатов. </w:t>
      </w:r>
    </w:p>
    <w:p w14:paraId="6AAB4375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>В результате тенденций, описанных выше меняется состав и направление воздействия факторов, определяющих конкурентоспособности предприятий, наиболее важными из которых являются: ориентация на знания, ориентация на маркетинг и укорененность в местных деловых сетях. Динамично происходящие технологические изменения оказывают сильное влияние на современную экономику и предприятия, ставя их перед непростыми решениями по выбору стратегии развития. Прогрессирующая глобализация экономики и усиление конкуренции на рынках усугубляют проблемы, с которыми сталкиваются предприятия. Чтобы соответствовать им, предприятия должны быстро меняться, используя преимущества нового производства и конкурентных возможностей, создаваемых новыми технологиями. В результате начала четвертой промышленной революции ожидаются радикальные изменения не только с точки зрения повышения операционной эффективности и производительности факторов производства, но и с точки зрения новых бизнес-моделей, приносящих экономические выгоды предприятиям, экономике и обществу как весь. Их основа — все более быстрая цифровизация предприятий и экономики [6].</w:t>
      </w:r>
    </w:p>
    <w:p w14:paraId="4747BE70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Построению стратегии цифровизации как части общей корпоративной стратегии способствует понимание процессов экономической трансформации, вызванных цифровизацией. Выстраивая стратегию развития компании, необходимо осознавать, что цифровизация — это не просто набор новых технологий, а новые технологии, которые меняют базовые правила и бизнес-модели, и для того, чтобы быть успешными, новые </w:t>
      </w:r>
      <w:r w:rsidRPr="008A1720">
        <w:rPr>
          <w:rFonts w:ascii="Times New Roman" w:hAnsi="Times New Roman" w:cs="Times New Roman"/>
        </w:rPr>
        <w:lastRenderedPageBreak/>
        <w:t xml:space="preserve">технологии должны взаимодействовать друг с другом и составляют сущность бизнеса. Стоит отметить, что до недавнего времени компании имели ИТ-стратегию, которая часто была самостоятельной стратегией и не была тесно связана со стратегией развития компании, производственной или рыночной стратегией. </w:t>
      </w:r>
    </w:p>
    <w:p w14:paraId="2661ADD9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>Стратегию цифровизации нельзя отождествлять со стратегией ИТ, которая часто была стратегией, изолированной от стратегии компании. В прошлом хорошая ИТ-стратегия давала компании конкурентное преимущество перед остальными. Возможности, предлагаемые внедрением технологий в области ИТ на предприятии, постепенно истощаются, и становится все труднее достичь с их помощью добавленной стоимости. Недостаточно иметь хорошую стратегию мобильного подключения, облачную или сетевую стратегию, если они являются отдельными стратегиями.</w:t>
      </w:r>
    </w:p>
    <w:p w14:paraId="0C572B89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Цифровая стратегия компании — это стратегия, которая позволяет компании использовать потенциал цифровых технологий во всех сферах своей деятельности и значительно повысить производительность. Цифровые зрелые компании [5] сосредотачиваются на интеграции технологий социальных сетей, мобильных технологий, аналитики больших данных и технологий облачных вычислений для трансформации бизнеса — стратегии, направленной на цифровую трансформацию бизнес-операций. Менее зрелые в цифровом отношении компании сосредотачиваются на решении конкретных проблем с помощью отдельных цифровых технологий — стратегия сосредоточения внимания на одной технологии. </w:t>
      </w:r>
    </w:p>
    <w:p w14:paraId="072DE81C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>Стратегии зрелых в цифровом отношении компаний ориентированы на совершенствование процессов принятия решений и инновации [110]. Как заявляют авторы отчета: «Организации по всему миру используют цифровые технологии для повышения операционной эффективности и повышения удовлетворенности клиентов, но организации с более высоким уровнем цифровой зрелости преуспевают в использовании цифровых технологий для преобразования своей деятельности, что позволяет им оставаться впереди конкурентов</w:t>
      </w:r>
    </w:p>
    <w:p w14:paraId="072E3CA3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Исследование также показало, что в компаниях, достигших уровня цифровой зрелости, принятие риска является нормой, которая помогает достичь конкурентного преимущества [2]. В таких компаниях важным фактором успеха в процессе цифровизации является человек (или команда) с высоким уровнем знаний не столько в области технологий, сколько способность сформулировать важность цифровых технологий для будущего компании. организация. Традиционное стратегическое управление (планирование), осуществляемое по схеме «цели — пути — средства — результаты», ограничивает гибкость, но усиливает ключевые компетенции компании. Сосредоточившись на так называемом проблемы («стратегические прыжки») часто сужают поле зрения, упуская из виду небольшие, но непрерывные, постепенные усовершенствования (улучшения) процессов на предприятии [6]. </w:t>
      </w:r>
    </w:p>
    <w:p w14:paraId="13D8F11D" w14:textId="77777777" w:rsidR="008A1720" w:rsidRPr="008A1720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 xml:space="preserve">Стратегическое управление, основанное на долгосрочном планировании, оказалось достаточным в условиях рынков с низкой степенью конкуренции и слабой динамикой изменений в экономике. Бурное научно-техническое развитие и поступательная глобализация, имевшие место во второй половине прошлого века, вызвали множество радикальных изменений на рынке и на предприятиях. Поэтому в современной быстро меняющейся экономике традиционного, статичного и долгосрочного стратегического управления уже недостаточно. Поэтому возникла потребность в новом, более динамичном подходе к стратегическому управлению, который был бы адекватен быстро меняющимся </w:t>
      </w:r>
      <w:r w:rsidRPr="008A1720">
        <w:rPr>
          <w:rFonts w:ascii="Times New Roman" w:hAnsi="Times New Roman" w:cs="Times New Roman"/>
        </w:rPr>
        <w:lastRenderedPageBreak/>
        <w:t>условиям ведения бизнеса. Этот новый подход ориентирован на управление будущим на основе управления изменениями, что позволяет быстро менять стратегию в ответ на изменения в среде компании. Благодаря возможности переориентации своей стратегии в любой момент предприятия избегают угрозы, которую представляет реализация устаревшей стратегии (стратегический дрейф).</w:t>
      </w:r>
    </w:p>
    <w:p w14:paraId="4CB66853" w14:textId="04A6AC59" w:rsidR="005F5AF9" w:rsidRDefault="008A1720" w:rsidP="008A172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A1720">
        <w:rPr>
          <w:rFonts w:ascii="Times New Roman" w:hAnsi="Times New Roman" w:cs="Times New Roman"/>
        </w:rPr>
        <w:t>Подводя итог проведенному исследованию, можно сделать вывод о том, что российские предприятия нуждаются в изменении подхода к стратегическому управлению с традиционного, основанного на индивидуальных стратегиях развития в конкретной области (поставка, продажа, производство, рынок и т. д.), на комплексный подход, ориентированный на видение интеллектуального предприятия, реализующего стратегия цифровизации бизнеса. Это требует большой приверженности как со стороны руководителей предприятий, так и их заинтересованных сторон, институтов бизнес-среды, а также местных и центральных органов власти. В связи с тем, что в четвертой промышленной революции впервые в истории экономического развития появилась возможность предсказывать ее ход (а не просто описывать ее постфактум), наука и сфера стратегического планирования и прогнозирования могут играть важную роль.</w:t>
      </w:r>
    </w:p>
    <w:p w14:paraId="18E93804" w14:textId="092E7866" w:rsidR="00EA4672" w:rsidRPr="002422EA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14:paraId="4616B4AA" w14:textId="77777777"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14:paraId="36E689E9" w14:textId="77777777" w:rsidR="008A1720" w:rsidRPr="008A1720" w:rsidRDefault="008A1720" w:rsidP="008A172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8A1720">
        <w:rPr>
          <w:rFonts w:ascii="Times New Roman" w:eastAsia="Calibri" w:hAnsi="Times New Roman" w:cs="Times New Roman"/>
        </w:rPr>
        <w:t>Григорян К.Д., Тарасова Н.Е. Стратегический менеджмент в условия цифровой экономики // Символ науки. 2020. №5. С.89-92.</w:t>
      </w:r>
    </w:p>
    <w:p w14:paraId="4545745B" w14:textId="77777777" w:rsidR="008A1720" w:rsidRPr="008A1720" w:rsidRDefault="008A1720" w:rsidP="008A172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8A1720">
        <w:rPr>
          <w:rFonts w:ascii="Times New Roman" w:eastAsia="Calibri" w:hAnsi="Times New Roman" w:cs="Times New Roman"/>
        </w:rPr>
        <w:t>Гримашевич О.Н. Стратегическое управление компаниями в условиях цифровой экономики // Вестник Саратовского государственного социально-экономического университета. 2018. №5 (74). С.9-11.</w:t>
      </w:r>
    </w:p>
    <w:p w14:paraId="148D9031" w14:textId="77777777" w:rsidR="008A1720" w:rsidRPr="008A1720" w:rsidRDefault="008A1720" w:rsidP="008A172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8A1720">
        <w:rPr>
          <w:rFonts w:ascii="Times New Roman" w:eastAsia="Calibri" w:hAnsi="Times New Roman" w:cs="Times New Roman"/>
        </w:rPr>
        <w:t>Левчаев П.А., Хезазна Б. Особенности стратегической деятельности корпораций в условиях цифровой экономики // Финансы и управление. 2021. №1. С.12-20.</w:t>
      </w:r>
    </w:p>
    <w:p w14:paraId="15E16612" w14:textId="77777777" w:rsidR="008A1720" w:rsidRPr="008A1720" w:rsidRDefault="008A1720" w:rsidP="008A172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8A1720">
        <w:rPr>
          <w:rFonts w:ascii="Times New Roman" w:eastAsia="Calibri" w:hAnsi="Times New Roman" w:cs="Times New Roman"/>
        </w:rPr>
        <w:t>Лубянская Э.Б., Анисимов Ю.П. Особенности системы стратегического управления инновационными проектами в условиях цифровой экономики // Организатор производства. 2019. №2. С.81-93.</w:t>
      </w:r>
    </w:p>
    <w:p w14:paraId="031571D9" w14:textId="77777777" w:rsidR="008A1720" w:rsidRPr="008A1720" w:rsidRDefault="008A1720" w:rsidP="008A172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8A1720">
        <w:rPr>
          <w:rFonts w:ascii="Times New Roman" w:eastAsia="Calibri" w:hAnsi="Times New Roman" w:cs="Times New Roman"/>
        </w:rPr>
        <w:t>Мрочковский Н.С. Стратегическое планирование перспектив развития моделей управления в цифровой экономике // Вестник РЭА им. Г. В. Плеханова. 2020. №4 (112). С.173-180.</w:t>
      </w:r>
    </w:p>
    <w:p w14:paraId="3B5EB996" w14:textId="68BD32E0" w:rsidR="00827E82" w:rsidRPr="002422EA" w:rsidRDefault="008A1720" w:rsidP="008A172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lang w:val="en-US"/>
        </w:rPr>
      </w:pPr>
      <w:r w:rsidRPr="008A1720">
        <w:rPr>
          <w:rFonts w:ascii="Times New Roman" w:eastAsia="Calibri" w:hAnsi="Times New Roman" w:cs="Times New Roman"/>
        </w:rPr>
        <w:t>Фридман М.Ф. Глобализация стратегического управления: кадровая политика цифровой экономики // Профессиональное образование и рынок труда. 2018. №2. С.29-36.</w:t>
      </w:r>
    </w:p>
    <w:p w14:paraId="3C027421" w14:textId="77777777" w:rsidR="00854770" w:rsidRPr="00827E82" w:rsidRDefault="00854770">
      <w:pPr>
        <w:rPr>
          <w:lang w:val="en-US"/>
        </w:rPr>
      </w:pPr>
    </w:p>
    <w:sectPr w:rsidR="00854770" w:rsidRPr="00827E82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1E307" w14:textId="77777777" w:rsidR="0026139B" w:rsidRDefault="0026139B" w:rsidP="00827E82">
      <w:pPr>
        <w:spacing w:after="0" w:line="240" w:lineRule="auto"/>
      </w:pPr>
      <w:r>
        <w:separator/>
      </w:r>
    </w:p>
  </w:endnote>
  <w:endnote w:type="continuationSeparator" w:id="0">
    <w:p w14:paraId="7E1AF86C" w14:textId="77777777" w:rsidR="0026139B" w:rsidRDefault="0026139B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78FCC" w14:textId="77777777" w:rsidR="0026139B" w:rsidRDefault="0026139B" w:rsidP="00827E82">
      <w:pPr>
        <w:spacing w:after="0" w:line="240" w:lineRule="auto"/>
      </w:pPr>
      <w:r>
        <w:separator/>
      </w:r>
    </w:p>
  </w:footnote>
  <w:footnote w:type="continuationSeparator" w:id="0">
    <w:p w14:paraId="08F094C3" w14:textId="77777777" w:rsidR="0026139B" w:rsidRDefault="0026139B" w:rsidP="00827E82">
      <w:pPr>
        <w:spacing w:after="0" w:line="240" w:lineRule="auto"/>
      </w:pPr>
      <w:r>
        <w:continuationSeparator/>
      </w:r>
    </w:p>
  </w:footnote>
  <w:footnote w:id="1">
    <w:p w14:paraId="20D698BD" w14:textId="16A54753"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="004C4D20">
        <w:rPr>
          <w:rFonts w:ascii="Times New Roman" w:hAnsi="Times New Roman" w:cs="Times New Roman"/>
          <w:sz w:val="20"/>
          <w:szCs w:val="20"/>
        </w:rPr>
        <w:t xml:space="preserve"> </w:t>
      </w:r>
      <w:r w:rsidR="00907672">
        <w:rPr>
          <w:rFonts w:ascii="Times New Roman" w:hAnsi="Times New Roman" w:cs="Times New Roman"/>
          <w:sz w:val="20"/>
          <w:szCs w:val="20"/>
        </w:rPr>
        <w:t>Вахитова Венера Венеровна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4C4D20">
        <w:rPr>
          <w:rFonts w:ascii="Times New Roman" w:hAnsi="Times New Roman" w:cs="Times New Roman"/>
          <w:sz w:val="20"/>
          <w:szCs w:val="20"/>
        </w:rPr>
        <w:t>студент 5 курса</w:t>
      </w:r>
      <w:r w:rsidR="008238F8">
        <w:rPr>
          <w:rFonts w:ascii="Times New Roman" w:hAnsi="Times New Roman" w:cs="Times New Roman"/>
          <w:sz w:val="20"/>
          <w:szCs w:val="20"/>
        </w:rPr>
        <w:t xml:space="preserve">, </w:t>
      </w:r>
      <w:r w:rsidR="004C4D20">
        <w:rPr>
          <w:rFonts w:ascii="Times New Roman" w:hAnsi="Times New Roman" w:cs="Times New Roman"/>
          <w:sz w:val="20"/>
          <w:szCs w:val="20"/>
        </w:rPr>
        <w:t>кафедр</w:t>
      </w:r>
      <w:r w:rsidR="008238F8">
        <w:rPr>
          <w:rFonts w:ascii="Times New Roman" w:hAnsi="Times New Roman" w:cs="Times New Roman"/>
          <w:sz w:val="20"/>
          <w:szCs w:val="20"/>
        </w:rPr>
        <w:t>а</w:t>
      </w:r>
      <w:r w:rsidR="004C4D20">
        <w:rPr>
          <w:rFonts w:ascii="Times New Roman" w:hAnsi="Times New Roman" w:cs="Times New Roman"/>
          <w:sz w:val="20"/>
          <w:szCs w:val="20"/>
        </w:rPr>
        <w:t xml:space="preserve"> управления проектами и маркетинга,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="00907672" w:rsidRPr="00907672">
        <w:rPr>
          <w:rFonts w:ascii="Times New Roman" w:hAnsi="Times New Roman" w:cs="Times New Roman"/>
          <w:color w:val="000000"/>
          <w:sz w:val="20"/>
          <w:szCs w:val="20"/>
        </w:rPr>
        <w:t>Башкирский государственный университет</w:t>
      </w:r>
      <w:r w:rsidRPr="00CA7DF7">
        <w:rPr>
          <w:rFonts w:ascii="Times New Roman" w:hAnsi="Times New Roman" w:cs="Times New Roman"/>
          <w:sz w:val="20"/>
          <w:szCs w:val="20"/>
        </w:rPr>
        <w:t xml:space="preserve"> (</w:t>
      </w:r>
      <w:r w:rsidR="00907672">
        <w:rPr>
          <w:rFonts w:ascii="Times New Roman" w:hAnsi="Times New Roman" w:cs="Times New Roman"/>
          <w:sz w:val="20"/>
          <w:szCs w:val="20"/>
        </w:rPr>
        <w:t>450076</w:t>
      </w:r>
      <w:r w:rsidRPr="00CA7DF7">
        <w:rPr>
          <w:rFonts w:ascii="Times New Roman" w:hAnsi="Times New Roman" w:cs="Times New Roman"/>
          <w:sz w:val="20"/>
          <w:szCs w:val="20"/>
        </w:rPr>
        <w:t>,</w:t>
      </w:r>
      <w:r w:rsidR="00907672">
        <w:rPr>
          <w:rFonts w:ascii="Times New Roman" w:hAnsi="Times New Roman" w:cs="Times New Roman"/>
          <w:sz w:val="20"/>
          <w:szCs w:val="20"/>
        </w:rPr>
        <w:t xml:space="preserve"> 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город</w:t>
      </w:r>
      <w:r w:rsidR="00907672">
        <w:rPr>
          <w:rFonts w:ascii="Times New Roman" w:hAnsi="Times New Roman" w:cs="Times New Roman"/>
          <w:sz w:val="20"/>
          <w:szCs w:val="20"/>
        </w:rPr>
        <w:t xml:space="preserve"> Уфа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907672">
        <w:rPr>
          <w:rFonts w:ascii="Times New Roman" w:hAnsi="Times New Roman" w:cs="Times New Roman"/>
          <w:sz w:val="20"/>
          <w:szCs w:val="20"/>
        </w:rPr>
        <w:t>Заки Валиди</w:t>
      </w:r>
      <w:r w:rsidRPr="00CA7DF7">
        <w:rPr>
          <w:rFonts w:ascii="Times New Roman" w:hAnsi="Times New Roman" w:cs="Times New Roman"/>
          <w:sz w:val="20"/>
          <w:szCs w:val="20"/>
        </w:rPr>
        <w:t>, д.</w:t>
      </w:r>
      <w:r w:rsidR="00907672">
        <w:rPr>
          <w:rFonts w:ascii="Times New Roman" w:hAnsi="Times New Roman" w:cs="Times New Roman"/>
          <w:sz w:val="20"/>
          <w:szCs w:val="20"/>
        </w:rPr>
        <w:t>32</w:t>
      </w:r>
      <w:r w:rsidRPr="00CA7DF7">
        <w:rPr>
          <w:rFonts w:ascii="Times New Roman" w:hAnsi="Times New Roman" w:cs="Times New Roman"/>
          <w:sz w:val="20"/>
          <w:szCs w:val="20"/>
        </w:rPr>
        <w:t xml:space="preserve">; </w:t>
      </w:r>
      <w:r w:rsidR="00907672" w:rsidRPr="00907672">
        <w:rPr>
          <w:rFonts w:ascii="Times New Roman" w:hAnsi="Times New Roman" w:cs="Times New Roman"/>
          <w:color w:val="000000"/>
          <w:sz w:val="20"/>
          <w:szCs w:val="20"/>
        </w:rPr>
        <w:br/>
      </w:r>
      <w:r w:rsidRPr="00CA7DF7">
        <w:rPr>
          <w:rFonts w:ascii="Times New Roman" w:hAnsi="Times New Roman" w:cs="Times New Roman"/>
          <w:sz w:val="20"/>
          <w:szCs w:val="20"/>
        </w:rPr>
        <w:t>E-mail:</w:t>
      </w:r>
      <w:r w:rsidR="00907672">
        <w:rPr>
          <w:rFonts w:ascii="Times New Roman" w:hAnsi="Times New Roman" w:cs="Times New Roman"/>
          <w:sz w:val="20"/>
          <w:szCs w:val="20"/>
        </w:rPr>
        <w:t xml:space="preserve"> </w:t>
      </w:r>
      <w:r w:rsidR="00907672">
        <w:rPr>
          <w:rFonts w:ascii="Times New Roman" w:hAnsi="Times New Roman" w:cs="Times New Roman"/>
          <w:sz w:val="20"/>
          <w:szCs w:val="20"/>
          <w:lang w:val="en-US"/>
        </w:rPr>
        <w:t>v</w:t>
      </w:r>
      <w:r w:rsidR="00907672" w:rsidRPr="00907672">
        <w:rPr>
          <w:rFonts w:ascii="Times New Roman" w:hAnsi="Times New Roman" w:cs="Times New Roman"/>
          <w:sz w:val="20"/>
          <w:szCs w:val="20"/>
        </w:rPr>
        <w:t>.</w:t>
      </w:r>
      <w:r w:rsidR="00907672">
        <w:rPr>
          <w:rFonts w:ascii="Times New Roman" w:hAnsi="Times New Roman" w:cs="Times New Roman"/>
          <w:sz w:val="20"/>
          <w:szCs w:val="20"/>
          <w:lang w:val="en-US"/>
        </w:rPr>
        <w:t>v</w:t>
      </w:r>
      <w:r w:rsidR="00907672" w:rsidRPr="00907672">
        <w:rPr>
          <w:rFonts w:ascii="Times New Roman" w:hAnsi="Times New Roman" w:cs="Times New Roman"/>
          <w:sz w:val="20"/>
          <w:szCs w:val="20"/>
        </w:rPr>
        <w:t>.</w:t>
      </w:r>
      <w:r w:rsidR="00907672">
        <w:rPr>
          <w:rFonts w:ascii="Times New Roman" w:hAnsi="Times New Roman" w:cs="Times New Roman"/>
          <w:sz w:val="20"/>
          <w:szCs w:val="20"/>
          <w:lang w:val="en-US"/>
        </w:rPr>
        <w:t>ufa</w:t>
      </w:r>
      <w:r w:rsidR="00907672" w:rsidRPr="00907672">
        <w:rPr>
          <w:rFonts w:ascii="Times New Roman" w:hAnsi="Times New Roman" w:cs="Times New Roman"/>
          <w:sz w:val="20"/>
          <w:szCs w:val="20"/>
        </w:rPr>
        <w:t>@</w:t>
      </w:r>
      <w:r w:rsidR="00907672"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="00907672" w:rsidRPr="00907672">
        <w:rPr>
          <w:rFonts w:ascii="Times New Roman" w:hAnsi="Times New Roman" w:cs="Times New Roman"/>
          <w:sz w:val="20"/>
          <w:szCs w:val="20"/>
        </w:rPr>
        <w:t>.</w:t>
      </w:r>
      <w:r w:rsidR="00907672">
        <w:rPr>
          <w:rFonts w:ascii="Times New Roman" w:hAnsi="Times New Roman" w:cs="Times New Roman"/>
          <w:sz w:val="20"/>
          <w:szCs w:val="20"/>
          <w:lang w:val="en-US"/>
        </w:rPr>
        <w:t>ru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48821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93BEC"/>
    <w:rsid w:val="00137BD1"/>
    <w:rsid w:val="0026139B"/>
    <w:rsid w:val="002B34FF"/>
    <w:rsid w:val="00312D70"/>
    <w:rsid w:val="0044325D"/>
    <w:rsid w:val="004C4D20"/>
    <w:rsid w:val="005F5AF9"/>
    <w:rsid w:val="006C4BFA"/>
    <w:rsid w:val="006E687B"/>
    <w:rsid w:val="00787640"/>
    <w:rsid w:val="007D79E0"/>
    <w:rsid w:val="008238F8"/>
    <w:rsid w:val="00827E82"/>
    <w:rsid w:val="00854770"/>
    <w:rsid w:val="008A1720"/>
    <w:rsid w:val="00907672"/>
    <w:rsid w:val="00916BF7"/>
    <w:rsid w:val="00934653"/>
    <w:rsid w:val="00AF1F71"/>
    <w:rsid w:val="00BC155A"/>
    <w:rsid w:val="00EA4672"/>
    <w:rsid w:val="00F40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6CB9B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2241</Words>
  <Characters>12776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a.s.ufa@mail.ru</cp:lastModifiedBy>
  <cp:revision>4</cp:revision>
  <dcterms:created xsi:type="dcterms:W3CDTF">2022-05-09T03:49:00Z</dcterms:created>
  <dcterms:modified xsi:type="dcterms:W3CDTF">2022-05-09T06:19:00Z</dcterms:modified>
</cp:coreProperties>
</file>