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9E1" w:rsidRPr="002225D2" w:rsidRDefault="002E19E1" w:rsidP="002E19E1">
      <w:pPr>
        <w:pStyle w:val="3"/>
        <w:spacing w:before="90"/>
        <w:ind w:left="118"/>
        <w:rPr>
          <w:rFonts w:ascii="Times New Roman" w:hAnsi="Times New Roman"/>
          <w:color w:val="auto"/>
          <w:sz w:val="24"/>
          <w:szCs w:val="24"/>
        </w:rPr>
      </w:pPr>
      <w:bookmarkStart w:id="0" w:name="_Toc76714064"/>
      <w:bookmarkStart w:id="1" w:name="_GoBack"/>
      <w:r w:rsidRPr="002225D2">
        <w:rPr>
          <w:rFonts w:ascii="Times New Roman" w:hAnsi="Times New Roman"/>
          <w:color w:val="auto"/>
          <w:sz w:val="24"/>
          <w:szCs w:val="24"/>
        </w:rPr>
        <w:t>УДК</w:t>
      </w:r>
      <w:r w:rsidRPr="002225D2">
        <w:rPr>
          <w:rFonts w:ascii="Times New Roman" w:hAnsi="Times New Roman"/>
          <w:color w:val="auto"/>
          <w:spacing w:val="-8"/>
          <w:sz w:val="24"/>
          <w:szCs w:val="24"/>
        </w:rPr>
        <w:t xml:space="preserve"> </w:t>
      </w:r>
      <w:r w:rsidRPr="002225D2">
        <w:rPr>
          <w:rFonts w:ascii="Times New Roman" w:hAnsi="Times New Roman"/>
          <w:color w:val="auto"/>
          <w:sz w:val="24"/>
          <w:szCs w:val="24"/>
        </w:rPr>
        <w:t>339.56/ББК</w:t>
      </w:r>
      <w:r w:rsidRPr="002225D2">
        <w:rPr>
          <w:rFonts w:ascii="Times New Roman" w:hAnsi="Times New Roman"/>
          <w:color w:val="auto"/>
          <w:spacing w:val="-7"/>
          <w:sz w:val="24"/>
          <w:szCs w:val="24"/>
        </w:rPr>
        <w:t xml:space="preserve"> </w:t>
      </w:r>
      <w:r w:rsidRPr="002225D2">
        <w:rPr>
          <w:rFonts w:ascii="Times New Roman" w:hAnsi="Times New Roman"/>
          <w:color w:val="auto"/>
          <w:sz w:val="24"/>
          <w:szCs w:val="24"/>
        </w:rPr>
        <w:t>65.42</w:t>
      </w:r>
    </w:p>
    <w:p w:rsidR="002E19E1" w:rsidRPr="002225D2" w:rsidRDefault="002E19E1" w:rsidP="0039689C">
      <w:pPr>
        <w:pStyle w:val="12"/>
        <w:outlineLvl w:val="9"/>
        <w:rPr>
          <w:szCs w:val="24"/>
          <w:lang w:eastAsia="ru-RU"/>
        </w:rPr>
      </w:pPr>
    </w:p>
    <w:p w:rsidR="00827E82" w:rsidRPr="002225D2" w:rsidRDefault="00310418" w:rsidP="00827E82">
      <w:pPr>
        <w:pStyle w:val="12"/>
        <w:rPr>
          <w:rFonts w:asciiTheme="majorHAnsi" w:hAnsiTheme="majorHAnsi" w:cstheme="majorBidi"/>
          <w:caps/>
          <w:szCs w:val="24"/>
        </w:rPr>
      </w:pPr>
      <w:r w:rsidRPr="002225D2">
        <w:rPr>
          <w:szCs w:val="24"/>
          <w:lang w:eastAsia="ru-RU"/>
        </w:rPr>
        <w:t>Разбейко Н.В</w:t>
      </w:r>
      <w:r w:rsidR="00827E82" w:rsidRPr="002225D2">
        <w:rPr>
          <w:szCs w:val="24"/>
          <w:lang w:eastAsia="ru-RU"/>
        </w:rPr>
        <w:t>.</w:t>
      </w:r>
      <w:bookmarkEnd w:id="0"/>
    </w:p>
    <w:p w:rsidR="00417D04" w:rsidRPr="002225D2" w:rsidRDefault="00417D04" w:rsidP="00417D04">
      <w:pPr>
        <w:spacing w:after="0" w:line="360" w:lineRule="auto"/>
        <w:jc w:val="right"/>
        <w:rPr>
          <w:rFonts w:ascii="Times New Roman" w:hAnsi="Times New Roman"/>
          <w:b/>
          <w:sz w:val="24"/>
          <w:szCs w:val="24"/>
          <w:highlight w:val="yellow"/>
        </w:rPr>
      </w:pPr>
    </w:p>
    <w:p w:rsidR="00417D04" w:rsidRPr="002225D2" w:rsidRDefault="00A3207F" w:rsidP="00A3207F">
      <w:pPr>
        <w:pStyle w:val="123"/>
        <w:spacing w:line="240" w:lineRule="auto"/>
        <w:rPr>
          <w:rFonts w:eastAsia="Times New Roman"/>
          <w:color w:val="auto"/>
          <w:szCs w:val="24"/>
        </w:rPr>
      </w:pPr>
      <w:r w:rsidRPr="002225D2">
        <w:rPr>
          <w:color w:val="auto"/>
          <w:szCs w:val="24"/>
        </w:rPr>
        <w:t>АНАЛИЗ ДЕЯТЕЛЬНОСТИ ТАМОЖЕННЫХ ПЕРЕВОЗЧИКОВ В ЕВРАЗИЙСКОМ ЭКОНОМИЧЕСКОМ СОЮЗЕ</w:t>
      </w:r>
      <w:r w:rsidRPr="002225D2">
        <w:rPr>
          <w:rFonts w:eastAsia="Times New Roman"/>
          <w:color w:val="auto"/>
          <w:szCs w:val="24"/>
        </w:rPr>
        <w:t xml:space="preserve"> </w:t>
      </w:r>
    </w:p>
    <w:p w:rsidR="00827E82" w:rsidRPr="002225D2" w:rsidRDefault="00827E82" w:rsidP="00827E82">
      <w:pPr>
        <w:spacing w:after="0" w:line="240" w:lineRule="auto"/>
        <w:ind w:firstLine="425"/>
        <w:jc w:val="center"/>
        <w:rPr>
          <w:rFonts w:ascii="Times New Roman" w:hAnsi="Times New Roman"/>
          <w:b/>
          <w:sz w:val="24"/>
          <w:szCs w:val="24"/>
        </w:rPr>
      </w:pPr>
    </w:p>
    <w:p w:rsidR="00827E82" w:rsidRPr="008B0088" w:rsidRDefault="00827E82" w:rsidP="000307EE">
      <w:pPr>
        <w:spacing w:after="0" w:line="247" w:lineRule="auto"/>
        <w:ind w:firstLine="709"/>
        <w:jc w:val="both"/>
        <w:rPr>
          <w:rFonts w:ascii="Times New Roman" w:hAnsi="Times New Roman" w:cs="Times New Roman"/>
          <w:i/>
          <w:sz w:val="24"/>
          <w:szCs w:val="24"/>
        </w:rPr>
      </w:pPr>
      <w:r w:rsidRPr="002225D2">
        <w:rPr>
          <w:rFonts w:ascii="Times New Roman" w:hAnsi="Times New Roman" w:cs="Times New Roman"/>
          <w:b/>
          <w:i/>
          <w:sz w:val="24"/>
          <w:szCs w:val="24"/>
        </w:rPr>
        <w:t>Аннотация:</w:t>
      </w:r>
      <w:r w:rsidRPr="002225D2">
        <w:rPr>
          <w:rFonts w:ascii="Times New Roman" w:hAnsi="Times New Roman" w:cs="Times New Roman"/>
          <w:i/>
          <w:sz w:val="24"/>
          <w:szCs w:val="24"/>
        </w:rPr>
        <w:t xml:space="preserve"> </w:t>
      </w:r>
      <w:r w:rsidR="000307EE" w:rsidRPr="000307EE">
        <w:rPr>
          <w:rFonts w:ascii="Times New Roman" w:hAnsi="Times New Roman" w:cs="Times New Roman"/>
          <w:i/>
          <w:sz w:val="24"/>
          <w:szCs w:val="24"/>
        </w:rPr>
        <w:t xml:space="preserve">Выявлена актуальность использования </w:t>
      </w:r>
      <w:r w:rsidR="000307EE" w:rsidRPr="000307EE">
        <w:rPr>
          <w:rFonts w:ascii="Times New Roman" w:hAnsi="Times New Roman" w:cs="Times New Roman"/>
          <w:bCs/>
          <w:i/>
          <w:sz w:val="24"/>
          <w:szCs w:val="24"/>
        </w:rPr>
        <w:t>в ЕАЭС</w:t>
      </w:r>
      <w:r w:rsidR="000307EE" w:rsidRPr="000307EE">
        <w:rPr>
          <w:rFonts w:ascii="Times New Roman" w:hAnsi="Times New Roman" w:cs="Times New Roman"/>
          <w:i/>
          <w:sz w:val="24"/>
          <w:szCs w:val="24"/>
        </w:rPr>
        <w:t xml:space="preserve"> международных цифровых систем верификации и сертификации происхождения товаров; применение при совершении таможенных операций цифровых электронных документов.</w:t>
      </w:r>
      <w:r w:rsidR="000307EE" w:rsidRPr="000307EE">
        <w:rPr>
          <w:sz w:val="24"/>
          <w:szCs w:val="24"/>
        </w:rPr>
        <w:t xml:space="preserve"> </w:t>
      </w:r>
      <w:r w:rsidR="00C45C94" w:rsidRPr="002225D2">
        <w:rPr>
          <w:rFonts w:ascii="Times New Roman" w:hAnsi="Times New Roman" w:cs="Times New Roman"/>
          <w:i/>
          <w:sz w:val="24"/>
          <w:szCs w:val="24"/>
        </w:rPr>
        <w:t>На основании изучения</w:t>
      </w:r>
      <w:r w:rsidR="00E07768" w:rsidRPr="002225D2">
        <w:rPr>
          <w:rFonts w:ascii="Times New Roman" w:hAnsi="Times New Roman" w:cs="Times New Roman"/>
          <w:i/>
          <w:sz w:val="24"/>
          <w:szCs w:val="24"/>
        </w:rPr>
        <w:t xml:space="preserve"> </w:t>
      </w:r>
      <w:r w:rsidR="00C45C94" w:rsidRPr="002225D2">
        <w:rPr>
          <w:rFonts w:ascii="Times New Roman" w:hAnsi="Times New Roman" w:cs="Times New Roman"/>
          <w:bCs/>
          <w:i/>
          <w:sz w:val="24"/>
          <w:szCs w:val="24"/>
        </w:rPr>
        <w:t xml:space="preserve">динамики объема перевозок товаров в ЕАЭС, </w:t>
      </w:r>
      <w:r w:rsidR="00C45C94" w:rsidRPr="002225D2">
        <w:rPr>
          <w:rFonts w:ascii="Times New Roman" w:hAnsi="Times New Roman" w:cs="Times New Roman"/>
          <w:i/>
          <w:sz w:val="24"/>
          <w:szCs w:val="24"/>
        </w:rPr>
        <w:t xml:space="preserve">противоречивых данных о количестве таможенных перевозчиков </w:t>
      </w:r>
      <w:r w:rsidR="00C45C94" w:rsidRPr="002225D2">
        <w:rPr>
          <w:rFonts w:ascii="Times New Roman" w:hAnsi="Times New Roman"/>
          <w:i/>
          <w:sz w:val="24"/>
          <w:szCs w:val="24"/>
        </w:rPr>
        <w:t>в ЕАЭС</w:t>
      </w:r>
      <w:r w:rsidR="00C45C94" w:rsidRPr="008B0088">
        <w:rPr>
          <w:rFonts w:ascii="Times New Roman" w:hAnsi="Times New Roman"/>
          <w:i/>
          <w:sz w:val="24"/>
          <w:szCs w:val="24"/>
        </w:rPr>
        <w:t>,</w:t>
      </w:r>
      <w:r w:rsidR="00C45C94" w:rsidRPr="002225D2">
        <w:rPr>
          <w:rFonts w:ascii="Times New Roman" w:hAnsi="Times New Roman"/>
          <w:i/>
          <w:sz w:val="24"/>
          <w:szCs w:val="24"/>
        </w:rPr>
        <w:t xml:space="preserve"> </w:t>
      </w:r>
      <w:r w:rsidR="00C45C94" w:rsidRPr="002225D2">
        <w:rPr>
          <w:rFonts w:ascii="Times New Roman" w:hAnsi="Times New Roman" w:cs="Times New Roman"/>
          <w:bCs/>
          <w:i/>
          <w:sz w:val="24"/>
          <w:szCs w:val="24"/>
        </w:rPr>
        <w:t xml:space="preserve">предложены уточнения по ведению учета перевозчиков с целью </w:t>
      </w:r>
      <w:r w:rsidR="0038300F" w:rsidRPr="002225D2">
        <w:rPr>
          <w:rFonts w:ascii="Times New Roman" w:hAnsi="Times New Roman" w:cs="Times New Roman"/>
          <w:bCs/>
          <w:i/>
          <w:sz w:val="24"/>
          <w:szCs w:val="24"/>
        </w:rPr>
        <w:t>повышения комфортности пользования реестром для конечных потребителей.</w:t>
      </w:r>
    </w:p>
    <w:p w:rsidR="00827E82" w:rsidRPr="002225D2" w:rsidRDefault="00827E82" w:rsidP="008C25AA">
      <w:pPr>
        <w:spacing w:after="0" w:line="247" w:lineRule="auto"/>
        <w:ind w:firstLine="709"/>
        <w:jc w:val="both"/>
        <w:rPr>
          <w:rFonts w:ascii="Times New Roman" w:hAnsi="Times New Roman" w:cs="Times New Roman"/>
          <w:i/>
          <w:sz w:val="24"/>
          <w:szCs w:val="24"/>
        </w:rPr>
      </w:pPr>
      <w:r w:rsidRPr="002225D2">
        <w:rPr>
          <w:rFonts w:ascii="Times New Roman" w:hAnsi="Times New Roman" w:cs="Times New Roman"/>
          <w:b/>
          <w:i/>
          <w:sz w:val="24"/>
          <w:szCs w:val="24"/>
        </w:rPr>
        <w:t>Ключевые слова:</w:t>
      </w:r>
      <w:r w:rsidRPr="002225D2">
        <w:rPr>
          <w:rFonts w:ascii="Times New Roman" w:hAnsi="Times New Roman" w:cs="Times New Roman"/>
          <w:i/>
          <w:sz w:val="24"/>
          <w:szCs w:val="24"/>
        </w:rPr>
        <w:t xml:space="preserve"> </w:t>
      </w:r>
      <w:r w:rsidR="004218D1" w:rsidRPr="002225D2">
        <w:rPr>
          <w:rFonts w:ascii="Times New Roman" w:hAnsi="Times New Roman" w:cs="Times New Roman"/>
          <w:i/>
          <w:sz w:val="24"/>
          <w:szCs w:val="24"/>
        </w:rPr>
        <w:t xml:space="preserve">таможенные перевозчики, реестр,  </w:t>
      </w:r>
      <w:r w:rsidR="004218D1" w:rsidRPr="002225D2">
        <w:rPr>
          <w:rFonts w:ascii="Times New Roman" w:hAnsi="Times New Roman"/>
          <w:i/>
          <w:sz w:val="24"/>
          <w:szCs w:val="24"/>
        </w:rPr>
        <w:t>ЕАЭС, Таможенный кодекс</w:t>
      </w:r>
      <w:r w:rsidRPr="002225D2">
        <w:rPr>
          <w:rFonts w:ascii="Times New Roman" w:hAnsi="Times New Roman" w:cs="Times New Roman"/>
          <w:i/>
          <w:sz w:val="24"/>
          <w:szCs w:val="24"/>
        </w:rPr>
        <w:t>.</w:t>
      </w:r>
    </w:p>
    <w:p w:rsidR="001B71C5" w:rsidRPr="002225D2" w:rsidRDefault="001B71C5" w:rsidP="008C25AA">
      <w:pPr>
        <w:shd w:val="clear" w:color="auto" w:fill="FFFFFF"/>
        <w:spacing w:after="0" w:line="252" w:lineRule="auto"/>
        <w:ind w:firstLine="709"/>
        <w:jc w:val="both"/>
        <w:rPr>
          <w:rFonts w:ascii="Times New Roman" w:hAnsi="Times New Roman"/>
          <w:sz w:val="24"/>
          <w:szCs w:val="24"/>
        </w:rPr>
      </w:pPr>
    </w:p>
    <w:p w:rsidR="00FC1058" w:rsidRPr="002225D2" w:rsidRDefault="00FC1058" w:rsidP="008C25AA">
      <w:pPr>
        <w:shd w:val="clear" w:color="auto" w:fill="FFFFFF"/>
        <w:spacing w:after="0" w:line="252" w:lineRule="auto"/>
        <w:ind w:firstLine="709"/>
        <w:jc w:val="both"/>
        <w:rPr>
          <w:rFonts w:ascii="Times New Roman" w:hAnsi="Times New Roman"/>
          <w:sz w:val="24"/>
          <w:szCs w:val="24"/>
        </w:rPr>
      </w:pPr>
      <w:r w:rsidRPr="002225D2">
        <w:rPr>
          <w:rFonts w:ascii="Times New Roman" w:hAnsi="Times New Roman"/>
          <w:sz w:val="24"/>
          <w:szCs w:val="24"/>
        </w:rPr>
        <w:t>В статье 32 Договоре о Евразийском экономическом союзе указано, что в ЕАЭС осуществляется единое таможенное регулирование.</w:t>
      </w:r>
      <w:r w:rsidR="00AF071B" w:rsidRPr="002225D2">
        <w:rPr>
          <w:rFonts w:ascii="Times New Roman" w:hAnsi="Times New Roman"/>
          <w:sz w:val="24"/>
          <w:szCs w:val="24"/>
        </w:rPr>
        <w:t xml:space="preserve"> </w:t>
      </w:r>
      <w:r w:rsidRPr="002225D2">
        <w:rPr>
          <w:rFonts w:ascii="Times New Roman" w:hAnsi="Times New Roman"/>
          <w:sz w:val="24"/>
          <w:szCs w:val="24"/>
        </w:rPr>
        <w:t>11 апреля 2017 года подписан Договор о Таможенном кодексе Евразийского экономического союза (ТК ЕАЭС).</w:t>
      </w:r>
      <w:r w:rsidR="004E62F7" w:rsidRPr="002225D2">
        <w:rPr>
          <w:rFonts w:ascii="Times New Roman" w:hAnsi="Times New Roman"/>
          <w:sz w:val="24"/>
          <w:szCs w:val="24"/>
        </w:rPr>
        <w:t xml:space="preserve"> </w:t>
      </w:r>
      <w:r w:rsidRPr="002225D2">
        <w:rPr>
          <w:rFonts w:ascii="Times New Roman" w:hAnsi="Times New Roman"/>
          <w:sz w:val="24"/>
          <w:szCs w:val="24"/>
        </w:rPr>
        <w:t>Некоторые вопросы по регулированию таможенных правоотношений отнесены к компетенции Евразийской экономической Комиссии (</w:t>
      </w:r>
      <w:r w:rsidRPr="002225D2">
        <w:rPr>
          <w:rFonts w:ascii="Times New Roman" w:hAnsi="Times New Roman"/>
          <w:sz w:val="24"/>
          <w:szCs w:val="24"/>
          <w:shd w:val="clear" w:color="auto" w:fill="FFFFFF"/>
        </w:rPr>
        <w:t>ЕЭК</w:t>
      </w:r>
      <w:r w:rsidRPr="002225D2">
        <w:rPr>
          <w:rFonts w:ascii="Times New Roman" w:hAnsi="Times New Roman"/>
          <w:sz w:val="24"/>
          <w:szCs w:val="24"/>
        </w:rPr>
        <w:t xml:space="preserve">) и </w:t>
      </w:r>
      <w:proofErr w:type="gramStart"/>
      <w:r w:rsidRPr="002225D2">
        <w:rPr>
          <w:rFonts w:ascii="Times New Roman" w:hAnsi="Times New Roman"/>
          <w:sz w:val="24"/>
          <w:szCs w:val="24"/>
        </w:rPr>
        <w:t>реализован</w:t>
      </w:r>
      <w:proofErr w:type="gramEnd"/>
      <w:r w:rsidR="004E62F7" w:rsidRPr="002225D2">
        <w:rPr>
          <w:rFonts w:ascii="Times New Roman" w:hAnsi="Times New Roman"/>
          <w:sz w:val="24"/>
          <w:szCs w:val="24"/>
        </w:rPr>
        <w:t xml:space="preserve"> ею в решениях.</w:t>
      </w:r>
    </w:p>
    <w:p w:rsidR="00FC1058" w:rsidRPr="002225D2" w:rsidRDefault="00FC1058" w:rsidP="008C25AA">
      <w:pPr>
        <w:spacing w:after="0" w:line="252" w:lineRule="auto"/>
        <w:ind w:firstLine="709"/>
        <w:jc w:val="both"/>
        <w:rPr>
          <w:rFonts w:ascii="Times New Roman" w:hAnsi="Times New Roman"/>
          <w:sz w:val="24"/>
          <w:szCs w:val="24"/>
          <w:shd w:val="clear" w:color="auto" w:fill="FFFFFF"/>
        </w:rPr>
      </w:pPr>
      <w:r w:rsidRPr="002225D2">
        <w:rPr>
          <w:rFonts w:ascii="Times New Roman" w:hAnsi="Times New Roman"/>
          <w:sz w:val="24"/>
          <w:szCs w:val="24"/>
          <w:shd w:val="clear" w:color="auto" w:fill="FFFFFF"/>
        </w:rPr>
        <w:t>На основании ст. 406 ТК ЕАЭС</w:t>
      </w:r>
      <w:r w:rsidR="00C45C94" w:rsidRPr="008B0088">
        <w:rPr>
          <w:rFonts w:ascii="Times New Roman" w:hAnsi="Times New Roman"/>
          <w:sz w:val="24"/>
          <w:szCs w:val="24"/>
          <w:shd w:val="clear" w:color="auto" w:fill="FFFFFF"/>
        </w:rPr>
        <w:t>[3]</w:t>
      </w:r>
      <w:r w:rsidRPr="002225D2">
        <w:rPr>
          <w:rFonts w:ascii="Times New Roman" w:hAnsi="Times New Roman"/>
          <w:sz w:val="24"/>
          <w:szCs w:val="24"/>
          <w:shd w:val="clear" w:color="auto" w:fill="FFFFFF"/>
        </w:rPr>
        <w:t xml:space="preserve"> таможенный перевозчик осуществляет перевозку (транспортировку) по таможенной территории Союза товаров, находящихся под таможенным контролем.</w:t>
      </w:r>
    </w:p>
    <w:p w:rsidR="00FC1058" w:rsidRPr="002225D2" w:rsidRDefault="00FC1058" w:rsidP="008C25AA">
      <w:pPr>
        <w:spacing w:after="0" w:line="252" w:lineRule="auto"/>
        <w:ind w:firstLine="709"/>
        <w:jc w:val="both"/>
        <w:rPr>
          <w:rFonts w:ascii="Times New Roman" w:hAnsi="Times New Roman"/>
          <w:sz w:val="24"/>
          <w:szCs w:val="24"/>
          <w:shd w:val="clear" w:color="auto" w:fill="FFFFFF"/>
        </w:rPr>
      </w:pPr>
      <w:r w:rsidRPr="002225D2">
        <w:rPr>
          <w:rFonts w:ascii="Times New Roman" w:hAnsi="Times New Roman"/>
          <w:sz w:val="24"/>
          <w:szCs w:val="24"/>
          <w:shd w:val="clear" w:color="auto" w:fill="FFFFFF"/>
        </w:rPr>
        <w:t xml:space="preserve">Таможенный перевозчик может обладать таким статусом только после включения его в Общий реестр таможенных перевозчиков и выдачи таможенным органом перевозчику подтверждающего документа. </w:t>
      </w:r>
      <w:r w:rsidR="004E62F7" w:rsidRPr="002225D2">
        <w:rPr>
          <w:rFonts w:ascii="Times New Roman" w:hAnsi="Times New Roman"/>
          <w:sz w:val="24"/>
          <w:szCs w:val="24"/>
          <w:shd w:val="clear" w:color="auto" w:fill="FFFFFF"/>
        </w:rPr>
        <w:t xml:space="preserve">Таким образом, </w:t>
      </w:r>
      <w:r w:rsidRPr="002225D2">
        <w:rPr>
          <w:rFonts w:ascii="Times New Roman" w:hAnsi="Times New Roman"/>
          <w:sz w:val="24"/>
          <w:szCs w:val="24"/>
          <w:shd w:val="clear" w:color="auto" w:fill="FFFFFF"/>
        </w:rPr>
        <w:t>таможенный перевозчик отличается от обычного перевозчика специальным статусом, подтвержденным сведениями из реестра.</w:t>
      </w:r>
    </w:p>
    <w:p w:rsidR="00FC1058" w:rsidRPr="002225D2" w:rsidRDefault="00FC1058" w:rsidP="008C25AA">
      <w:pPr>
        <w:spacing w:after="0" w:line="252" w:lineRule="auto"/>
        <w:ind w:firstLine="709"/>
        <w:jc w:val="both"/>
        <w:rPr>
          <w:rFonts w:ascii="Times New Roman" w:hAnsi="Times New Roman"/>
          <w:sz w:val="24"/>
          <w:szCs w:val="24"/>
          <w:shd w:val="clear" w:color="auto" w:fill="FFFFFF"/>
        </w:rPr>
      </w:pPr>
      <w:r w:rsidRPr="002225D2">
        <w:rPr>
          <w:rFonts w:ascii="Times New Roman" w:hAnsi="Times New Roman"/>
          <w:sz w:val="24"/>
          <w:szCs w:val="24"/>
          <w:shd w:val="clear" w:color="auto" w:fill="FFFFFF"/>
        </w:rPr>
        <w:t>Формирование общего реестра таможенных перевозчиков происходит на основании сведений из национальных реестров, полученных от уполномоченных органов государств-членов.</w:t>
      </w:r>
    </w:p>
    <w:p w:rsidR="00FC1058" w:rsidRPr="002225D2" w:rsidRDefault="00E07768" w:rsidP="008C25AA">
      <w:pPr>
        <w:spacing w:after="0" w:line="252" w:lineRule="auto"/>
        <w:ind w:firstLine="709"/>
        <w:jc w:val="both"/>
        <w:rPr>
          <w:rFonts w:ascii="Times New Roman" w:hAnsi="Times New Roman"/>
          <w:sz w:val="24"/>
          <w:szCs w:val="24"/>
          <w:shd w:val="clear" w:color="auto" w:fill="FFFFFF"/>
        </w:rPr>
      </w:pPr>
      <w:r w:rsidRPr="002225D2">
        <w:rPr>
          <w:rFonts w:ascii="Times New Roman" w:hAnsi="Times New Roman"/>
          <w:sz w:val="24"/>
          <w:szCs w:val="24"/>
          <w:shd w:val="clear" w:color="auto" w:fill="FFFFFF"/>
        </w:rPr>
        <w:t>Количество перевозчиков</w:t>
      </w:r>
      <w:r w:rsidR="00FC1058" w:rsidRPr="002225D2">
        <w:rPr>
          <w:rFonts w:ascii="Times New Roman" w:hAnsi="Times New Roman"/>
          <w:sz w:val="24"/>
          <w:szCs w:val="24"/>
        </w:rPr>
        <w:t xml:space="preserve"> представлено по странам ЕАЭС на рис.1.</w:t>
      </w:r>
    </w:p>
    <w:p w:rsidR="00FC1058" w:rsidRPr="002225D2" w:rsidRDefault="00FC1058" w:rsidP="00886E29">
      <w:pPr>
        <w:spacing w:after="0" w:line="252" w:lineRule="auto"/>
        <w:ind w:firstLine="426"/>
        <w:jc w:val="both"/>
        <w:rPr>
          <w:rFonts w:ascii="Times New Roman" w:hAnsi="Times New Roman"/>
          <w:sz w:val="24"/>
          <w:szCs w:val="24"/>
        </w:rPr>
      </w:pPr>
    </w:p>
    <w:p w:rsidR="00FC1058" w:rsidRPr="002225D2" w:rsidRDefault="00FC1058" w:rsidP="00847321">
      <w:pPr>
        <w:spacing w:after="0" w:line="252" w:lineRule="auto"/>
        <w:jc w:val="center"/>
        <w:rPr>
          <w:rFonts w:ascii="Times New Roman" w:hAnsi="Times New Roman"/>
          <w:sz w:val="24"/>
          <w:szCs w:val="24"/>
        </w:rPr>
      </w:pPr>
      <w:r w:rsidRPr="002225D2">
        <w:rPr>
          <w:noProof/>
          <w:sz w:val="24"/>
          <w:szCs w:val="24"/>
          <w:lang w:eastAsia="ru-RU"/>
        </w:rPr>
        <w:drawing>
          <wp:inline distT="0" distB="0" distL="0" distR="0">
            <wp:extent cx="5064981" cy="1375576"/>
            <wp:effectExtent l="0" t="0" r="21590"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C1058" w:rsidRPr="002225D2" w:rsidRDefault="00FC1058" w:rsidP="00886E29">
      <w:pPr>
        <w:spacing w:after="0" w:line="252" w:lineRule="auto"/>
        <w:ind w:firstLine="426"/>
        <w:jc w:val="center"/>
        <w:rPr>
          <w:rFonts w:ascii="Times New Roman" w:hAnsi="Times New Roman"/>
          <w:sz w:val="24"/>
          <w:szCs w:val="24"/>
        </w:rPr>
      </w:pPr>
      <w:r w:rsidRPr="002225D2">
        <w:rPr>
          <w:rFonts w:ascii="Times New Roman" w:hAnsi="Times New Roman"/>
          <w:sz w:val="24"/>
          <w:szCs w:val="24"/>
        </w:rPr>
        <w:t xml:space="preserve">Рис. 1. </w:t>
      </w:r>
      <w:r w:rsidRPr="002225D2">
        <w:rPr>
          <w:rFonts w:ascii="Times New Roman" w:hAnsi="Times New Roman"/>
          <w:b/>
          <w:sz w:val="24"/>
          <w:szCs w:val="24"/>
        </w:rPr>
        <w:t>Количество таможенных перевозчиков по странам</w:t>
      </w:r>
    </w:p>
    <w:p w:rsidR="00AF071B" w:rsidRPr="002225D2" w:rsidRDefault="00E07768" w:rsidP="008C25AA">
      <w:pPr>
        <w:pStyle w:val="a9"/>
        <w:shd w:val="clear" w:color="auto" w:fill="FFFFFF"/>
        <w:spacing w:before="0" w:beforeAutospacing="0" w:after="0" w:afterAutospacing="0" w:line="252" w:lineRule="auto"/>
        <w:ind w:firstLine="709"/>
        <w:jc w:val="both"/>
      </w:pPr>
      <w:r w:rsidRPr="002225D2">
        <w:rPr>
          <w:shd w:val="clear" w:color="auto" w:fill="FFFFFF"/>
        </w:rPr>
        <w:t xml:space="preserve">Однако на официальных сайтах ЕАЭС, ЕЭК представлена  противоречивая информация о количестве перевозчиков. </w:t>
      </w:r>
      <w:r w:rsidR="00AF071B" w:rsidRPr="002225D2">
        <w:t>Так, на одном портале ЕЭК</w:t>
      </w:r>
      <w:r w:rsidR="00AF071B" w:rsidRPr="002225D2">
        <w:rPr>
          <w:vertAlign w:val="superscript"/>
        </w:rPr>
        <w:footnoteReference w:id="1"/>
      </w:r>
      <w:r w:rsidR="00AF071B" w:rsidRPr="002225D2">
        <w:t xml:space="preserve">  указано в Общем </w:t>
      </w:r>
      <w:r w:rsidR="00AF071B" w:rsidRPr="002225D2">
        <w:lastRenderedPageBreak/>
        <w:t xml:space="preserve">реестре таможенных перевозчиков 1617 (с датой последнего обновления:13.11.2019), а на другом сайте той же ЕЭК </w:t>
      </w:r>
      <w:r w:rsidR="00AF071B" w:rsidRPr="002225D2">
        <w:rPr>
          <w:rStyle w:val="a3"/>
        </w:rPr>
        <w:footnoteReference w:id="2"/>
      </w:r>
      <w:r w:rsidR="00AF071B" w:rsidRPr="002225D2">
        <w:t xml:space="preserve"> из того же Реестра – указано 441 таможенного перевозчика. Предполагается, что с 2019 года количество таможенных перевозчиков сократилось 1617 до 441. Таким, образом, общее количество перевозчиков по состоянию на декабрь 2021 год по данным Общего реестра таможенных перевозчиков составляет 441,</w:t>
      </w:r>
    </w:p>
    <w:p w:rsidR="00FC1058" w:rsidRPr="002225D2" w:rsidRDefault="00FC1058" w:rsidP="008C25AA">
      <w:pPr>
        <w:pStyle w:val="a9"/>
        <w:shd w:val="clear" w:color="auto" w:fill="FFFFFF"/>
        <w:spacing w:before="0" w:beforeAutospacing="0" w:after="0" w:afterAutospacing="0" w:line="252" w:lineRule="auto"/>
        <w:ind w:firstLine="709"/>
        <w:jc w:val="both"/>
        <w:rPr>
          <w:bCs/>
          <w:kern w:val="36"/>
        </w:rPr>
      </w:pPr>
      <w:r w:rsidRPr="002225D2">
        <w:t xml:space="preserve">Таким образом, общее количество сократилось почти в 3,7 раза. Возможно, такое сокращение вызвано условиями </w:t>
      </w:r>
      <w:r w:rsidRPr="002225D2">
        <w:rPr>
          <w:bCs/>
          <w:kern w:val="36"/>
        </w:rPr>
        <w:t>включения в реестр таможенных перевозчиков (ст.407 ТК ЕАЭС) и основания</w:t>
      </w:r>
      <w:r w:rsidR="00AF508B" w:rsidRPr="002225D2">
        <w:rPr>
          <w:bCs/>
          <w:kern w:val="36"/>
        </w:rPr>
        <w:t>ми</w:t>
      </w:r>
      <w:r w:rsidRPr="002225D2">
        <w:rPr>
          <w:bCs/>
          <w:kern w:val="36"/>
        </w:rPr>
        <w:t xml:space="preserve"> исключения из указанного реестра (ст.408 ТК ЕАЭС), что представлено на рис. 2-3. </w:t>
      </w:r>
    </w:p>
    <w:p w:rsidR="00847321" w:rsidRPr="002225D2" w:rsidRDefault="00847321" w:rsidP="00886E29">
      <w:pPr>
        <w:pStyle w:val="a9"/>
        <w:shd w:val="clear" w:color="auto" w:fill="FFFFFF"/>
        <w:spacing w:before="0" w:beforeAutospacing="0" w:after="0" w:afterAutospacing="0" w:line="252" w:lineRule="auto"/>
        <w:ind w:firstLine="426"/>
        <w:rPr>
          <w:bCs/>
          <w:kern w:val="36"/>
        </w:rPr>
      </w:pPr>
    </w:p>
    <w:p w:rsidR="00FC1058" w:rsidRPr="002225D2" w:rsidRDefault="00FC1058" w:rsidP="00847321">
      <w:pPr>
        <w:pStyle w:val="a9"/>
        <w:shd w:val="clear" w:color="auto" w:fill="FFFFFF"/>
        <w:spacing w:before="0" w:beforeAutospacing="0" w:after="0" w:afterAutospacing="0" w:line="252" w:lineRule="auto"/>
        <w:jc w:val="center"/>
        <w:rPr>
          <w:bCs/>
          <w:kern w:val="36"/>
        </w:rPr>
      </w:pPr>
      <w:r w:rsidRPr="002225D2">
        <w:rPr>
          <w:bCs/>
          <w:noProof/>
          <w:kern w:val="36"/>
        </w:rPr>
        <w:drawing>
          <wp:inline distT="0" distB="0" distL="0" distR="0">
            <wp:extent cx="5200153" cy="2289975"/>
            <wp:effectExtent l="19050" t="0" r="19547"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FC1058" w:rsidRPr="002225D2" w:rsidRDefault="002A0659" w:rsidP="00886E29">
      <w:pPr>
        <w:pStyle w:val="a9"/>
        <w:shd w:val="clear" w:color="auto" w:fill="FFFFFF"/>
        <w:spacing w:before="0" w:beforeAutospacing="0" w:after="0" w:afterAutospacing="0" w:line="252" w:lineRule="auto"/>
        <w:ind w:firstLine="426"/>
        <w:jc w:val="center"/>
        <w:rPr>
          <w:b/>
          <w:bCs/>
          <w:kern w:val="36"/>
        </w:rPr>
      </w:pPr>
      <w:r w:rsidRPr="002225D2">
        <w:t>Рисунок</w:t>
      </w:r>
      <w:r w:rsidR="00FC1058" w:rsidRPr="002225D2">
        <w:t xml:space="preserve"> 2. </w:t>
      </w:r>
      <w:r w:rsidR="00FC1058" w:rsidRPr="002225D2">
        <w:rPr>
          <w:bCs/>
          <w:kern w:val="36"/>
        </w:rPr>
        <w:t>Условия включения в реестр таможенных перевозчиков</w:t>
      </w:r>
    </w:p>
    <w:p w:rsidR="00FC1058" w:rsidRPr="002225D2" w:rsidRDefault="00FC1058" w:rsidP="00886E29">
      <w:pPr>
        <w:spacing w:after="0" w:line="252" w:lineRule="auto"/>
        <w:ind w:firstLine="426"/>
        <w:jc w:val="both"/>
        <w:rPr>
          <w:rFonts w:ascii="Times New Roman" w:hAnsi="Times New Roman"/>
          <w:sz w:val="24"/>
          <w:szCs w:val="24"/>
        </w:rPr>
      </w:pPr>
    </w:p>
    <w:p w:rsidR="00802C1E" w:rsidRPr="002225D2" w:rsidRDefault="00AF508B" w:rsidP="00AF508B">
      <w:pPr>
        <w:spacing w:after="0" w:line="252" w:lineRule="auto"/>
        <w:ind w:firstLine="425"/>
        <w:jc w:val="both"/>
        <w:rPr>
          <w:rFonts w:ascii="Times New Roman" w:hAnsi="Times New Roman"/>
          <w:sz w:val="24"/>
          <w:szCs w:val="24"/>
        </w:rPr>
      </w:pPr>
      <w:r w:rsidRPr="002225D2">
        <w:rPr>
          <w:rFonts w:ascii="Times New Roman" w:hAnsi="Times New Roman"/>
          <w:sz w:val="24"/>
          <w:szCs w:val="24"/>
        </w:rPr>
        <w:t xml:space="preserve">Таким образом, такое условие включения перевозчика в реестр как обеспечение исполнения в </w:t>
      </w:r>
      <w:r w:rsidR="000B1878" w:rsidRPr="002225D2">
        <w:rPr>
          <w:rFonts w:ascii="Times New Roman" w:hAnsi="Times New Roman"/>
          <w:sz w:val="24"/>
          <w:szCs w:val="24"/>
        </w:rPr>
        <w:t xml:space="preserve">200 тысячам евро  </w:t>
      </w:r>
      <w:r w:rsidR="00AF071B" w:rsidRPr="002225D2">
        <w:rPr>
          <w:rFonts w:ascii="Times New Roman" w:hAnsi="Times New Roman"/>
          <w:sz w:val="24"/>
          <w:szCs w:val="24"/>
        </w:rPr>
        <w:t>трудно</w:t>
      </w:r>
      <w:r w:rsidRPr="002225D2">
        <w:rPr>
          <w:rFonts w:ascii="Times New Roman" w:hAnsi="Times New Roman"/>
          <w:sz w:val="24"/>
          <w:szCs w:val="24"/>
        </w:rPr>
        <w:t>выполнимо.</w:t>
      </w:r>
    </w:p>
    <w:p w:rsidR="002A0659" w:rsidRPr="002225D2" w:rsidRDefault="002A0659" w:rsidP="00AF508B">
      <w:pPr>
        <w:spacing w:after="0" w:line="252" w:lineRule="auto"/>
        <w:ind w:firstLine="425"/>
        <w:jc w:val="both"/>
        <w:rPr>
          <w:rFonts w:ascii="Times New Roman" w:hAnsi="Times New Roman"/>
          <w:sz w:val="24"/>
          <w:szCs w:val="24"/>
        </w:rPr>
      </w:pPr>
    </w:p>
    <w:p w:rsidR="00FC1058" w:rsidRPr="002225D2" w:rsidRDefault="00FC1058" w:rsidP="00CF4E1E">
      <w:pPr>
        <w:spacing w:after="0" w:line="252" w:lineRule="auto"/>
        <w:jc w:val="both"/>
        <w:rPr>
          <w:rFonts w:ascii="Times New Roman" w:hAnsi="Times New Roman"/>
          <w:sz w:val="24"/>
          <w:szCs w:val="24"/>
        </w:rPr>
      </w:pPr>
      <w:r w:rsidRPr="002225D2">
        <w:rPr>
          <w:rFonts w:ascii="Times New Roman" w:hAnsi="Times New Roman"/>
          <w:noProof/>
          <w:sz w:val="24"/>
          <w:szCs w:val="24"/>
          <w:lang w:eastAsia="ru-RU"/>
        </w:rPr>
        <w:drawing>
          <wp:inline distT="0" distB="0" distL="0" distR="0">
            <wp:extent cx="5104737" cy="1948069"/>
            <wp:effectExtent l="19050" t="0" r="663"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C1058" w:rsidRPr="008B0088" w:rsidRDefault="00FC1058" w:rsidP="002A0659">
      <w:pPr>
        <w:tabs>
          <w:tab w:val="left" w:pos="5245"/>
        </w:tabs>
        <w:spacing w:after="0" w:line="252" w:lineRule="auto"/>
        <w:jc w:val="center"/>
        <w:rPr>
          <w:rFonts w:ascii="Times New Roman" w:hAnsi="Times New Roman"/>
          <w:sz w:val="24"/>
          <w:szCs w:val="24"/>
        </w:rPr>
      </w:pPr>
      <w:r w:rsidRPr="002225D2">
        <w:rPr>
          <w:rFonts w:ascii="Times New Roman" w:hAnsi="Times New Roman"/>
          <w:sz w:val="24"/>
          <w:szCs w:val="24"/>
        </w:rPr>
        <w:t>Рис</w:t>
      </w:r>
      <w:r w:rsidR="002A0659" w:rsidRPr="002225D2">
        <w:rPr>
          <w:rFonts w:ascii="Times New Roman" w:hAnsi="Times New Roman"/>
          <w:sz w:val="24"/>
          <w:szCs w:val="24"/>
        </w:rPr>
        <w:t>унок</w:t>
      </w:r>
      <w:r w:rsidRPr="002225D2">
        <w:rPr>
          <w:rFonts w:ascii="Times New Roman" w:hAnsi="Times New Roman"/>
          <w:sz w:val="24"/>
          <w:szCs w:val="24"/>
        </w:rPr>
        <w:t xml:space="preserve"> 3. </w:t>
      </w:r>
      <w:r w:rsidRPr="002225D2">
        <w:rPr>
          <w:rFonts w:ascii="Times New Roman" w:hAnsi="Times New Roman"/>
          <w:bCs/>
          <w:kern w:val="36"/>
          <w:sz w:val="24"/>
          <w:szCs w:val="24"/>
        </w:rPr>
        <w:t>Основания для исключения из реестра таможенных перевозчиков</w:t>
      </w:r>
      <w:r w:rsidR="00C45C94" w:rsidRPr="008B0088">
        <w:rPr>
          <w:rFonts w:ascii="Times New Roman" w:hAnsi="Times New Roman"/>
          <w:bCs/>
          <w:kern w:val="36"/>
          <w:sz w:val="24"/>
          <w:szCs w:val="24"/>
        </w:rPr>
        <w:t xml:space="preserve"> [4]</w:t>
      </w:r>
    </w:p>
    <w:p w:rsidR="00FC1058" w:rsidRDefault="00FC1058" w:rsidP="00886E29">
      <w:pPr>
        <w:spacing w:after="0" w:line="252" w:lineRule="auto"/>
        <w:ind w:firstLine="426"/>
        <w:jc w:val="both"/>
        <w:rPr>
          <w:rFonts w:ascii="Times New Roman" w:hAnsi="Times New Roman"/>
          <w:sz w:val="24"/>
          <w:szCs w:val="24"/>
        </w:rPr>
      </w:pPr>
    </w:p>
    <w:p w:rsidR="008B0088" w:rsidRPr="00401F0A" w:rsidRDefault="008B0088" w:rsidP="00401F0A">
      <w:pPr>
        <w:pStyle w:val="Default"/>
        <w:ind w:firstLine="709"/>
        <w:jc w:val="both"/>
      </w:pPr>
      <w:r>
        <w:t xml:space="preserve">Необходимо </w:t>
      </w:r>
      <w:r w:rsidR="00A64081">
        <w:t>подчеркнуть, что</w:t>
      </w:r>
      <w:r>
        <w:t xml:space="preserve"> среди факторов, оказывающих</w:t>
      </w:r>
      <w:r w:rsidRPr="008B0088">
        <w:t xml:space="preserve"> существенное влияние </w:t>
      </w:r>
      <w:r>
        <w:t>н</w:t>
      </w:r>
      <w:r w:rsidRPr="008B0088">
        <w:t>а деятельность таможенных</w:t>
      </w:r>
      <w:r w:rsidR="00401F0A">
        <w:t xml:space="preserve"> перевозчиков</w:t>
      </w:r>
      <w:r>
        <w:t>,</w:t>
      </w:r>
      <w:r w:rsidRPr="008B0088">
        <w:t xml:space="preserve"> </w:t>
      </w:r>
      <w:r>
        <w:t xml:space="preserve">указан и фактор развития в России </w:t>
      </w:r>
      <w:r w:rsidRPr="008B0088">
        <w:t>нового этапа экономики - цифровой экономики</w:t>
      </w:r>
      <w:r>
        <w:t xml:space="preserve">. </w:t>
      </w:r>
      <w:r w:rsidR="00401F0A">
        <w:t xml:space="preserve">Поэтому </w:t>
      </w:r>
      <w:r w:rsidR="00401F0A" w:rsidRPr="00401F0A">
        <w:t xml:space="preserve">в Стратегии  развития таможенной службы Российской Федерации до 2030 года </w:t>
      </w:r>
      <w:r w:rsidR="00401F0A">
        <w:t>первым целевым</w:t>
      </w:r>
      <w:r w:rsidR="00401F0A" w:rsidRPr="00401F0A">
        <w:t xml:space="preserve"> ориентир</w:t>
      </w:r>
      <w:r w:rsidR="00401F0A">
        <w:t>ом</w:t>
      </w:r>
      <w:r w:rsidR="00401F0A" w:rsidRPr="00401F0A">
        <w:t xml:space="preserve"> </w:t>
      </w:r>
      <w:r w:rsidR="00401F0A">
        <w:t xml:space="preserve"> является </w:t>
      </w:r>
      <w:proofErr w:type="spellStart"/>
      <w:r w:rsidR="00401F0A" w:rsidRPr="00401F0A">
        <w:t>цифровизация</w:t>
      </w:r>
      <w:proofErr w:type="spellEnd"/>
      <w:r w:rsidR="00401F0A" w:rsidRPr="00401F0A">
        <w:t xml:space="preserve"> и автоматизация деятельно</w:t>
      </w:r>
      <w:r w:rsidR="00401F0A">
        <w:t xml:space="preserve">сти таможенных органов. </w:t>
      </w:r>
    </w:p>
    <w:p w:rsidR="00FC1058" w:rsidRPr="002225D2" w:rsidRDefault="00FC1058" w:rsidP="008C25AA">
      <w:pPr>
        <w:spacing w:after="0" w:line="252" w:lineRule="auto"/>
        <w:ind w:firstLine="709"/>
        <w:jc w:val="both"/>
        <w:rPr>
          <w:rFonts w:ascii="Times New Roman" w:hAnsi="Times New Roman"/>
          <w:sz w:val="24"/>
          <w:szCs w:val="24"/>
        </w:rPr>
      </w:pPr>
      <w:r w:rsidRPr="002225D2">
        <w:rPr>
          <w:rFonts w:ascii="Times New Roman" w:hAnsi="Times New Roman"/>
          <w:sz w:val="24"/>
          <w:szCs w:val="24"/>
        </w:rPr>
        <w:t>Для того чтобы определить значение деятельности таможенных перевозчиков, необходимо выявить объемы и динамику грузоперевозок России со странами ЕАЭС, что представлено на рис.4-5.</w:t>
      </w:r>
    </w:p>
    <w:p w:rsidR="00FC1058" w:rsidRPr="002225D2" w:rsidRDefault="00FC1058" w:rsidP="00886E29">
      <w:pPr>
        <w:shd w:val="clear" w:color="auto" w:fill="FFFFFF"/>
        <w:spacing w:after="0" w:line="252" w:lineRule="auto"/>
        <w:ind w:firstLine="426"/>
        <w:jc w:val="both"/>
        <w:rPr>
          <w:rFonts w:ascii="Times New Roman" w:hAnsi="Times New Roman"/>
          <w:sz w:val="24"/>
          <w:szCs w:val="24"/>
        </w:rPr>
      </w:pPr>
    </w:p>
    <w:p w:rsidR="00FC1058" w:rsidRPr="002225D2" w:rsidRDefault="00FC1058" w:rsidP="0092330B">
      <w:pPr>
        <w:spacing w:after="0" w:line="252" w:lineRule="auto"/>
        <w:jc w:val="center"/>
        <w:rPr>
          <w:rFonts w:ascii="Times New Roman" w:hAnsi="Times New Roman"/>
          <w:sz w:val="24"/>
          <w:szCs w:val="24"/>
        </w:rPr>
      </w:pPr>
      <w:r w:rsidRPr="002225D2">
        <w:rPr>
          <w:rFonts w:ascii="Times New Roman" w:hAnsi="Times New Roman"/>
          <w:noProof/>
          <w:sz w:val="24"/>
          <w:szCs w:val="24"/>
          <w:lang w:eastAsia="ru-RU"/>
        </w:rPr>
        <w:drawing>
          <wp:inline distT="0" distB="0" distL="0" distR="0">
            <wp:extent cx="5072932" cy="2949934"/>
            <wp:effectExtent l="0" t="0" r="13970" b="222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C1058" w:rsidRPr="002225D2" w:rsidRDefault="00FC1058" w:rsidP="00CF4E1E">
      <w:pPr>
        <w:spacing w:after="0" w:line="252" w:lineRule="auto"/>
        <w:jc w:val="center"/>
        <w:rPr>
          <w:rFonts w:ascii="Times New Roman" w:eastAsia="Times New Roman" w:hAnsi="Times New Roman"/>
          <w:bCs/>
          <w:sz w:val="24"/>
          <w:szCs w:val="24"/>
          <w:lang w:eastAsia="ru-RU"/>
        </w:rPr>
      </w:pPr>
      <w:r w:rsidRPr="002225D2">
        <w:rPr>
          <w:rFonts w:ascii="Times New Roman" w:hAnsi="Times New Roman"/>
          <w:sz w:val="24"/>
          <w:szCs w:val="24"/>
        </w:rPr>
        <w:t xml:space="preserve"> </w:t>
      </w:r>
      <w:r w:rsidR="002A0659" w:rsidRPr="002225D2">
        <w:rPr>
          <w:rFonts w:ascii="Times New Roman" w:hAnsi="Times New Roman"/>
          <w:sz w:val="24"/>
          <w:szCs w:val="24"/>
        </w:rPr>
        <w:t>Рисунок</w:t>
      </w:r>
      <w:r w:rsidRPr="002225D2">
        <w:rPr>
          <w:rFonts w:ascii="Times New Roman" w:hAnsi="Times New Roman"/>
          <w:sz w:val="24"/>
          <w:szCs w:val="24"/>
        </w:rPr>
        <w:t xml:space="preserve"> 4.  </w:t>
      </w:r>
      <w:r w:rsidRPr="002225D2">
        <w:rPr>
          <w:rFonts w:ascii="Times New Roman" w:hAnsi="Times New Roman"/>
          <w:bCs/>
          <w:sz w:val="24"/>
          <w:szCs w:val="24"/>
        </w:rPr>
        <w:t xml:space="preserve">Перевозки товаров </w:t>
      </w:r>
      <w:r w:rsidRPr="002225D2">
        <w:rPr>
          <w:rFonts w:ascii="Times New Roman" w:eastAsia="Times New Roman" w:hAnsi="Times New Roman"/>
          <w:bCs/>
          <w:sz w:val="24"/>
          <w:szCs w:val="24"/>
          <w:lang w:eastAsia="ru-RU"/>
        </w:rPr>
        <w:t xml:space="preserve">по  странам  ЕАЭС за </w:t>
      </w:r>
      <w:r w:rsidRPr="002225D2">
        <w:rPr>
          <w:rFonts w:ascii="Times New Roman" w:hAnsi="Times New Roman"/>
          <w:bCs/>
          <w:sz w:val="24"/>
          <w:szCs w:val="24"/>
        </w:rPr>
        <w:t>2016-2020 г.г.</w:t>
      </w:r>
      <w:r w:rsidRPr="002225D2">
        <w:rPr>
          <w:rFonts w:ascii="Times New Roman" w:eastAsia="Times New Roman" w:hAnsi="Times New Roman"/>
          <w:bCs/>
          <w:sz w:val="24"/>
          <w:szCs w:val="24"/>
          <w:lang w:eastAsia="ru-RU"/>
        </w:rPr>
        <w:t>, в млн. тон</w:t>
      </w:r>
    </w:p>
    <w:p w:rsidR="00CF4E1E" w:rsidRPr="002225D2" w:rsidRDefault="00CF4E1E" w:rsidP="00CF4E1E">
      <w:pPr>
        <w:spacing w:after="0" w:line="252" w:lineRule="auto"/>
        <w:jc w:val="both"/>
        <w:rPr>
          <w:rFonts w:ascii="Times New Roman" w:hAnsi="Times New Roman"/>
          <w:b/>
          <w:sz w:val="24"/>
          <w:szCs w:val="24"/>
        </w:rPr>
      </w:pPr>
    </w:p>
    <w:p w:rsidR="00FC1058" w:rsidRPr="002225D2" w:rsidRDefault="00FC1058" w:rsidP="00886E29">
      <w:pPr>
        <w:spacing w:after="0" w:line="252" w:lineRule="auto"/>
        <w:ind w:firstLine="426"/>
        <w:jc w:val="both"/>
        <w:rPr>
          <w:rFonts w:ascii="Times New Roman" w:hAnsi="Times New Roman"/>
          <w:sz w:val="24"/>
          <w:szCs w:val="24"/>
        </w:rPr>
      </w:pPr>
      <w:r w:rsidRPr="002225D2">
        <w:rPr>
          <w:rFonts w:ascii="Times New Roman" w:hAnsi="Times New Roman"/>
          <w:sz w:val="24"/>
          <w:szCs w:val="24"/>
        </w:rPr>
        <w:t>Ежегодные статистические данные за 2021 год еще не сформированы, поэтому за основу исследования приняты известные сведения за 2020 год, которые представлены на рис. 5.</w:t>
      </w:r>
    </w:p>
    <w:p w:rsidR="00FC1058" w:rsidRPr="002225D2" w:rsidRDefault="00FC1058" w:rsidP="00CF4E1E">
      <w:pPr>
        <w:pStyle w:val="Default"/>
        <w:spacing w:line="252" w:lineRule="auto"/>
        <w:jc w:val="center"/>
        <w:rPr>
          <w:color w:val="auto"/>
        </w:rPr>
      </w:pPr>
      <w:r w:rsidRPr="002225D2">
        <w:rPr>
          <w:noProof/>
          <w:color w:val="auto"/>
          <w:lang w:eastAsia="ru-RU"/>
        </w:rPr>
        <w:drawing>
          <wp:inline distT="0" distB="0" distL="0" distR="0">
            <wp:extent cx="4762831" cy="1248355"/>
            <wp:effectExtent l="0" t="0" r="19050" b="9525"/>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C1058" w:rsidRPr="002225D2" w:rsidRDefault="002A0659" w:rsidP="00886E29">
      <w:pPr>
        <w:pStyle w:val="Default"/>
        <w:spacing w:line="252" w:lineRule="auto"/>
        <w:ind w:firstLine="426"/>
        <w:jc w:val="center"/>
        <w:rPr>
          <w:rFonts w:eastAsiaTheme="minorHAnsi"/>
          <w:bCs/>
          <w:color w:val="auto"/>
          <w:kern w:val="0"/>
        </w:rPr>
      </w:pPr>
      <w:r w:rsidRPr="002225D2">
        <w:rPr>
          <w:color w:val="auto"/>
        </w:rPr>
        <w:t>Рисунок</w:t>
      </w:r>
      <w:r w:rsidR="00FC1058" w:rsidRPr="002225D2">
        <w:rPr>
          <w:color w:val="auto"/>
        </w:rPr>
        <w:t xml:space="preserve"> 5. </w:t>
      </w:r>
      <w:r w:rsidR="00FC1058" w:rsidRPr="002225D2">
        <w:rPr>
          <w:rFonts w:eastAsiaTheme="minorHAnsi"/>
          <w:bCs/>
          <w:color w:val="auto"/>
          <w:kern w:val="0"/>
        </w:rPr>
        <w:t xml:space="preserve">Динамика объема перевозок товаров 2016-2020 г.г., </w:t>
      </w:r>
      <w:proofErr w:type="gramStart"/>
      <w:r w:rsidR="00FC1058" w:rsidRPr="002225D2">
        <w:rPr>
          <w:rFonts w:eastAsiaTheme="minorHAnsi"/>
          <w:bCs/>
          <w:color w:val="auto"/>
          <w:kern w:val="0"/>
        </w:rPr>
        <w:t>в</w:t>
      </w:r>
      <w:proofErr w:type="gramEnd"/>
      <w:r w:rsidR="00FC1058" w:rsidRPr="002225D2">
        <w:rPr>
          <w:rFonts w:eastAsiaTheme="minorHAnsi"/>
          <w:bCs/>
          <w:color w:val="auto"/>
          <w:kern w:val="0"/>
        </w:rPr>
        <w:t xml:space="preserve"> % </w:t>
      </w:r>
    </w:p>
    <w:p w:rsidR="00FC1058" w:rsidRPr="002225D2" w:rsidRDefault="00FC1058" w:rsidP="00886E29">
      <w:pPr>
        <w:shd w:val="clear" w:color="auto" w:fill="FFFFFF"/>
        <w:spacing w:after="0" w:line="252" w:lineRule="auto"/>
        <w:ind w:firstLine="426"/>
        <w:jc w:val="center"/>
        <w:rPr>
          <w:rFonts w:ascii="Times New Roman" w:hAnsi="Times New Roman"/>
          <w:sz w:val="24"/>
          <w:szCs w:val="24"/>
        </w:rPr>
      </w:pPr>
      <w:r w:rsidRPr="002225D2">
        <w:rPr>
          <w:rFonts w:ascii="Times New Roman" w:hAnsi="Times New Roman"/>
          <w:sz w:val="24"/>
          <w:szCs w:val="24"/>
        </w:rPr>
        <w:t>(в процентах к предыдущему году)</w:t>
      </w:r>
    </w:p>
    <w:p w:rsidR="0092330B" w:rsidRPr="002225D2" w:rsidRDefault="0092330B" w:rsidP="00886E29">
      <w:pPr>
        <w:shd w:val="clear" w:color="auto" w:fill="FFFFFF"/>
        <w:spacing w:after="0" w:line="252" w:lineRule="auto"/>
        <w:ind w:firstLine="426"/>
        <w:jc w:val="both"/>
        <w:rPr>
          <w:rFonts w:ascii="Times New Roman" w:hAnsi="Times New Roman"/>
          <w:sz w:val="24"/>
          <w:szCs w:val="24"/>
        </w:rPr>
      </w:pPr>
    </w:p>
    <w:p w:rsidR="00FC1058" w:rsidRPr="002225D2" w:rsidRDefault="00AF508B" w:rsidP="00886E29">
      <w:pPr>
        <w:shd w:val="clear" w:color="auto" w:fill="FFFFFF"/>
        <w:spacing w:after="0" w:line="252" w:lineRule="auto"/>
        <w:ind w:firstLine="426"/>
        <w:jc w:val="both"/>
        <w:rPr>
          <w:rFonts w:ascii="Times New Roman" w:hAnsi="Times New Roman"/>
          <w:sz w:val="24"/>
          <w:szCs w:val="24"/>
        </w:rPr>
      </w:pPr>
      <w:r w:rsidRPr="002225D2">
        <w:rPr>
          <w:rFonts w:ascii="Times New Roman" w:hAnsi="Times New Roman"/>
          <w:sz w:val="24"/>
          <w:szCs w:val="24"/>
        </w:rPr>
        <w:t xml:space="preserve">Анализируя </w:t>
      </w:r>
      <w:r w:rsidR="00FC1058" w:rsidRPr="002225D2">
        <w:rPr>
          <w:rFonts w:ascii="Times New Roman" w:hAnsi="Times New Roman"/>
          <w:sz w:val="24"/>
          <w:szCs w:val="24"/>
        </w:rPr>
        <w:t>данные на рис. 4-5 можно сделать выводы, что 2020 году показатели по перевозкам по всем видам транспорта меньше, чем в 2016 году и спад перевозок начался в тот момент, когда возникла пандемия.</w:t>
      </w:r>
    </w:p>
    <w:p w:rsidR="00FC1058" w:rsidRPr="002225D2" w:rsidRDefault="00FC1058" w:rsidP="00CF4E1E">
      <w:pPr>
        <w:spacing w:after="0" w:line="252" w:lineRule="auto"/>
        <w:jc w:val="center"/>
        <w:rPr>
          <w:rFonts w:ascii="Times New Roman" w:hAnsi="Times New Roman"/>
          <w:sz w:val="24"/>
          <w:szCs w:val="24"/>
        </w:rPr>
      </w:pPr>
      <w:r w:rsidRPr="002225D2">
        <w:rPr>
          <w:rFonts w:ascii="Times New Roman" w:hAnsi="Times New Roman"/>
          <w:noProof/>
          <w:sz w:val="24"/>
          <w:szCs w:val="24"/>
          <w:lang w:eastAsia="ru-RU"/>
        </w:rPr>
        <w:drawing>
          <wp:inline distT="0" distB="0" distL="0" distR="0">
            <wp:extent cx="4786685" cy="1781093"/>
            <wp:effectExtent l="0" t="0" r="13970" b="1016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C1058" w:rsidRPr="002225D2" w:rsidRDefault="002A0659" w:rsidP="00886E29">
      <w:pPr>
        <w:spacing w:after="0" w:line="252" w:lineRule="auto"/>
        <w:ind w:firstLine="426"/>
        <w:jc w:val="center"/>
        <w:rPr>
          <w:rFonts w:ascii="Times New Roman" w:eastAsia="Times New Roman" w:hAnsi="Times New Roman"/>
          <w:bCs/>
          <w:sz w:val="24"/>
          <w:szCs w:val="24"/>
          <w:lang w:eastAsia="ru-RU"/>
        </w:rPr>
      </w:pPr>
      <w:r w:rsidRPr="002225D2">
        <w:rPr>
          <w:rFonts w:ascii="Times New Roman" w:hAnsi="Times New Roman"/>
          <w:sz w:val="24"/>
          <w:szCs w:val="24"/>
        </w:rPr>
        <w:t>Рисунок 6</w:t>
      </w:r>
      <w:r w:rsidR="00FC1058" w:rsidRPr="002225D2">
        <w:rPr>
          <w:rFonts w:ascii="Times New Roman" w:hAnsi="Times New Roman"/>
          <w:sz w:val="24"/>
          <w:szCs w:val="24"/>
        </w:rPr>
        <w:t>.  Общий объем п</w:t>
      </w:r>
      <w:r w:rsidR="00FC1058" w:rsidRPr="002225D2">
        <w:rPr>
          <w:rFonts w:ascii="Times New Roman" w:hAnsi="Times New Roman"/>
          <w:bCs/>
          <w:sz w:val="24"/>
          <w:szCs w:val="24"/>
        </w:rPr>
        <w:t xml:space="preserve">еревозок товаров </w:t>
      </w:r>
      <w:r w:rsidR="00FC1058" w:rsidRPr="002225D2">
        <w:rPr>
          <w:rFonts w:ascii="Times New Roman" w:eastAsia="Times New Roman" w:hAnsi="Times New Roman"/>
          <w:bCs/>
          <w:sz w:val="24"/>
          <w:szCs w:val="24"/>
          <w:lang w:eastAsia="ru-RU"/>
        </w:rPr>
        <w:t xml:space="preserve">по  ЕАЭС </w:t>
      </w:r>
    </w:p>
    <w:p w:rsidR="00FC1058" w:rsidRPr="002225D2" w:rsidRDefault="00FC1058" w:rsidP="00886E29">
      <w:pPr>
        <w:spacing w:after="0" w:line="252" w:lineRule="auto"/>
        <w:ind w:firstLine="426"/>
        <w:jc w:val="center"/>
        <w:rPr>
          <w:rFonts w:ascii="Times New Roman" w:eastAsia="Times New Roman" w:hAnsi="Times New Roman"/>
          <w:bCs/>
          <w:sz w:val="24"/>
          <w:szCs w:val="24"/>
          <w:lang w:eastAsia="ru-RU"/>
        </w:rPr>
      </w:pPr>
      <w:r w:rsidRPr="002225D2">
        <w:rPr>
          <w:rFonts w:ascii="Times New Roman" w:eastAsia="Times New Roman" w:hAnsi="Times New Roman"/>
          <w:bCs/>
          <w:sz w:val="24"/>
          <w:szCs w:val="24"/>
          <w:lang w:eastAsia="ru-RU"/>
        </w:rPr>
        <w:t>за период с 2016 по 2020  года, в млн. тонн</w:t>
      </w:r>
    </w:p>
    <w:p w:rsidR="00FC1058" w:rsidRPr="002225D2" w:rsidRDefault="00FC1058" w:rsidP="008C25AA">
      <w:pPr>
        <w:autoSpaceDE w:val="0"/>
        <w:autoSpaceDN w:val="0"/>
        <w:adjustRightInd w:val="0"/>
        <w:spacing w:after="0" w:line="252" w:lineRule="auto"/>
        <w:ind w:firstLine="709"/>
        <w:jc w:val="both"/>
        <w:rPr>
          <w:rFonts w:ascii="Times New Roman" w:hAnsi="Times New Roman"/>
          <w:sz w:val="24"/>
          <w:szCs w:val="24"/>
        </w:rPr>
      </w:pPr>
      <w:r w:rsidRPr="002225D2">
        <w:rPr>
          <w:rFonts w:ascii="Times New Roman" w:hAnsi="Times New Roman"/>
          <w:sz w:val="24"/>
          <w:szCs w:val="24"/>
        </w:rPr>
        <w:t xml:space="preserve">Таким образом, объем перевозок грузов всеми видами транспорта в ЕАЭС за 2020 год снизился на 5,9% по сравнению с 2019 годом. </w:t>
      </w:r>
    </w:p>
    <w:p w:rsidR="0092330B" w:rsidRPr="002225D2" w:rsidRDefault="0092330B" w:rsidP="00886E29">
      <w:pPr>
        <w:autoSpaceDE w:val="0"/>
        <w:autoSpaceDN w:val="0"/>
        <w:adjustRightInd w:val="0"/>
        <w:spacing w:after="0" w:line="252" w:lineRule="auto"/>
        <w:ind w:firstLine="426"/>
        <w:jc w:val="both"/>
        <w:rPr>
          <w:rFonts w:ascii="Times New Roman" w:hAnsi="Times New Roman"/>
          <w:sz w:val="24"/>
          <w:szCs w:val="24"/>
        </w:rPr>
      </w:pPr>
    </w:p>
    <w:p w:rsidR="00FC1058" w:rsidRPr="002225D2" w:rsidRDefault="00FC1058" w:rsidP="0092330B">
      <w:pPr>
        <w:spacing w:after="0" w:line="252" w:lineRule="auto"/>
        <w:jc w:val="center"/>
        <w:rPr>
          <w:rFonts w:ascii="Times New Roman" w:hAnsi="Times New Roman"/>
          <w:sz w:val="24"/>
          <w:szCs w:val="24"/>
        </w:rPr>
      </w:pPr>
      <w:r w:rsidRPr="002225D2">
        <w:rPr>
          <w:rFonts w:ascii="Times New Roman" w:hAnsi="Times New Roman"/>
          <w:noProof/>
          <w:sz w:val="24"/>
          <w:szCs w:val="24"/>
          <w:lang w:eastAsia="ru-RU"/>
        </w:rPr>
        <w:drawing>
          <wp:inline distT="0" distB="0" distL="0" distR="0">
            <wp:extent cx="5088835" cy="1661822"/>
            <wp:effectExtent l="0" t="0" r="17145" b="1460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C1058" w:rsidRPr="002225D2" w:rsidRDefault="002A0659" w:rsidP="0092330B">
      <w:pPr>
        <w:autoSpaceDE w:val="0"/>
        <w:autoSpaceDN w:val="0"/>
        <w:adjustRightInd w:val="0"/>
        <w:spacing w:after="0" w:line="252" w:lineRule="auto"/>
        <w:jc w:val="center"/>
        <w:rPr>
          <w:rFonts w:ascii="Times New Roman" w:hAnsi="Times New Roman"/>
          <w:sz w:val="24"/>
          <w:szCs w:val="24"/>
        </w:rPr>
      </w:pPr>
      <w:r w:rsidRPr="002225D2">
        <w:rPr>
          <w:rFonts w:ascii="Times New Roman" w:hAnsi="Times New Roman"/>
          <w:sz w:val="24"/>
          <w:szCs w:val="24"/>
        </w:rPr>
        <w:t>Рисунок</w:t>
      </w:r>
      <w:r w:rsidRPr="002225D2">
        <w:rPr>
          <w:rFonts w:ascii="Times New Roman" w:hAnsi="Times New Roman"/>
          <w:bCs/>
          <w:sz w:val="24"/>
          <w:szCs w:val="24"/>
        </w:rPr>
        <w:t xml:space="preserve"> 7.</w:t>
      </w:r>
      <w:r w:rsidR="00FC1058" w:rsidRPr="002225D2">
        <w:rPr>
          <w:rFonts w:ascii="Times New Roman" w:hAnsi="Times New Roman"/>
          <w:bCs/>
          <w:sz w:val="24"/>
          <w:szCs w:val="24"/>
        </w:rPr>
        <w:t xml:space="preserve"> Динамика объема перевозок товаров по всем видам транспорта, </w:t>
      </w:r>
      <w:proofErr w:type="gramStart"/>
      <w:r w:rsidR="00FC1058" w:rsidRPr="002225D2">
        <w:rPr>
          <w:rFonts w:ascii="Times New Roman" w:hAnsi="Times New Roman"/>
          <w:bCs/>
          <w:sz w:val="24"/>
          <w:szCs w:val="24"/>
        </w:rPr>
        <w:t>в</w:t>
      </w:r>
      <w:proofErr w:type="gramEnd"/>
      <w:r w:rsidR="00FC1058" w:rsidRPr="002225D2">
        <w:rPr>
          <w:rFonts w:ascii="Times New Roman" w:hAnsi="Times New Roman"/>
          <w:bCs/>
          <w:sz w:val="24"/>
          <w:szCs w:val="24"/>
        </w:rPr>
        <w:t xml:space="preserve"> %</w:t>
      </w:r>
    </w:p>
    <w:p w:rsidR="00DD3BFD" w:rsidRPr="002225D2" w:rsidRDefault="00DD3BFD" w:rsidP="00886E29">
      <w:pPr>
        <w:shd w:val="clear" w:color="auto" w:fill="FFFFFF"/>
        <w:spacing w:after="0" w:line="252" w:lineRule="auto"/>
        <w:ind w:firstLine="426"/>
        <w:jc w:val="both"/>
        <w:rPr>
          <w:rFonts w:ascii="Times New Roman" w:hAnsi="Times New Roman"/>
          <w:sz w:val="24"/>
          <w:szCs w:val="24"/>
        </w:rPr>
      </w:pPr>
    </w:p>
    <w:p w:rsidR="00FC1058" w:rsidRPr="002225D2" w:rsidRDefault="00FC1058" w:rsidP="008C25AA">
      <w:pPr>
        <w:shd w:val="clear" w:color="auto" w:fill="FFFFFF"/>
        <w:spacing w:after="0" w:line="252" w:lineRule="auto"/>
        <w:ind w:firstLine="709"/>
        <w:jc w:val="both"/>
        <w:rPr>
          <w:rFonts w:ascii="Times New Roman" w:hAnsi="Times New Roman"/>
          <w:sz w:val="24"/>
          <w:szCs w:val="24"/>
        </w:rPr>
      </w:pPr>
      <w:r w:rsidRPr="002225D2">
        <w:rPr>
          <w:rFonts w:ascii="Times New Roman" w:hAnsi="Times New Roman"/>
          <w:sz w:val="24"/>
          <w:szCs w:val="24"/>
        </w:rPr>
        <w:t xml:space="preserve">Снижение показателя произошло за счет снижения перевозок грузов автомобильным транспортом – на 6,4%, железнодорожным транспортом – на 2,7%, а также перевозок грузов трубопроводным транспортом, которые снизились на 8,0%. </w:t>
      </w:r>
    </w:p>
    <w:p w:rsidR="00FC1058" w:rsidRPr="002225D2" w:rsidRDefault="00FC1058" w:rsidP="008C25AA">
      <w:pPr>
        <w:shd w:val="clear" w:color="auto" w:fill="FFFFFF"/>
        <w:spacing w:after="0" w:line="252" w:lineRule="auto"/>
        <w:ind w:firstLine="709"/>
        <w:jc w:val="both"/>
        <w:rPr>
          <w:rFonts w:ascii="Times New Roman" w:hAnsi="Times New Roman"/>
          <w:sz w:val="24"/>
          <w:szCs w:val="24"/>
        </w:rPr>
      </w:pPr>
      <w:r w:rsidRPr="002225D2">
        <w:rPr>
          <w:rFonts w:ascii="Times New Roman" w:hAnsi="Times New Roman"/>
          <w:sz w:val="24"/>
          <w:szCs w:val="24"/>
        </w:rPr>
        <w:t>Таким образом, изучая представленные на рисунках данные, можно отметить, что объем перевозимых товаров через границы стан ЕЭАС огромен. Поэтому важной задачей является наладить эффективную деятельность таможенных перевозчиков. С этой целью необходимо знать не только их количество и объем перевозимых грузов, но и проблемы транспортных перевозчиков, их цели на перспективу, предложения по организации. Поэтому взаимодействие стран ЕАЭС должно строиться с учетом интересов не только органов власти, но и представителей бизнес структур и гражданского общества (в том числе и таможенных перевозчиков).</w:t>
      </w:r>
    </w:p>
    <w:p w:rsidR="00FC1058" w:rsidRPr="002225D2" w:rsidRDefault="00FC1058" w:rsidP="008C25AA">
      <w:pPr>
        <w:shd w:val="clear" w:color="auto" w:fill="FFFFFF"/>
        <w:spacing w:after="0" w:line="252" w:lineRule="auto"/>
        <w:ind w:firstLine="709"/>
        <w:jc w:val="both"/>
        <w:rPr>
          <w:rFonts w:ascii="Times New Roman" w:hAnsi="Times New Roman"/>
          <w:sz w:val="24"/>
          <w:szCs w:val="24"/>
        </w:rPr>
      </w:pPr>
      <w:r w:rsidRPr="002225D2">
        <w:rPr>
          <w:rFonts w:ascii="Times New Roman" w:hAnsi="Times New Roman"/>
          <w:sz w:val="24"/>
          <w:szCs w:val="24"/>
        </w:rPr>
        <w:t xml:space="preserve">Ученые предлагают использовать цифровую международную транспортную логистику, то есть </w:t>
      </w:r>
      <w:proofErr w:type="spellStart"/>
      <w:r w:rsidRPr="002225D2">
        <w:rPr>
          <w:rFonts w:ascii="Times New Roman" w:hAnsi="Times New Roman"/>
          <w:sz w:val="24"/>
          <w:szCs w:val="24"/>
        </w:rPr>
        <w:t>цифровизацию</w:t>
      </w:r>
      <w:proofErr w:type="spellEnd"/>
      <w:r w:rsidRPr="002225D2">
        <w:rPr>
          <w:rFonts w:ascii="Times New Roman" w:hAnsi="Times New Roman"/>
          <w:sz w:val="24"/>
          <w:szCs w:val="24"/>
        </w:rPr>
        <w:t xml:space="preserve"> грузоперевозок, которая включает интеллектуальные системы управления перемещением и отслеживания грузов на всех этапах перевозок, безлюдные технологии, полную автоматизацию документооборота (электронные товарно-транспортные документы) при перевозках внутри страны и в международном сообщении с быстрым электронным таможенным оформлением</w:t>
      </w:r>
      <w:r w:rsidR="00C45C94" w:rsidRPr="008B0088">
        <w:rPr>
          <w:rFonts w:ascii="Times New Roman" w:hAnsi="Times New Roman"/>
          <w:sz w:val="24"/>
          <w:szCs w:val="24"/>
        </w:rPr>
        <w:t xml:space="preserve">[1, </w:t>
      </w:r>
      <w:r w:rsidR="00C45C94" w:rsidRPr="002225D2">
        <w:rPr>
          <w:rFonts w:ascii="Times New Roman" w:hAnsi="Times New Roman"/>
          <w:sz w:val="24"/>
          <w:szCs w:val="24"/>
          <w:lang w:val="en-US"/>
        </w:rPr>
        <w:t>c</w:t>
      </w:r>
      <w:r w:rsidR="00C45C94" w:rsidRPr="008B0088">
        <w:rPr>
          <w:rFonts w:ascii="Times New Roman" w:hAnsi="Times New Roman"/>
          <w:sz w:val="24"/>
          <w:szCs w:val="24"/>
        </w:rPr>
        <w:t>. 116]</w:t>
      </w:r>
      <w:r w:rsidRPr="002225D2">
        <w:rPr>
          <w:rFonts w:ascii="Times New Roman" w:hAnsi="Times New Roman"/>
          <w:sz w:val="24"/>
          <w:szCs w:val="24"/>
        </w:rPr>
        <w:t>.</w:t>
      </w:r>
    </w:p>
    <w:p w:rsidR="00FC1058" w:rsidRPr="002225D2" w:rsidRDefault="00FC1058" w:rsidP="008C25AA">
      <w:pPr>
        <w:spacing w:after="0" w:line="252" w:lineRule="auto"/>
        <w:ind w:firstLine="709"/>
        <w:jc w:val="both"/>
        <w:rPr>
          <w:rFonts w:ascii="Times New Roman" w:hAnsi="Times New Roman"/>
          <w:sz w:val="24"/>
          <w:szCs w:val="24"/>
        </w:rPr>
      </w:pPr>
      <w:r w:rsidRPr="002225D2">
        <w:rPr>
          <w:rFonts w:ascii="Times New Roman" w:hAnsi="Times New Roman"/>
          <w:sz w:val="24"/>
          <w:szCs w:val="24"/>
        </w:rPr>
        <w:t>Главный элемент – цифровые транспортные коридоры, по которым параллельно с товаром движется информация, что ускоряет движение товаров, а значит, сокращает время доставки</w:t>
      </w:r>
      <w:r w:rsidR="00C45C94" w:rsidRPr="008B0088">
        <w:rPr>
          <w:rFonts w:ascii="Times New Roman" w:hAnsi="Times New Roman"/>
          <w:sz w:val="24"/>
          <w:szCs w:val="24"/>
        </w:rPr>
        <w:t xml:space="preserve">[2, </w:t>
      </w:r>
      <w:r w:rsidR="00C45C94" w:rsidRPr="002225D2">
        <w:rPr>
          <w:rFonts w:ascii="Times New Roman" w:hAnsi="Times New Roman"/>
          <w:sz w:val="24"/>
          <w:szCs w:val="24"/>
          <w:lang w:val="en-US"/>
        </w:rPr>
        <w:t>c</w:t>
      </w:r>
      <w:r w:rsidR="00C45C94" w:rsidRPr="008B0088">
        <w:rPr>
          <w:rFonts w:ascii="Times New Roman" w:hAnsi="Times New Roman"/>
          <w:sz w:val="24"/>
          <w:szCs w:val="24"/>
        </w:rPr>
        <w:t>. 43]</w:t>
      </w:r>
      <w:r w:rsidRPr="002225D2">
        <w:rPr>
          <w:rFonts w:ascii="Times New Roman" w:hAnsi="Times New Roman"/>
          <w:sz w:val="24"/>
          <w:szCs w:val="24"/>
        </w:rPr>
        <w:t>.</w:t>
      </w:r>
    </w:p>
    <w:p w:rsidR="00FC1058" w:rsidRPr="002225D2" w:rsidRDefault="00FC1058" w:rsidP="008C25AA">
      <w:pPr>
        <w:spacing w:after="0" w:line="252" w:lineRule="auto"/>
        <w:ind w:firstLine="709"/>
        <w:jc w:val="both"/>
        <w:rPr>
          <w:rFonts w:ascii="Times New Roman" w:hAnsi="Times New Roman"/>
          <w:sz w:val="24"/>
          <w:szCs w:val="24"/>
          <w:shd w:val="clear" w:color="auto" w:fill="FFFFFF"/>
        </w:rPr>
      </w:pPr>
      <w:r w:rsidRPr="002225D2">
        <w:rPr>
          <w:rFonts w:ascii="Times New Roman" w:hAnsi="Times New Roman"/>
          <w:i/>
          <w:iCs/>
          <w:sz w:val="24"/>
          <w:szCs w:val="24"/>
        </w:rPr>
        <w:t>Выводы по выполненному исследованию и направления дальнейших разработок в данном направлении</w:t>
      </w:r>
      <w:r w:rsidRPr="002225D2">
        <w:rPr>
          <w:rFonts w:ascii="Times New Roman" w:hAnsi="Times New Roman"/>
          <w:sz w:val="24"/>
          <w:szCs w:val="24"/>
        </w:rPr>
        <w:t xml:space="preserve">. </w:t>
      </w:r>
      <w:r w:rsidRPr="002225D2">
        <w:rPr>
          <w:rFonts w:ascii="Times New Roman" w:hAnsi="Times New Roman"/>
          <w:sz w:val="24"/>
          <w:szCs w:val="24"/>
          <w:shd w:val="clear" w:color="auto" w:fill="FFFFFF"/>
        </w:rPr>
        <w:t xml:space="preserve"> На официальных сайтах ЕАЭС, ЕЭК представлена противоречивая информация о количестве таможенных перевозчиков, представлена устаревшая информация о деятельности перевозчиков. </w:t>
      </w:r>
    </w:p>
    <w:p w:rsidR="00FC1058" w:rsidRPr="002225D2" w:rsidRDefault="00FC1058" w:rsidP="008C25AA">
      <w:pPr>
        <w:spacing w:after="0" w:line="252" w:lineRule="auto"/>
        <w:ind w:firstLine="709"/>
        <w:jc w:val="both"/>
        <w:rPr>
          <w:rFonts w:ascii="Times New Roman" w:hAnsi="Times New Roman"/>
          <w:sz w:val="24"/>
          <w:szCs w:val="24"/>
          <w:shd w:val="clear" w:color="auto" w:fill="FFFFFF"/>
        </w:rPr>
      </w:pPr>
      <w:r w:rsidRPr="002225D2">
        <w:rPr>
          <w:rFonts w:ascii="Times New Roman" w:hAnsi="Times New Roman"/>
          <w:sz w:val="24"/>
          <w:szCs w:val="24"/>
          <w:shd w:val="clear" w:color="auto" w:fill="FFFFFF"/>
        </w:rPr>
        <w:t xml:space="preserve">С целью получения объективных своевременных данных считаю необходимым введение новых статистических форм в ЕАЭС по таможенным перевозчикам. Для этого необходимо подписать новые соглашения между государствами-членами ЕАЭС. </w:t>
      </w:r>
    </w:p>
    <w:p w:rsidR="00FC1058" w:rsidRDefault="00FC1058" w:rsidP="008C25AA">
      <w:pPr>
        <w:spacing w:after="0" w:line="252" w:lineRule="auto"/>
        <w:ind w:firstLine="709"/>
        <w:jc w:val="both"/>
        <w:rPr>
          <w:rFonts w:ascii="Times New Roman" w:hAnsi="Times New Roman"/>
          <w:sz w:val="24"/>
          <w:szCs w:val="24"/>
          <w:shd w:val="clear" w:color="auto" w:fill="FFFFFF"/>
        </w:rPr>
      </w:pPr>
      <w:r w:rsidRPr="002225D2">
        <w:rPr>
          <w:rFonts w:ascii="Times New Roman" w:hAnsi="Times New Roman"/>
          <w:sz w:val="24"/>
          <w:szCs w:val="24"/>
          <w:shd w:val="clear" w:color="auto" w:fill="FFFFFF"/>
        </w:rPr>
        <w:t>Данная информация будет полезна не только для выполнения НИР, но и для разработки следующей Стратегии развития ЕАЭС, так как торговля и перевозка товаров являются основными направлениями взаимодействия страна ЕАЭС.</w:t>
      </w:r>
    </w:p>
    <w:p w:rsidR="00A64081" w:rsidRPr="00A64081" w:rsidRDefault="00A64081" w:rsidP="008C25AA">
      <w:pPr>
        <w:spacing w:after="0" w:line="252"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t>Для построения нового этапа экономики –</w:t>
      </w:r>
      <w:r w:rsidRPr="008B0088">
        <w:rPr>
          <w:rFonts w:ascii="Times New Roman" w:hAnsi="Times New Roman" w:cs="Times New Roman"/>
          <w:sz w:val="24"/>
          <w:szCs w:val="24"/>
        </w:rPr>
        <w:t xml:space="preserve"> цифровой </w:t>
      </w:r>
      <w:r w:rsidRPr="00A64081">
        <w:rPr>
          <w:rFonts w:ascii="Times New Roman" w:hAnsi="Times New Roman" w:cs="Times New Roman"/>
          <w:sz w:val="24"/>
          <w:szCs w:val="24"/>
        </w:rPr>
        <w:t>экономики</w:t>
      </w:r>
      <w:r>
        <w:rPr>
          <w:rFonts w:ascii="Times New Roman" w:hAnsi="Times New Roman" w:cs="Times New Roman"/>
          <w:sz w:val="24"/>
          <w:szCs w:val="24"/>
        </w:rPr>
        <w:t xml:space="preserve"> в России при использовании перевозок ЕАЭС</w:t>
      </w:r>
      <w:r w:rsidRPr="00A64081">
        <w:rPr>
          <w:rFonts w:ascii="Times New Roman" w:hAnsi="Times New Roman" w:cs="Times New Roman"/>
          <w:sz w:val="24"/>
          <w:szCs w:val="24"/>
        </w:rPr>
        <w:t xml:space="preserve"> </w:t>
      </w:r>
      <w:r>
        <w:rPr>
          <w:rFonts w:ascii="Times New Roman" w:hAnsi="Times New Roman" w:cs="Times New Roman"/>
          <w:sz w:val="24"/>
          <w:szCs w:val="24"/>
        </w:rPr>
        <w:t>и в</w:t>
      </w:r>
      <w:r w:rsidRPr="00A64081">
        <w:rPr>
          <w:rFonts w:ascii="Times New Roman" w:hAnsi="Times New Roman" w:cs="Times New Roman"/>
          <w:sz w:val="24"/>
          <w:szCs w:val="24"/>
        </w:rPr>
        <w:t xml:space="preserve"> </w:t>
      </w:r>
      <w:r>
        <w:rPr>
          <w:rFonts w:ascii="Times New Roman" w:hAnsi="Times New Roman" w:cs="Times New Roman"/>
          <w:sz w:val="24"/>
          <w:szCs w:val="24"/>
        </w:rPr>
        <w:t>соответствии со Стратегией</w:t>
      </w:r>
      <w:r w:rsidRPr="00A64081">
        <w:rPr>
          <w:rFonts w:ascii="Times New Roman" w:hAnsi="Times New Roman" w:cs="Times New Roman"/>
          <w:sz w:val="24"/>
          <w:szCs w:val="24"/>
        </w:rPr>
        <w:t xml:space="preserve"> </w:t>
      </w:r>
      <w:r w:rsidRPr="00A64081">
        <w:rPr>
          <w:rFonts w:ascii="Times New Roman" w:hAnsi="Times New Roman" w:cs="Times New Roman"/>
          <w:color w:val="000000"/>
          <w:sz w:val="24"/>
          <w:szCs w:val="24"/>
        </w:rPr>
        <w:t xml:space="preserve"> развития таможенной службы </w:t>
      </w:r>
      <w:r>
        <w:rPr>
          <w:rFonts w:ascii="Times New Roman" w:hAnsi="Times New Roman" w:cs="Times New Roman"/>
          <w:color w:val="000000"/>
          <w:sz w:val="24"/>
          <w:szCs w:val="24"/>
        </w:rPr>
        <w:t>РФ</w:t>
      </w:r>
      <w:r w:rsidRPr="00A64081">
        <w:rPr>
          <w:rFonts w:ascii="Times New Roman" w:hAnsi="Times New Roman" w:cs="Times New Roman"/>
          <w:color w:val="000000"/>
          <w:sz w:val="24"/>
          <w:szCs w:val="24"/>
        </w:rPr>
        <w:t xml:space="preserve"> до 2030 года </w:t>
      </w:r>
      <w:r>
        <w:rPr>
          <w:rFonts w:ascii="Times New Roman" w:hAnsi="Times New Roman" w:cs="Times New Roman"/>
          <w:color w:val="000000"/>
          <w:sz w:val="24"/>
          <w:szCs w:val="24"/>
        </w:rPr>
        <w:t xml:space="preserve">необходима </w:t>
      </w:r>
      <w:r>
        <w:rPr>
          <w:rFonts w:ascii="Times New Roman" w:hAnsi="Times New Roman" w:cs="Times New Roman"/>
          <w:sz w:val="24"/>
          <w:szCs w:val="24"/>
        </w:rPr>
        <w:t>цифровая</w:t>
      </w:r>
      <w:r w:rsidRPr="00A64081">
        <w:rPr>
          <w:rFonts w:ascii="Times New Roman" w:hAnsi="Times New Roman" w:cs="Times New Roman"/>
          <w:sz w:val="24"/>
          <w:szCs w:val="24"/>
        </w:rPr>
        <w:t xml:space="preserve"> </w:t>
      </w:r>
      <w:r>
        <w:rPr>
          <w:rFonts w:ascii="Times New Roman" w:hAnsi="Times New Roman" w:cs="Times New Roman"/>
          <w:sz w:val="24"/>
          <w:szCs w:val="24"/>
        </w:rPr>
        <w:t>трансформация</w:t>
      </w:r>
      <w:r w:rsidRPr="00A64081">
        <w:rPr>
          <w:rFonts w:ascii="Times New Roman" w:hAnsi="Times New Roman" w:cs="Times New Roman"/>
          <w:sz w:val="24"/>
          <w:szCs w:val="24"/>
        </w:rPr>
        <w:t xml:space="preserve"> технологий таможенного оформления и таможенного контроля до и после выпуска товаров с использованием методов искусственного интеллекта</w:t>
      </w:r>
      <w:r>
        <w:rPr>
          <w:rFonts w:ascii="Times New Roman" w:hAnsi="Times New Roman" w:cs="Times New Roman"/>
          <w:sz w:val="24"/>
          <w:szCs w:val="24"/>
        </w:rPr>
        <w:t>.</w:t>
      </w:r>
      <w:r w:rsidRPr="00A64081">
        <w:rPr>
          <w:rFonts w:ascii="Times New Roman" w:hAnsi="Times New Roman" w:cs="Times New Roman"/>
          <w:sz w:val="24"/>
          <w:szCs w:val="24"/>
        </w:rPr>
        <w:t xml:space="preserve"> </w:t>
      </w:r>
    </w:p>
    <w:p w:rsidR="00AF508B" w:rsidRPr="00A64081" w:rsidRDefault="00AF508B" w:rsidP="00886E29">
      <w:pPr>
        <w:spacing w:after="0" w:line="252" w:lineRule="auto"/>
        <w:ind w:firstLine="426"/>
        <w:jc w:val="both"/>
        <w:rPr>
          <w:rFonts w:ascii="Times New Roman" w:hAnsi="Times New Roman" w:cs="Times New Roman"/>
          <w:sz w:val="24"/>
          <w:szCs w:val="24"/>
        </w:rPr>
      </w:pPr>
    </w:p>
    <w:p w:rsidR="00827E82" w:rsidRPr="002225D2" w:rsidRDefault="0039689C" w:rsidP="0039689C">
      <w:pPr>
        <w:pStyle w:val="3"/>
        <w:spacing w:line="274" w:lineRule="exact"/>
        <w:ind w:left="3413"/>
        <w:jc w:val="both"/>
        <w:rPr>
          <w:rFonts w:ascii="Times New Roman" w:hAnsi="Times New Roman"/>
          <w:color w:val="auto"/>
          <w:sz w:val="24"/>
          <w:szCs w:val="24"/>
        </w:rPr>
      </w:pPr>
      <w:r w:rsidRPr="002225D2">
        <w:rPr>
          <w:rFonts w:ascii="Times New Roman" w:hAnsi="Times New Roman"/>
          <w:color w:val="auto"/>
          <w:sz w:val="24"/>
          <w:szCs w:val="24"/>
        </w:rPr>
        <w:t>Библиографический</w:t>
      </w:r>
      <w:r w:rsidRPr="002225D2">
        <w:rPr>
          <w:rFonts w:ascii="Times New Roman" w:hAnsi="Times New Roman"/>
          <w:color w:val="auto"/>
          <w:spacing w:val="-7"/>
          <w:sz w:val="24"/>
          <w:szCs w:val="24"/>
        </w:rPr>
        <w:t xml:space="preserve"> </w:t>
      </w:r>
      <w:r w:rsidRPr="002225D2">
        <w:rPr>
          <w:rFonts w:ascii="Times New Roman" w:hAnsi="Times New Roman"/>
          <w:color w:val="auto"/>
          <w:sz w:val="24"/>
          <w:szCs w:val="24"/>
        </w:rPr>
        <w:t>список</w:t>
      </w:r>
    </w:p>
    <w:p w:rsidR="00FC1058" w:rsidRPr="002225D2" w:rsidRDefault="00FC1058" w:rsidP="00DA36E9">
      <w:pPr>
        <w:pStyle w:val="aa"/>
        <w:numPr>
          <w:ilvl w:val="0"/>
          <w:numId w:val="1"/>
        </w:numPr>
        <w:autoSpaceDN w:val="0"/>
        <w:spacing w:after="0" w:line="240" w:lineRule="auto"/>
        <w:ind w:left="0" w:firstLine="709"/>
        <w:jc w:val="both"/>
        <w:textAlignment w:val="top"/>
        <w:rPr>
          <w:rFonts w:ascii="Times New Roman" w:hAnsi="Times New Roman"/>
          <w:bCs/>
          <w:sz w:val="24"/>
          <w:szCs w:val="24"/>
          <w:shd w:val="clear" w:color="auto" w:fill="FFFFFF"/>
        </w:rPr>
      </w:pPr>
      <w:proofErr w:type="spellStart"/>
      <w:r w:rsidRPr="002225D2">
        <w:rPr>
          <w:rFonts w:ascii="Times New Roman" w:hAnsi="Times New Roman"/>
          <w:bCs/>
          <w:sz w:val="24"/>
          <w:szCs w:val="24"/>
          <w:shd w:val="clear" w:color="auto" w:fill="FFFFFF"/>
        </w:rPr>
        <w:t>Лучкин</w:t>
      </w:r>
      <w:proofErr w:type="spellEnd"/>
      <w:r w:rsidRPr="002225D2">
        <w:rPr>
          <w:rFonts w:ascii="Times New Roman" w:hAnsi="Times New Roman"/>
          <w:bCs/>
          <w:sz w:val="24"/>
          <w:szCs w:val="24"/>
          <w:shd w:val="clear" w:color="auto" w:fill="FFFFFF"/>
        </w:rPr>
        <w:t xml:space="preserve">, А. Г. Таможенная процедура "таможенный транзит", как звено </w:t>
      </w:r>
      <w:proofErr w:type="spellStart"/>
      <w:r w:rsidRPr="002225D2">
        <w:rPr>
          <w:rFonts w:ascii="Times New Roman" w:hAnsi="Times New Roman"/>
          <w:bCs/>
          <w:sz w:val="24"/>
          <w:szCs w:val="24"/>
          <w:shd w:val="clear" w:color="auto" w:fill="FFFFFF"/>
        </w:rPr>
        <w:t>логистической</w:t>
      </w:r>
      <w:proofErr w:type="spellEnd"/>
      <w:r w:rsidRPr="002225D2">
        <w:rPr>
          <w:rFonts w:ascii="Times New Roman" w:hAnsi="Times New Roman"/>
          <w:bCs/>
          <w:sz w:val="24"/>
          <w:szCs w:val="24"/>
          <w:shd w:val="clear" w:color="auto" w:fill="FFFFFF"/>
        </w:rPr>
        <w:t xml:space="preserve"> схемы ввоза грузов на таможенную территорию ЕАЭС / А.Г. </w:t>
      </w:r>
      <w:proofErr w:type="spellStart"/>
      <w:r w:rsidRPr="002225D2">
        <w:rPr>
          <w:rFonts w:ascii="Times New Roman" w:hAnsi="Times New Roman"/>
          <w:bCs/>
          <w:sz w:val="24"/>
          <w:szCs w:val="24"/>
          <w:shd w:val="clear" w:color="auto" w:fill="FFFFFF"/>
        </w:rPr>
        <w:t>Лучкин</w:t>
      </w:r>
      <w:proofErr w:type="spellEnd"/>
      <w:r w:rsidRPr="002225D2">
        <w:rPr>
          <w:rFonts w:ascii="Times New Roman" w:hAnsi="Times New Roman"/>
          <w:bCs/>
          <w:sz w:val="24"/>
          <w:szCs w:val="24"/>
          <w:shd w:val="clear" w:color="auto" w:fill="FFFFFF"/>
        </w:rPr>
        <w:t>, Н.А. Афанасьева// Теоретические и концептуальные проблемы логистики. – Пенза</w:t>
      </w:r>
      <w:proofErr w:type="gramStart"/>
      <w:r w:rsidRPr="002225D2">
        <w:rPr>
          <w:rFonts w:ascii="Times New Roman" w:hAnsi="Times New Roman"/>
          <w:bCs/>
          <w:sz w:val="24"/>
          <w:szCs w:val="24"/>
          <w:shd w:val="clear" w:color="auto" w:fill="FFFFFF"/>
        </w:rPr>
        <w:t xml:space="preserve"> :</w:t>
      </w:r>
      <w:proofErr w:type="gramEnd"/>
      <w:r w:rsidRPr="002225D2">
        <w:rPr>
          <w:rFonts w:ascii="Times New Roman" w:hAnsi="Times New Roman"/>
          <w:bCs/>
          <w:sz w:val="24"/>
          <w:szCs w:val="24"/>
          <w:shd w:val="clear" w:color="auto" w:fill="FFFFFF"/>
        </w:rPr>
        <w:t xml:space="preserve"> Пензенский государственный аграрный университет, 2021. – С.113-140</w:t>
      </w:r>
    </w:p>
    <w:p w:rsidR="0035288D" w:rsidRPr="002225D2" w:rsidRDefault="00FC1058" w:rsidP="00DA36E9">
      <w:pPr>
        <w:pStyle w:val="aa"/>
        <w:numPr>
          <w:ilvl w:val="0"/>
          <w:numId w:val="1"/>
        </w:numPr>
        <w:autoSpaceDN w:val="0"/>
        <w:spacing w:after="0" w:line="240" w:lineRule="auto"/>
        <w:ind w:left="0" w:firstLine="709"/>
        <w:jc w:val="both"/>
        <w:textAlignment w:val="top"/>
        <w:rPr>
          <w:rFonts w:ascii="Times New Roman" w:hAnsi="Times New Roman"/>
          <w:sz w:val="24"/>
          <w:szCs w:val="24"/>
        </w:rPr>
      </w:pPr>
      <w:r w:rsidRPr="002225D2">
        <w:rPr>
          <w:rFonts w:ascii="Times New Roman" w:hAnsi="Times New Roman"/>
          <w:bCs/>
          <w:sz w:val="24"/>
          <w:szCs w:val="24"/>
          <w:shd w:val="clear" w:color="auto" w:fill="FFFFFF"/>
        </w:rPr>
        <w:t xml:space="preserve">Чечулин, Ю.О. </w:t>
      </w:r>
      <w:r w:rsidRPr="002225D2">
        <w:rPr>
          <w:rStyle w:val="js-item-maininfo"/>
          <w:rFonts w:ascii="Times New Roman" w:hAnsi="Times New Roman"/>
          <w:sz w:val="24"/>
          <w:szCs w:val="24"/>
          <w:shd w:val="clear" w:color="auto" w:fill="FFFFFF"/>
        </w:rPr>
        <w:t>Механизм управления качеством таможенных услуг в условиях Евразийского экономического союза</w:t>
      </w:r>
      <w:proofErr w:type="gramStart"/>
      <w:r w:rsidRPr="002225D2">
        <w:rPr>
          <w:rStyle w:val="js-item-maininfo"/>
          <w:rFonts w:ascii="Times New Roman" w:hAnsi="Times New Roman"/>
          <w:sz w:val="24"/>
          <w:szCs w:val="24"/>
          <w:shd w:val="clear" w:color="auto" w:fill="FFFFFF"/>
        </w:rPr>
        <w:t xml:space="preserve"> :</w:t>
      </w:r>
      <w:proofErr w:type="gramEnd"/>
      <w:r w:rsidRPr="002225D2">
        <w:rPr>
          <w:rStyle w:val="js-item-maininfo"/>
          <w:rFonts w:ascii="Times New Roman" w:hAnsi="Times New Roman"/>
          <w:sz w:val="24"/>
          <w:szCs w:val="24"/>
          <w:shd w:val="clear" w:color="auto" w:fill="FFFFFF"/>
        </w:rPr>
        <w:t xml:space="preserve"> </w:t>
      </w:r>
      <w:proofErr w:type="spellStart"/>
      <w:r w:rsidRPr="002225D2">
        <w:rPr>
          <w:rStyle w:val="js-item-maininfo"/>
          <w:rFonts w:ascii="Times New Roman" w:hAnsi="Times New Roman"/>
          <w:sz w:val="24"/>
          <w:szCs w:val="24"/>
          <w:shd w:val="clear" w:color="auto" w:fill="FFFFFF"/>
        </w:rPr>
        <w:t>дис</w:t>
      </w:r>
      <w:proofErr w:type="spellEnd"/>
      <w:r w:rsidRPr="002225D2">
        <w:rPr>
          <w:rStyle w:val="js-item-maininfo"/>
          <w:rFonts w:ascii="Times New Roman" w:hAnsi="Times New Roman"/>
          <w:sz w:val="24"/>
          <w:szCs w:val="24"/>
          <w:shd w:val="clear" w:color="auto" w:fill="FFFFFF"/>
        </w:rPr>
        <w:t>. ... кандидата экономических</w:t>
      </w:r>
      <w:r w:rsidR="00C45C94" w:rsidRPr="002225D2">
        <w:rPr>
          <w:rStyle w:val="js-item-maininfo"/>
          <w:rFonts w:ascii="Times New Roman" w:hAnsi="Times New Roman"/>
          <w:sz w:val="24"/>
          <w:szCs w:val="24"/>
          <w:shd w:val="clear" w:color="auto" w:fill="FFFFFF"/>
        </w:rPr>
        <w:t xml:space="preserve"> наук : 08.00.05 / Ю.О. Чечулин</w:t>
      </w:r>
      <w:r w:rsidRPr="002225D2">
        <w:rPr>
          <w:rStyle w:val="js-item-maininfo"/>
          <w:rFonts w:ascii="Times New Roman" w:hAnsi="Times New Roman"/>
          <w:sz w:val="24"/>
          <w:szCs w:val="24"/>
          <w:shd w:val="clear" w:color="auto" w:fill="FFFFFF"/>
        </w:rPr>
        <w:t xml:space="preserve">. – Люберцы, 2020. – </w:t>
      </w:r>
      <w:r w:rsidR="00C45C94" w:rsidRPr="008B0088">
        <w:rPr>
          <w:rStyle w:val="js-item-maininfo"/>
          <w:rFonts w:ascii="Times New Roman" w:hAnsi="Times New Roman"/>
          <w:sz w:val="24"/>
          <w:szCs w:val="24"/>
          <w:shd w:val="clear" w:color="auto" w:fill="FFFFFF"/>
        </w:rPr>
        <w:t>18</w:t>
      </w:r>
      <w:r w:rsidRPr="002225D2">
        <w:rPr>
          <w:rStyle w:val="js-item-maininfo"/>
          <w:rFonts w:ascii="Times New Roman" w:hAnsi="Times New Roman"/>
          <w:sz w:val="24"/>
          <w:szCs w:val="24"/>
          <w:shd w:val="clear" w:color="auto" w:fill="FFFFFF"/>
        </w:rPr>
        <w:t xml:space="preserve">6 </w:t>
      </w:r>
      <w:proofErr w:type="gramStart"/>
      <w:r w:rsidRPr="002225D2">
        <w:rPr>
          <w:rStyle w:val="js-item-maininfo"/>
          <w:rFonts w:ascii="Times New Roman" w:hAnsi="Times New Roman"/>
          <w:sz w:val="24"/>
          <w:szCs w:val="24"/>
          <w:shd w:val="clear" w:color="auto" w:fill="FFFFFF"/>
        </w:rPr>
        <w:t>с</w:t>
      </w:r>
      <w:proofErr w:type="gramEnd"/>
      <w:r w:rsidRPr="002225D2">
        <w:rPr>
          <w:rStyle w:val="js-item-maininfo"/>
          <w:rFonts w:ascii="Times New Roman" w:hAnsi="Times New Roman"/>
          <w:sz w:val="24"/>
          <w:szCs w:val="24"/>
          <w:shd w:val="clear" w:color="auto" w:fill="FFFFFF"/>
        </w:rPr>
        <w:t>.</w:t>
      </w:r>
      <w:r w:rsidRPr="002225D2">
        <w:rPr>
          <w:rFonts w:ascii="Times New Roman" w:hAnsi="Times New Roman"/>
          <w:sz w:val="24"/>
          <w:szCs w:val="24"/>
        </w:rPr>
        <w:t xml:space="preserve"> </w:t>
      </w:r>
    </w:p>
    <w:p w:rsidR="00FC1058" w:rsidRPr="002225D2" w:rsidRDefault="00FC1058" w:rsidP="00DA36E9">
      <w:pPr>
        <w:pStyle w:val="aa"/>
        <w:numPr>
          <w:ilvl w:val="0"/>
          <w:numId w:val="1"/>
        </w:numPr>
        <w:spacing w:after="0" w:line="240" w:lineRule="auto"/>
        <w:ind w:left="0" w:firstLine="709"/>
        <w:jc w:val="both"/>
        <w:rPr>
          <w:rFonts w:ascii="Times New Roman" w:hAnsi="Times New Roman"/>
          <w:sz w:val="24"/>
          <w:szCs w:val="24"/>
        </w:rPr>
      </w:pPr>
      <w:r w:rsidRPr="002225D2">
        <w:rPr>
          <w:rFonts w:ascii="Times New Roman" w:eastAsia="Times New Roman" w:hAnsi="Times New Roman"/>
          <w:sz w:val="24"/>
          <w:szCs w:val="24"/>
          <w:lang w:eastAsia="ru-RU"/>
        </w:rPr>
        <w:t xml:space="preserve">Таможенный кодекс Евразийского экономического союза (приложение N 1 к Договору о Таможенном кодексе Евразийского экономического союза от 11 апреля 2017г.) // Интернет-портал правовой </w:t>
      </w:r>
      <w:r w:rsidRPr="002225D2">
        <w:rPr>
          <w:rFonts w:ascii="Times New Roman" w:hAnsi="Times New Roman"/>
          <w:sz w:val="24"/>
          <w:szCs w:val="24"/>
        </w:rPr>
        <w:t xml:space="preserve">информации  </w:t>
      </w:r>
      <w:hyperlink r:id="rId22" w:history="1">
        <w:r w:rsidR="005D0F82" w:rsidRPr="002225D2">
          <w:rPr>
            <w:rStyle w:val="a8"/>
            <w:rFonts w:ascii="Times New Roman" w:hAnsi="Times New Roman"/>
            <w:color w:val="auto"/>
            <w:sz w:val="24"/>
            <w:szCs w:val="24"/>
          </w:rPr>
          <w:t>http://www.consultant.ru/document /cons_doc_LAW_215315/</w:t>
        </w:r>
      </w:hyperlink>
      <w:r w:rsidR="005E32F3" w:rsidRPr="002225D2">
        <w:rPr>
          <w:rStyle w:val="a8"/>
          <w:rFonts w:ascii="Times New Roman" w:hAnsi="Times New Roman"/>
          <w:color w:val="auto"/>
          <w:sz w:val="24"/>
          <w:szCs w:val="24"/>
        </w:rPr>
        <w:t xml:space="preserve"> </w:t>
      </w:r>
      <w:r w:rsidR="005E32F3" w:rsidRPr="008B0088">
        <w:rPr>
          <w:rFonts w:ascii="Times New Roman" w:hAnsi="Times New Roman"/>
          <w:sz w:val="24"/>
          <w:szCs w:val="24"/>
        </w:rPr>
        <w:t>(</w:t>
      </w:r>
      <w:r w:rsidR="005E32F3" w:rsidRPr="002225D2">
        <w:rPr>
          <w:rFonts w:ascii="Times New Roman" w:hAnsi="Times New Roman"/>
          <w:sz w:val="24"/>
          <w:szCs w:val="24"/>
        </w:rPr>
        <w:t>дата</w:t>
      </w:r>
      <w:r w:rsidR="005E32F3" w:rsidRPr="008B0088">
        <w:rPr>
          <w:rFonts w:ascii="Times New Roman" w:hAnsi="Times New Roman"/>
          <w:sz w:val="24"/>
          <w:szCs w:val="24"/>
        </w:rPr>
        <w:t xml:space="preserve"> </w:t>
      </w:r>
      <w:r w:rsidR="005E32F3" w:rsidRPr="002225D2">
        <w:rPr>
          <w:rFonts w:ascii="Times New Roman" w:hAnsi="Times New Roman"/>
          <w:sz w:val="24"/>
          <w:szCs w:val="24"/>
        </w:rPr>
        <w:t>обращения</w:t>
      </w:r>
      <w:r w:rsidR="005E32F3" w:rsidRPr="008B0088">
        <w:rPr>
          <w:rFonts w:ascii="Times New Roman" w:hAnsi="Times New Roman"/>
          <w:sz w:val="24"/>
          <w:szCs w:val="24"/>
        </w:rPr>
        <w:t>: 0</w:t>
      </w:r>
      <w:r w:rsidR="005E32F3" w:rsidRPr="002225D2">
        <w:rPr>
          <w:rFonts w:ascii="Times New Roman" w:hAnsi="Times New Roman"/>
          <w:sz w:val="24"/>
          <w:szCs w:val="24"/>
        </w:rPr>
        <w:t>5</w:t>
      </w:r>
      <w:r w:rsidR="005E32F3" w:rsidRPr="008B0088">
        <w:rPr>
          <w:rFonts w:ascii="Times New Roman" w:hAnsi="Times New Roman"/>
          <w:sz w:val="24"/>
          <w:szCs w:val="24"/>
        </w:rPr>
        <w:t>.05.202</w:t>
      </w:r>
      <w:r w:rsidR="005E32F3" w:rsidRPr="002225D2">
        <w:rPr>
          <w:rFonts w:ascii="Times New Roman" w:hAnsi="Times New Roman"/>
          <w:sz w:val="24"/>
          <w:szCs w:val="24"/>
        </w:rPr>
        <w:t>2</w:t>
      </w:r>
      <w:r w:rsidR="005E32F3" w:rsidRPr="008B0088">
        <w:rPr>
          <w:rFonts w:ascii="Times New Roman" w:hAnsi="Times New Roman"/>
          <w:sz w:val="24"/>
          <w:szCs w:val="24"/>
        </w:rPr>
        <w:t>)</w:t>
      </w:r>
    </w:p>
    <w:p w:rsidR="00854770" w:rsidRPr="002225D2" w:rsidRDefault="00FC1058" w:rsidP="00DA36E9">
      <w:pPr>
        <w:pStyle w:val="aa"/>
        <w:numPr>
          <w:ilvl w:val="0"/>
          <w:numId w:val="1"/>
        </w:numPr>
        <w:autoSpaceDN w:val="0"/>
        <w:spacing w:after="0" w:line="240" w:lineRule="auto"/>
        <w:ind w:left="0" w:firstLine="709"/>
        <w:contextualSpacing w:val="0"/>
        <w:jc w:val="both"/>
        <w:rPr>
          <w:rFonts w:ascii="Times New Roman" w:eastAsia="Times New Roman" w:hAnsi="Times New Roman"/>
          <w:sz w:val="24"/>
          <w:szCs w:val="24"/>
          <w:lang w:eastAsia="ru-RU"/>
        </w:rPr>
      </w:pPr>
      <w:r w:rsidRPr="002225D2">
        <w:rPr>
          <w:rFonts w:ascii="Times New Roman" w:hAnsi="Times New Roman"/>
          <w:sz w:val="24"/>
          <w:szCs w:val="24"/>
        </w:rPr>
        <w:t xml:space="preserve">Приказ ФТС России от 19.02.2019 N 289 "Об утверждении Порядка исключения юридических лиц из реестра таможенных перевозчиков" (Зарегистрировано в Минюсте России 21.03.2019 N 54124) </w:t>
      </w:r>
      <w:r w:rsidR="0035288D" w:rsidRPr="002225D2">
        <w:rPr>
          <w:rFonts w:ascii="Times New Roman" w:hAnsi="Times New Roman"/>
          <w:sz w:val="24"/>
          <w:szCs w:val="24"/>
        </w:rPr>
        <w:t xml:space="preserve">// </w:t>
      </w:r>
      <w:r w:rsidRPr="002225D2">
        <w:rPr>
          <w:rFonts w:ascii="Times New Roman" w:hAnsi="Times New Roman"/>
          <w:sz w:val="24"/>
          <w:szCs w:val="24"/>
        </w:rPr>
        <w:t xml:space="preserve">Официальный  интернет-портал  правовой  информации  </w:t>
      </w:r>
      <w:hyperlink r:id="rId23" w:history="1">
        <w:r w:rsidRPr="002225D2">
          <w:rPr>
            <w:rStyle w:val="a8"/>
            <w:rFonts w:ascii="Times New Roman" w:hAnsi="Times New Roman"/>
            <w:color w:val="auto"/>
            <w:sz w:val="24"/>
            <w:szCs w:val="24"/>
          </w:rPr>
          <w:t>http://www.pravo.gov.ru</w:t>
        </w:r>
      </w:hyperlink>
      <w:r w:rsidR="0011666E" w:rsidRPr="002225D2">
        <w:rPr>
          <w:rStyle w:val="a8"/>
          <w:rFonts w:ascii="Times New Roman" w:hAnsi="Times New Roman"/>
          <w:color w:val="auto"/>
          <w:sz w:val="24"/>
          <w:szCs w:val="24"/>
        </w:rPr>
        <w:t xml:space="preserve"> </w:t>
      </w:r>
      <w:r w:rsidR="0011666E" w:rsidRPr="008B0088">
        <w:rPr>
          <w:rFonts w:ascii="Times New Roman" w:hAnsi="Times New Roman"/>
          <w:sz w:val="24"/>
          <w:szCs w:val="24"/>
        </w:rPr>
        <w:t>(</w:t>
      </w:r>
      <w:r w:rsidR="0011666E" w:rsidRPr="002225D2">
        <w:rPr>
          <w:rFonts w:ascii="Times New Roman" w:hAnsi="Times New Roman"/>
          <w:sz w:val="24"/>
          <w:szCs w:val="24"/>
        </w:rPr>
        <w:t>дата</w:t>
      </w:r>
      <w:r w:rsidR="0011666E" w:rsidRPr="008B0088">
        <w:rPr>
          <w:rFonts w:ascii="Times New Roman" w:hAnsi="Times New Roman"/>
          <w:sz w:val="24"/>
          <w:szCs w:val="24"/>
        </w:rPr>
        <w:t xml:space="preserve"> </w:t>
      </w:r>
      <w:r w:rsidR="0011666E" w:rsidRPr="002225D2">
        <w:rPr>
          <w:rFonts w:ascii="Times New Roman" w:hAnsi="Times New Roman"/>
          <w:sz w:val="24"/>
          <w:szCs w:val="24"/>
        </w:rPr>
        <w:t>обращения</w:t>
      </w:r>
      <w:r w:rsidR="0011666E" w:rsidRPr="008B0088">
        <w:rPr>
          <w:rFonts w:ascii="Times New Roman" w:hAnsi="Times New Roman"/>
          <w:sz w:val="24"/>
          <w:szCs w:val="24"/>
        </w:rPr>
        <w:t>: 0</w:t>
      </w:r>
      <w:r w:rsidR="0011666E" w:rsidRPr="002225D2">
        <w:rPr>
          <w:rFonts w:ascii="Times New Roman" w:hAnsi="Times New Roman"/>
          <w:sz w:val="24"/>
          <w:szCs w:val="24"/>
        </w:rPr>
        <w:t>5</w:t>
      </w:r>
      <w:r w:rsidR="0011666E" w:rsidRPr="008B0088">
        <w:rPr>
          <w:rFonts w:ascii="Times New Roman" w:hAnsi="Times New Roman"/>
          <w:sz w:val="24"/>
          <w:szCs w:val="24"/>
        </w:rPr>
        <w:t>.05.202</w:t>
      </w:r>
      <w:r w:rsidR="0011666E" w:rsidRPr="002225D2">
        <w:rPr>
          <w:rFonts w:ascii="Times New Roman" w:hAnsi="Times New Roman"/>
          <w:sz w:val="24"/>
          <w:szCs w:val="24"/>
        </w:rPr>
        <w:t>2</w:t>
      </w:r>
      <w:r w:rsidR="0011666E" w:rsidRPr="008B0088">
        <w:rPr>
          <w:rFonts w:ascii="Times New Roman" w:hAnsi="Times New Roman"/>
          <w:sz w:val="24"/>
          <w:szCs w:val="24"/>
        </w:rPr>
        <w:t>)</w:t>
      </w:r>
    </w:p>
    <w:p w:rsidR="0039689C" w:rsidRPr="002225D2" w:rsidRDefault="0039689C" w:rsidP="0039689C">
      <w:pPr>
        <w:pStyle w:val="aa"/>
        <w:autoSpaceDN w:val="0"/>
        <w:spacing w:after="0" w:line="240" w:lineRule="auto"/>
        <w:ind w:left="426"/>
        <w:contextualSpacing w:val="0"/>
        <w:jc w:val="both"/>
        <w:rPr>
          <w:rFonts w:ascii="Times New Roman" w:hAnsi="Times New Roman"/>
          <w:sz w:val="24"/>
          <w:szCs w:val="24"/>
        </w:rPr>
      </w:pPr>
    </w:p>
    <w:p w:rsidR="0039689C" w:rsidRPr="002225D2" w:rsidRDefault="0039689C" w:rsidP="0039689C">
      <w:pPr>
        <w:pStyle w:val="3"/>
        <w:spacing w:line="274" w:lineRule="exact"/>
        <w:ind w:left="3682"/>
        <w:jc w:val="both"/>
        <w:rPr>
          <w:rFonts w:ascii="Times New Roman" w:hAnsi="Times New Roman"/>
          <w:color w:val="auto"/>
        </w:rPr>
      </w:pPr>
      <w:r w:rsidRPr="002225D2">
        <w:rPr>
          <w:rFonts w:ascii="Times New Roman" w:hAnsi="Times New Roman"/>
          <w:color w:val="auto"/>
        </w:rPr>
        <w:t>Информация</w:t>
      </w:r>
      <w:r w:rsidRPr="002225D2">
        <w:rPr>
          <w:rFonts w:ascii="Times New Roman" w:hAnsi="Times New Roman"/>
          <w:color w:val="auto"/>
          <w:spacing w:val="-8"/>
        </w:rPr>
        <w:t xml:space="preserve"> </w:t>
      </w:r>
      <w:r w:rsidRPr="002225D2">
        <w:rPr>
          <w:rFonts w:ascii="Times New Roman" w:hAnsi="Times New Roman"/>
          <w:color w:val="auto"/>
        </w:rPr>
        <w:t>об</w:t>
      </w:r>
      <w:r w:rsidRPr="002225D2">
        <w:rPr>
          <w:rFonts w:ascii="Times New Roman" w:hAnsi="Times New Roman"/>
          <w:color w:val="auto"/>
          <w:spacing w:val="-6"/>
        </w:rPr>
        <w:t xml:space="preserve"> </w:t>
      </w:r>
      <w:r w:rsidRPr="002225D2">
        <w:rPr>
          <w:rFonts w:ascii="Times New Roman" w:hAnsi="Times New Roman"/>
          <w:color w:val="auto"/>
        </w:rPr>
        <w:t>авторе</w:t>
      </w:r>
    </w:p>
    <w:p w:rsidR="0039689C" w:rsidRPr="002225D2" w:rsidRDefault="0039689C" w:rsidP="00B027FF">
      <w:pPr>
        <w:tabs>
          <w:tab w:val="left" w:pos="1843"/>
        </w:tabs>
        <w:spacing w:after="0" w:line="240" w:lineRule="auto"/>
        <w:jc w:val="both"/>
        <w:rPr>
          <w:rFonts w:ascii="Times New Roman" w:hAnsi="Times New Roman" w:cs="Times New Roman"/>
          <w:sz w:val="24"/>
          <w:szCs w:val="24"/>
        </w:rPr>
      </w:pPr>
      <w:r w:rsidRPr="002225D2">
        <w:rPr>
          <w:rFonts w:ascii="Times New Roman" w:hAnsi="Times New Roman" w:cs="Times New Roman"/>
          <w:sz w:val="24"/>
          <w:szCs w:val="24"/>
        </w:rPr>
        <w:t>Разбейко Наталья Викторовна</w:t>
      </w:r>
      <w:r w:rsidR="001E5191" w:rsidRPr="002225D2">
        <w:rPr>
          <w:rFonts w:ascii="Times New Roman" w:hAnsi="Times New Roman" w:cs="Times New Roman"/>
          <w:sz w:val="24"/>
          <w:szCs w:val="24"/>
        </w:rPr>
        <w:t xml:space="preserve"> </w:t>
      </w:r>
      <w:r w:rsidR="00B027FF" w:rsidRPr="002225D2">
        <w:rPr>
          <w:rFonts w:ascii="Times New Roman" w:hAnsi="Times New Roman" w:cs="Times New Roman"/>
          <w:sz w:val="24"/>
          <w:szCs w:val="24"/>
        </w:rPr>
        <w:t>(ДНР, г. Донецк) –</w:t>
      </w:r>
      <w:r w:rsidRPr="002225D2">
        <w:rPr>
          <w:rFonts w:ascii="Times New Roman" w:hAnsi="Times New Roman" w:cs="Times New Roman"/>
          <w:sz w:val="24"/>
          <w:szCs w:val="24"/>
        </w:rPr>
        <w:t xml:space="preserve"> старший преподаватель, </w:t>
      </w:r>
      <w:r w:rsidR="00B027FF" w:rsidRPr="002225D2">
        <w:rPr>
          <w:rFonts w:ascii="Times New Roman" w:hAnsi="Times New Roman" w:cs="Times New Roman"/>
          <w:sz w:val="24"/>
          <w:szCs w:val="24"/>
        </w:rPr>
        <w:t xml:space="preserve">Государственное образовательное учреждение высшего профессионального образования «Донецкая академия управления и государственной службы при Главе Донецкой Народной Республики»  </w:t>
      </w:r>
      <w:r w:rsidR="003E2E43" w:rsidRPr="002225D2">
        <w:rPr>
          <w:rFonts w:ascii="Times New Roman" w:hAnsi="Times New Roman" w:cs="Times New Roman"/>
          <w:sz w:val="24"/>
          <w:szCs w:val="24"/>
        </w:rPr>
        <w:t>(</w:t>
      </w:r>
      <w:r w:rsidRPr="002225D2">
        <w:rPr>
          <w:rFonts w:ascii="Times New Roman" w:hAnsi="Times New Roman" w:cs="Times New Roman"/>
          <w:sz w:val="24"/>
          <w:szCs w:val="24"/>
        </w:rPr>
        <w:t xml:space="preserve">83015, ДНР, город Донецк, ул. Челюскинцев, д. 163а; </w:t>
      </w:r>
      <w:proofErr w:type="spellStart"/>
      <w:r w:rsidRPr="002225D2">
        <w:rPr>
          <w:rFonts w:ascii="Times New Roman" w:hAnsi="Times New Roman" w:cs="Times New Roman"/>
          <w:sz w:val="24"/>
          <w:szCs w:val="24"/>
          <w:lang w:val="en-US"/>
        </w:rPr>
        <w:t>razbeyko</w:t>
      </w:r>
      <w:proofErr w:type="spellEnd"/>
      <w:r w:rsidRPr="008B0088">
        <w:rPr>
          <w:rFonts w:ascii="Times New Roman" w:hAnsi="Times New Roman" w:cs="Times New Roman"/>
          <w:sz w:val="24"/>
          <w:szCs w:val="24"/>
        </w:rPr>
        <w:t>.</w:t>
      </w:r>
      <w:r w:rsidRPr="002225D2">
        <w:rPr>
          <w:rFonts w:ascii="Times New Roman" w:hAnsi="Times New Roman" w:cs="Times New Roman"/>
          <w:sz w:val="24"/>
          <w:szCs w:val="24"/>
          <w:lang w:val="en-US"/>
        </w:rPr>
        <w:t>n</w:t>
      </w:r>
      <w:r w:rsidRPr="008B0088">
        <w:rPr>
          <w:rFonts w:ascii="Times New Roman" w:hAnsi="Times New Roman" w:cs="Times New Roman"/>
          <w:sz w:val="24"/>
          <w:szCs w:val="24"/>
        </w:rPr>
        <w:t>@</w:t>
      </w:r>
      <w:proofErr w:type="spellStart"/>
      <w:r w:rsidRPr="002225D2">
        <w:rPr>
          <w:rFonts w:ascii="Times New Roman" w:hAnsi="Times New Roman" w:cs="Times New Roman"/>
          <w:sz w:val="24"/>
          <w:szCs w:val="24"/>
          <w:lang w:val="en-US"/>
        </w:rPr>
        <w:t>gmail</w:t>
      </w:r>
      <w:proofErr w:type="spellEnd"/>
      <w:r w:rsidRPr="008B0088">
        <w:rPr>
          <w:rFonts w:ascii="Times New Roman" w:hAnsi="Times New Roman" w:cs="Times New Roman"/>
          <w:sz w:val="24"/>
          <w:szCs w:val="24"/>
        </w:rPr>
        <w:t>.</w:t>
      </w:r>
      <w:r w:rsidRPr="002225D2">
        <w:rPr>
          <w:rFonts w:ascii="Times New Roman" w:hAnsi="Times New Roman" w:cs="Times New Roman"/>
          <w:sz w:val="24"/>
          <w:szCs w:val="24"/>
          <w:lang w:val="en-US"/>
        </w:rPr>
        <w:t>com</w:t>
      </w:r>
      <w:r w:rsidRPr="002225D2">
        <w:rPr>
          <w:rFonts w:ascii="Times New Roman" w:hAnsi="Times New Roman" w:cs="Times New Roman"/>
          <w:sz w:val="24"/>
          <w:szCs w:val="24"/>
        </w:rPr>
        <w:t>).</w:t>
      </w:r>
    </w:p>
    <w:p w:rsidR="0039689C" w:rsidRPr="002225D2" w:rsidRDefault="0039689C" w:rsidP="0039689C">
      <w:pPr>
        <w:pStyle w:val="aa"/>
        <w:autoSpaceDN w:val="0"/>
        <w:spacing w:after="0" w:line="240" w:lineRule="auto"/>
        <w:ind w:left="426"/>
        <w:contextualSpacing w:val="0"/>
        <w:jc w:val="both"/>
        <w:rPr>
          <w:rFonts w:ascii="Times New Roman" w:hAnsi="Times New Roman"/>
          <w:sz w:val="24"/>
          <w:szCs w:val="24"/>
        </w:rPr>
      </w:pPr>
    </w:p>
    <w:p w:rsidR="00857E40" w:rsidRPr="002225D2" w:rsidRDefault="00857E40" w:rsidP="00857E40">
      <w:pPr>
        <w:jc w:val="right"/>
        <w:rPr>
          <w:rFonts w:ascii="Times New Roman" w:hAnsi="Times New Roman" w:cs="Times New Roman"/>
          <w:sz w:val="24"/>
          <w:szCs w:val="24"/>
        </w:rPr>
      </w:pPr>
      <w:proofErr w:type="spellStart"/>
      <w:r w:rsidRPr="002225D2">
        <w:rPr>
          <w:rFonts w:ascii="Times New Roman" w:hAnsi="Times New Roman" w:cs="Times New Roman"/>
          <w:sz w:val="24"/>
          <w:szCs w:val="24"/>
        </w:rPr>
        <w:t>Razbeyko</w:t>
      </w:r>
      <w:proofErr w:type="spellEnd"/>
      <w:r w:rsidRPr="002225D2">
        <w:rPr>
          <w:rFonts w:ascii="Times New Roman" w:hAnsi="Times New Roman" w:cs="Times New Roman"/>
          <w:sz w:val="24"/>
          <w:szCs w:val="24"/>
        </w:rPr>
        <w:t xml:space="preserve"> N. V.</w:t>
      </w:r>
    </w:p>
    <w:p w:rsidR="00857E40" w:rsidRPr="002225D2" w:rsidRDefault="00857E40" w:rsidP="0039689C">
      <w:pPr>
        <w:pStyle w:val="aa"/>
        <w:autoSpaceDN w:val="0"/>
        <w:spacing w:after="0" w:line="240" w:lineRule="auto"/>
        <w:ind w:left="426"/>
        <w:contextualSpacing w:val="0"/>
        <w:jc w:val="both"/>
        <w:rPr>
          <w:rFonts w:ascii="Times New Roman" w:hAnsi="Times New Roman"/>
          <w:sz w:val="24"/>
          <w:szCs w:val="24"/>
        </w:rPr>
      </w:pPr>
    </w:p>
    <w:p w:rsidR="0039689C" w:rsidRPr="008B0088" w:rsidRDefault="0039689C" w:rsidP="0039689C">
      <w:pPr>
        <w:pStyle w:val="aa"/>
        <w:autoSpaceDN w:val="0"/>
        <w:spacing w:after="0" w:line="240" w:lineRule="auto"/>
        <w:ind w:left="426"/>
        <w:contextualSpacing w:val="0"/>
        <w:jc w:val="both"/>
        <w:rPr>
          <w:rFonts w:ascii="Times New Roman" w:eastAsia="Times New Roman" w:hAnsi="Times New Roman"/>
          <w:sz w:val="24"/>
          <w:szCs w:val="24"/>
          <w:lang w:val="en-US" w:eastAsia="ru-RU"/>
        </w:rPr>
      </w:pPr>
      <w:r w:rsidRPr="008B0088">
        <w:rPr>
          <w:rFonts w:ascii="Times New Roman" w:eastAsia="Times New Roman" w:hAnsi="Times New Roman"/>
          <w:sz w:val="24"/>
          <w:szCs w:val="24"/>
          <w:lang w:val="en-US" w:eastAsia="ru-RU"/>
        </w:rPr>
        <w:t>ANALYSIS OF THE ACTIVITIES OF CUSTOMS CARRIERS IN THE EURASIAN ECONOMIC UNION</w:t>
      </w:r>
    </w:p>
    <w:p w:rsidR="0039689C" w:rsidRPr="008B0088" w:rsidRDefault="0039689C" w:rsidP="0039689C">
      <w:pPr>
        <w:pStyle w:val="aa"/>
        <w:autoSpaceDN w:val="0"/>
        <w:spacing w:after="0" w:line="240" w:lineRule="auto"/>
        <w:ind w:left="426"/>
        <w:contextualSpacing w:val="0"/>
        <w:jc w:val="both"/>
        <w:rPr>
          <w:rFonts w:ascii="Times New Roman" w:eastAsia="Times New Roman" w:hAnsi="Times New Roman"/>
          <w:sz w:val="24"/>
          <w:szCs w:val="24"/>
          <w:lang w:val="en-US" w:eastAsia="ru-RU"/>
        </w:rPr>
      </w:pPr>
    </w:p>
    <w:p w:rsidR="0039689C" w:rsidRPr="008B0088" w:rsidRDefault="00147FEC" w:rsidP="00594F0C">
      <w:pPr>
        <w:pStyle w:val="aa"/>
        <w:autoSpaceDN w:val="0"/>
        <w:spacing w:after="0" w:line="240" w:lineRule="auto"/>
        <w:ind w:left="0" w:firstLine="709"/>
        <w:contextualSpacing w:val="0"/>
        <w:jc w:val="both"/>
        <w:rPr>
          <w:rFonts w:ascii="Times New Roman" w:eastAsia="Times New Roman" w:hAnsi="Times New Roman"/>
          <w:sz w:val="24"/>
          <w:szCs w:val="24"/>
          <w:lang w:val="en-US" w:eastAsia="ru-RU"/>
        </w:rPr>
      </w:pPr>
      <w:r w:rsidRPr="002225D2">
        <w:rPr>
          <w:rFonts w:ascii="Times New Roman" w:hAnsi="Times New Roman"/>
          <w:b/>
          <w:i/>
          <w:sz w:val="24"/>
          <w:lang w:val="en-US"/>
        </w:rPr>
        <w:t xml:space="preserve">Abstract. </w:t>
      </w:r>
      <w:r w:rsidR="000307EE" w:rsidRPr="000307EE">
        <w:rPr>
          <w:rFonts w:ascii="Times New Roman" w:hAnsi="Times New Roman"/>
          <w:sz w:val="24"/>
          <w:lang w:val="en-US"/>
        </w:rPr>
        <w:t>The relevance of the use in the EAEU of international digital systems for verification and certification of the origin of goods is revealed; application of digital electronic documents when performing customs operations.</w:t>
      </w:r>
      <w:r w:rsidR="000307EE" w:rsidRPr="000307EE">
        <w:rPr>
          <w:rFonts w:ascii="Times New Roman" w:hAnsi="Times New Roman"/>
          <w:b/>
          <w:i/>
          <w:sz w:val="24"/>
          <w:lang w:val="en-US"/>
        </w:rPr>
        <w:t xml:space="preserve"> </w:t>
      </w:r>
      <w:r w:rsidR="0039689C" w:rsidRPr="008B0088">
        <w:rPr>
          <w:rFonts w:ascii="Times New Roman" w:eastAsia="Times New Roman" w:hAnsi="Times New Roman"/>
          <w:sz w:val="24"/>
          <w:szCs w:val="24"/>
          <w:lang w:val="en-US" w:eastAsia="ru-RU"/>
        </w:rPr>
        <w:t>Based on the study of the dynamics of the volume of transportation of goods in the EAEU, contradictory data on the number of customs carriers in the EAEU, clarifications on the accounting of carriers are proposed in order to increase the comfort of using the register for end consumers.</w:t>
      </w:r>
    </w:p>
    <w:p w:rsidR="0039689C" w:rsidRPr="008B0088" w:rsidRDefault="00147FEC" w:rsidP="00594F0C">
      <w:pPr>
        <w:pStyle w:val="aa"/>
        <w:autoSpaceDN w:val="0"/>
        <w:spacing w:after="0" w:line="240" w:lineRule="auto"/>
        <w:ind w:left="0" w:firstLine="709"/>
        <w:contextualSpacing w:val="0"/>
        <w:jc w:val="both"/>
        <w:rPr>
          <w:rFonts w:ascii="Times New Roman" w:eastAsia="Times New Roman" w:hAnsi="Times New Roman"/>
          <w:sz w:val="24"/>
          <w:szCs w:val="24"/>
          <w:lang w:val="en-US" w:eastAsia="ru-RU"/>
        </w:rPr>
      </w:pPr>
      <w:r w:rsidRPr="002225D2">
        <w:rPr>
          <w:rFonts w:ascii="Times New Roman" w:hAnsi="Times New Roman"/>
          <w:b/>
          <w:i/>
          <w:sz w:val="24"/>
          <w:lang w:val="en-US"/>
        </w:rPr>
        <w:t>Key</w:t>
      </w:r>
      <w:r w:rsidRPr="002225D2">
        <w:rPr>
          <w:rFonts w:ascii="Times New Roman" w:hAnsi="Times New Roman"/>
          <w:b/>
          <w:i/>
          <w:spacing w:val="-7"/>
          <w:sz w:val="24"/>
          <w:lang w:val="en-US"/>
        </w:rPr>
        <w:t xml:space="preserve"> </w:t>
      </w:r>
      <w:r w:rsidRPr="002225D2">
        <w:rPr>
          <w:rFonts w:ascii="Times New Roman" w:hAnsi="Times New Roman"/>
          <w:b/>
          <w:i/>
          <w:sz w:val="24"/>
          <w:lang w:val="en-US"/>
        </w:rPr>
        <w:t>words:</w:t>
      </w:r>
      <w:r w:rsidRPr="002225D2">
        <w:rPr>
          <w:rFonts w:ascii="Times New Roman" w:hAnsi="Times New Roman"/>
          <w:b/>
          <w:i/>
          <w:spacing w:val="-7"/>
          <w:sz w:val="24"/>
          <w:lang w:val="en-US"/>
        </w:rPr>
        <w:t xml:space="preserve"> </w:t>
      </w:r>
      <w:r w:rsidR="0039689C" w:rsidRPr="008B0088">
        <w:rPr>
          <w:rFonts w:ascii="Times New Roman" w:eastAsia="Times New Roman" w:hAnsi="Times New Roman"/>
          <w:sz w:val="24"/>
          <w:szCs w:val="24"/>
          <w:lang w:val="en-US" w:eastAsia="ru-RU"/>
        </w:rPr>
        <w:t>customs carriers, register, EAEU, Customs Code.</w:t>
      </w:r>
    </w:p>
    <w:p w:rsidR="00A84DB2" w:rsidRPr="002225D2" w:rsidRDefault="00A84DB2" w:rsidP="00594F0C">
      <w:pPr>
        <w:pStyle w:val="3"/>
        <w:spacing w:before="0" w:line="240" w:lineRule="auto"/>
        <w:ind w:left="3418"/>
        <w:jc w:val="both"/>
        <w:rPr>
          <w:rFonts w:ascii="Times New Roman"/>
          <w:color w:val="auto"/>
          <w:lang w:val="en-US"/>
        </w:rPr>
      </w:pPr>
      <w:r w:rsidRPr="002225D2">
        <w:rPr>
          <w:rFonts w:ascii="Times New Roman"/>
          <w:color w:val="auto"/>
          <w:lang w:val="en-US"/>
        </w:rPr>
        <w:t>Information</w:t>
      </w:r>
      <w:r w:rsidRPr="002225D2">
        <w:rPr>
          <w:rFonts w:ascii="Times New Roman"/>
          <w:color w:val="auto"/>
          <w:spacing w:val="-2"/>
          <w:lang w:val="en-US"/>
        </w:rPr>
        <w:t xml:space="preserve"> </w:t>
      </w:r>
      <w:r w:rsidRPr="002225D2">
        <w:rPr>
          <w:rFonts w:ascii="Times New Roman"/>
          <w:color w:val="auto"/>
          <w:lang w:val="en-US"/>
        </w:rPr>
        <w:t>about</w:t>
      </w:r>
      <w:r w:rsidRPr="002225D2">
        <w:rPr>
          <w:rFonts w:ascii="Times New Roman"/>
          <w:color w:val="auto"/>
          <w:spacing w:val="-3"/>
          <w:lang w:val="en-US"/>
        </w:rPr>
        <w:t xml:space="preserve"> </w:t>
      </w:r>
      <w:r w:rsidRPr="002225D2">
        <w:rPr>
          <w:rFonts w:ascii="Times New Roman"/>
          <w:color w:val="auto"/>
          <w:lang w:val="en-US"/>
        </w:rPr>
        <w:t>the</w:t>
      </w:r>
      <w:r w:rsidRPr="002225D2">
        <w:rPr>
          <w:rFonts w:ascii="Times New Roman"/>
          <w:color w:val="auto"/>
          <w:spacing w:val="-3"/>
          <w:lang w:val="en-US"/>
        </w:rPr>
        <w:t xml:space="preserve"> </w:t>
      </w:r>
      <w:r w:rsidRPr="002225D2">
        <w:rPr>
          <w:rFonts w:ascii="Times New Roman"/>
          <w:color w:val="auto"/>
          <w:lang w:val="en-US"/>
        </w:rPr>
        <w:t>author</w:t>
      </w:r>
    </w:p>
    <w:p w:rsidR="00147FEC" w:rsidRPr="008B0088" w:rsidRDefault="00A84DB2" w:rsidP="00594F0C">
      <w:pPr>
        <w:spacing w:after="0" w:line="240" w:lineRule="auto"/>
        <w:rPr>
          <w:rFonts w:ascii="Times New Roman" w:hAnsi="Times New Roman" w:cs="Times New Roman"/>
          <w:sz w:val="24"/>
          <w:szCs w:val="24"/>
          <w:lang w:val="en-US"/>
        </w:rPr>
      </w:pPr>
      <w:proofErr w:type="spellStart"/>
      <w:r w:rsidRPr="008B0088">
        <w:rPr>
          <w:rFonts w:ascii="Times New Roman" w:hAnsi="Times New Roman" w:cs="Times New Roman"/>
          <w:sz w:val="24"/>
          <w:szCs w:val="24"/>
          <w:lang w:val="en-US"/>
        </w:rPr>
        <w:t>Razbeyko</w:t>
      </w:r>
      <w:proofErr w:type="spellEnd"/>
      <w:r w:rsidRPr="008B0088">
        <w:rPr>
          <w:rFonts w:ascii="Times New Roman" w:hAnsi="Times New Roman" w:cs="Times New Roman"/>
          <w:sz w:val="24"/>
          <w:szCs w:val="24"/>
          <w:lang w:val="en-US"/>
        </w:rPr>
        <w:t xml:space="preserve"> Natalia </w:t>
      </w:r>
      <w:proofErr w:type="spellStart"/>
      <w:r w:rsidRPr="008B0088">
        <w:rPr>
          <w:rFonts w:ascii="Times New Roman" w:hAnsi="Times New Roman" w:cs="Times New Roman"/>
          <w:sz w:val="24"/>
          <w:szCs w:val="24"/>
          <w:lang w:val="en-US"/>
        </w:rPr>
        <w:t>Victorovna</w:t>
      </w:r>
      <w:proofErr w:type="spellEnd"/>
      <w:r w:rsidRPr="008B0088">
        <w:rPr>
          <w:rFonts w:ascii="Times New Roman" w:hAnsi="Times New Roman" w:cs="Times New Roman"/>
          <w:sz w:val="24"/>
          <w:szCs w:val="24"/>
          <w:lang w:val="en-US"/>
        </w:rPr>
        <w:t>,</w:t>
      </w:r>
      <w:r w:rsidRPr="008B0088">
        <w:rPr>
          <w:sz w:val="24"/>
          <w:szCs w:val="24"/>
          <w:lang w:val="en-US"/>
        </w:rPr>
        <w:t xml:space="preserve"> </w:t>
      </w:r>
      <w:r w:rsidR="00147FEC" w:rsidRPr="008B0088">
        <w:rPr>
          <w:rFonts w:ascii="Times New Roman" w:hAnsi="Times New Roman" w:cs="Times New Roman"/>
          <w:sz w:val="24"/>
          <w:szCs w:val="24"/>
          <w:lang w:val="en-US"/>
        </w:rPr>
        <w:t xml:space="preserve">senior lecturer of the department civil and business law SEI HPE «Donetsk Academy </w:t>
      </w:r>
      <w:proofErr w:type="gramStart"/>
      <w:r w:rsidR="00147FEC" w:rsidRPr="008B0088">
        <w:rPr>
          <w:rFonts w:ascii="Times New Roman" w:hAnsi="Times New Roman" w:cs="Times New Roman"/>
          <w:sz w:val="24"/>
          <w:szCs w:val="24"/>
          <w:lang w:val="en-US"/>
        </w:rPr>
        <w:t xml:space="preserve">of  </w:t>
      </w:r>
      <w:proofErr w:type="spellStart"/>
      <w:r w:rsidR="00147FEC" w:rsidRPr="008B0088">
        <w:rPr>
          <w:rFonts w:ascii="Times New Roman" w:hAnsi="Times New Roman" w:cs="Times New Roman"/>
          <w:sz w:val="24"/>
          <w:szCs w:val="24"/>
          <w:lang w:val="en-US"/>
        </w:rPr>
        <w:t>anagement</w:t>
      </w:r>
      <w:proofErr w:type="spellEnd"/>
      <w:proofErr w:type="gramEnd"/>
      <w:r w:rsidR="00147FEC" w:rsidRPr="008B0088">
        <w:rPr>
          <w:rFonts w:ascii="Times New Roman" w:hAnsi="Times New Roman" w:cs="Times New Roman"/>
          <w:sz w:val="24"/>
          <w:szCs w:val="24"/>
          <w:lang w:val="en-US"/>
        </w:rPr>
        <w:t xml:space="preserve"> and Public Administration under the Head of Donetsk People’s </w:t>
      </w:r>
      <w:r w:rsidR="003E2E43" w:rsidRPr="008B0088">
        <w:rPr>
          <w:rFonts w:ascii="Times New Roman" w:hAnsi="Times New Roman" w:cs="Times New Roman"/>
          <w:sz w:val="24"/>
          <w:szCs w:val="24"/>
          <w:lang w:val="en-US"/>
        </w:rPr>
        <w:t>Republic» (163</w:t>
      </w:r>
      <w:r w:rsidR="003E2E43" w:rsidRPr="002225D2">
        <w:rPr>
          <w:rFonts w:ascii="Times New Roman" w:hAnsi="Times New Roman" w:cs="Times New Roman"/>
          <w:sz w:val="24"/>
          <w:szCs w:val="24"/>
        </w:rPr>
        <w:t>а</w:t>
      </w:r>
      <w:r w:rsidR="003E2E43" w:rsidRPr="008B0088">
        <w:rPr>
          <w:rFonts w:ascii="Times New Roman" w:hAnsi="Times New Roman" w:cs="Times New Roman"/>
          <w:sz w:val="24"/>
          <w:szCs w:val="24"/>
          <w:lang w:val="en-US"/>
        </w:rPr>
        <w:t xml:space="preserve">, </w:t>
      </w:r>
      <w:proofErr w:type="spellStart"/>
      <w:r w:rsidR="003E2E43" w:rsidRPr="008B0088">
        <w:rPr>
          <w:rFonts w:ascii="Times New Roman" w:hAnsi="Times New Roman" w:cs="Times New Roman"/>
          <w:sz w:val="24"/>
          <w:szCs w:val="24"/>
          <w:lang w:val="en-US"/>
        </w:rPr>
        <w:t>Chelyuskintsev</w:t>
      </w:r>
      <w:proofErr w:type="spellEnd"/>
      <w:r w:rsidR="003E2E43" w:rsidRPr="008B0088">
        <w:rPr>
          <w:rFonts w:ascii="Times New Roman" w:hAnsi="Times New Roman" w:cs="Times New Roman"/>
          <w:sz w:val="24"/>
          <w:szCs w:val="24"/>
          <w:lang w:val="en-US"/>
        </w:rPr>
        <w:t xml:space="preserve"> St., Donetsk, Donetsk People’s Republic  83015, </w:t>
      </w:r>
      <w:r w:rsidR="003E2E43" w:rsidRPr="002225D2">
        <w:rPr>
          <w:rFonts w:ascii="Times New Roman" w:hAnsi="Times New Roman" w:cs="Times New Roman"/>
          <w:sz w:val="24"/>
          <w:szCs w:val="24"/>
          <w:lang w:val="en-US"/>
        </w:rPr>
        <w:t>razbeyko.n@gmail.com</w:t>
      </w:r>
      <w:r w:rsidR="003E2E43" w:rsidRPr="008B0088">
        <w:rPr>
          <w:rFonts w:ascii="Times New Roman" w:hAnsi="Times New Roman" w:cs="Times New Roman"/>
          <w:sz w:val="24"/>
          <w:szCs w:val="24"/>
          <w:lang w:val="en-US"/>
        </w:rPr>
        <w:t>).</w:t>
      </w:r>
    </w:p>
    <w:p w:rsidR="00147FEC" w:rsidRPr="008B0088" w:rsidRDefault="00147FEC" w:rsidP="00594F0C">
      <w:pPr>
        <w:spacing w:after="0" w:line="240" w:lineRule="auto"/>
        <w:rPr>
          <w:rFonts w:ascii="Times New Roman" w:hAnsi="Times New Roman" w:cs="Times New Roman"/>
          <w:sz w:val="24"/>
          <w:szCs w:val="24"/>
          <w:lang w:val="en-US"/>
        </w:rPr>
      </w:pPr>
    </w:p>
    <w:p w:rsidR="00594F0C" w:rsidRPr="002225D2" w:rsidRDefault="00594F0C" w:rsidP="00594F0C">
      <w:pPr>
        <w:pStyle w:val="3"/>
        <w:spacing w:before="0" w:line="240" w:lineRule="auto"/>
        <w:ind w:left="99" w:right="94"/>
        <w:jc w:val="center"/>
        <w:rPr>
          <w:rFonts w:ascii="Times New Roman"/>
          <w:color w:val="auto"/>
        </w:rPr>
      </w:pPr>
      <w:proofErr w:type="spellStart"/>
      <w:r w:rsidRPr="002225D2">
        <w:rPr>
          <w:rFonts w:ascii="Times New Roman"/>
          <w:color w:val="auto"/>
        </w:rPr>
        <w:t>References</w:t>
      </w:r>
      <w:proofErr w:type="spellEnd"/>
    </w:p>
    <w:p w:rsidR="00594F0C" w:rsidRPr="008B0088" w:rsidRDefault="00BF761B" w:rsidP="00BF761B">
      <w:pPr>
        <w:spacing w:after="0" w:line="240" w:lineRule="auto"/>
        <w:ind w:firstLine="709"/>
        <w:jc w:val="both"/>
        <w:rPr>
          <w:rFonts w:ascii="Times New Roman" w:hAnsi="Times New Roman" w:cs="Times New Roman"/>
          <w:sz w:val="24"/>
          <w:szCs w:val="24"/>
          <w:lang w:val="en-US"/>
        </w:rPr>
      </w:pPr>
      <w:r w:rsidRPr="008B0088">
        <w:rPr>
          <w:rFonts w:ascii="Times New Roman" w:hAnsi="Times New Roman" w:cs="Times New Roman"/>
          <w:sz w:val="24"/>
          <w:szCs w:val="24"/>
          <w:lang w:val="en-US"/>
        </w:rPr>
        <w:t xml:space="preserve">1. </w:t>
      </w:r>
      <w:proofErr w:type="spellStart"/>
      <w:r w:rsidRPr="008B0088">
        <w:rPr>
          <w:rFonts w:ascii="Times New Roman" w:hAnsi="Times New Roman" w:cs="Times New Roman"/>
          <w:sz w:val="24"/>
          <w:szCs w:val="24"/>
          <w:lang w:val="en-US"/>
        </w:rPr>
        <w:t>Luchkin</w:t>
      </w:r>
      <w:proofErr w:type="spellEnd"/>
      <w:r w:rsidRPr="008B0088">
        <w:rPr>
          <w:rFonts w:ascii="Times New Roman" w:hAnsi="Times New Roman" w:cs="Times New Roman"/>
          <w:sz w:val="24"/>
          <w:szCs w:val="24"/>
          <w:lang w:val="en-US"/>
        </w:rPr>
        <w:t xml:space="preserve">, A. G. Customs procedure "customs transit" as a link in the logistics scheme for the import of goods into the customs territory of the EAEU / A.G. </w:t>
      </w:r>
      <w:proofErr w:type="spellStart"/>
      <w:r w:rsidRPr="008B0088">
        <w:rPr>
          <w:rFonts w:ascii="Times New Roman" w:hAnsi="Times New Roman" w:cs="Times New Roman"/>
          <w:sz w:val="24"/>
          <w:szCs w:val="24"/>
          <w:lang w:val="en-US"/>
        </w:rPr>
        <w:t>Luchkin</w:t>
      </w:r>
      <w:proofErr w:type="spellEnd"/>
      <w:r w:rsidRPr="008B0088">
        <w:rPr>
          <w:rFonts w:ascii="Times New Roman" w:hAnsi="Times New Roman" w:cs="Times New Roman"/>
          <w:sz w:val="24"/>
          <w:szCs w:val="24"/>
          <w:lang w:val="en-US"/>
        </w:rPr>
        <w:t xml:space="preserve">, N.A. </w:t>
      </w:r>
      <w:proofErr w:type="spellStart"/>
      <w:r w:rsidRPr="008B0088">
        <w:rPr>
          <w:rFonts w:ascii="Times New Roman" w:hAnsi="Times New Roman" w:cs="Times New Roman"/>
          <w:sz w:val="24"/>
          <w:szCs w:val="24"/>
          <w:lang w:val="en-US"/>
        </w:rPr>
        <w:t>Afanasyeva</w:t>
      </w:r>
      <w:proofErr w:type="spellEnd"/>
      <w:r w:rsidRPr="008B0088">
        <w:rPr>
          <w:rFonts w:ascii="Times New Roman" w:hAnsi="Times New Roman" w:cs="Times New Roman"/>
          <w:sz w:val="24"/>
          <w:szCs w:val="24"/>
          <w:lang w:val="en-US"/>
        </w:rPr>
        <w:t xml:space="preserve">// Theoretical and conceptual problems of logistics. – </w:t>
      </w:r>
      <w:proofErr w:type="gramStart"/>
      <w:r w:rsidRPr="008B0088">
        <w:rPr>
          <w:rFonts w:ascii="Times New Roman" w:hAnsi="Times New Roman" w:cs="Times New Roman"/>
          <w:sz w:val="24"/>
          <w:szCs w:val="24"/>
          <w:lang w:val="en-US"/>
        </w:rPr>
        <w:t>Penza :</w:t>
      </w:r>
      <w:proofErr w:type="gramEnd"/>
      <w:r w:rsidRPr="008B0088">
        <w:rPr>
          <w:rFonts w:ascii="Times New Roman" w:hAnsi="Times New Roman" w:cs="Times New Roman"/>
          <w:sz w:val="24"/>
          <w:szCs w:val="24"/>
          <w:lang w:val="en-US"/>
        </w:rPr>
        <w:t xml:space="preserve"> Penza State Agrarian University, 2021. – </w:t>
      </w:r>
      <w:proofErr w:type="gramStart"/>
      <w:r w:rsidRPr="008B0088">
        <w:rPr>
          <w:rFonts w:ascii="Times New Roman" w:hAnsi="Times New Roman" w:cs="Times New Roman"/>
          <w:sz w:val="24"/>
          <w:szCs w:val="24"/>
          <w:lang w:val="en-US"/>
        </w:rPr>
        <w:t>pp.113-140</w:t>
      </w:r>
      <w:proofErr w:type="gramEnd"/>
    </w:p>
    <w:p w:rsidR="00BF761B" w:rsidRPr="008B0088" w:rsidRDefault="00BF761B" w:rsidP="00BF761B">
      <w:pPr>
        <w:spacing w:after="0" w:line="240" w:lineRule="auto"/>
        <w:ind w:firstLine="709"/>
        <w:jc w:val="both"/>
        <w:rPr>
          <w:rFonts w:ascii="Times New Roman" w:hAnsi="Times New Roman" w:cs="Times New Roman"/>
          <w:sz w:val="24"/>
          <w:szCs w:val="24"/>
          <w:lang w:val="en-US"/>
        </w:rPr>
      </w:pPr>
      <w:r w:rsidRPr="008B0088">
        <w:rPr>
          <w:rFonts w:ascii="Times New Roman" w:hAnsi="Times New Roman" w:cs="Times New Roman"/>
          <w:sz w:val="24"/>
          <w:szCs w:val="24"/>
          <w:lang w:val="en-US"/>
        </w:rPr>
        <w:t xml:space="preserve">2. </w:t>
      </w:r>
      <w:proofErr w:type="spellStart"/>
      <w:r w:rsidRPr="008B0088">
        <w:rPr>
          <w:rFonts w:ascii="Times New Roman" w:hAnsi="Times New Roman" w:cs="Times New Roman"/>
          <w:sz w:val="24"/>
          <w:szCs w:val="24"/>
          <w:lang w:val="en-US"/>
        </w:rPr>
        <w:t>Chechulin</w:t>
      </w:r>
      <w:proofErr w:type="spellEnd"/>
      <w:r w:rsidRPr="008B0088">
        <w:rPr>
          <w:rFonts w:ascii="Times New Roman" w:hAnsi="Times New Roman" w:cs="Times New Roman"/>
          <w:sz w:val="24"/>
          <w:szCs w:val="24"/>
          <w:lang w:val="en-US"/>
        </w:rPr>
        <w:t xml:space="preserve">, </w:t>
      </w:r>
      <w:proofErr w:type="spellStart"/>
      <w:r w:rsidRPr="008B0088">
        <w:rPr>
          <w:rFonts w:ascii="Times New Roman" w:hAnsi="Times New Roman" w:cs="Times New Roman"/>
          <w:sz w:val="24"/>
          <w:szCs w:val="24"/>
          <w:lang w:val="en-US"/>
        </w:rPr>
        <w:t>Yu.O</w:t>
      </w:r>
      <w:proofErr w:type="spellEnd"/>
      <w:r w:rsidRPr="008B0088">
        <w:rPr>
          <w:rFonts w:ascii="Times New Roman" w:hAnsi="Times New Roman" w:cs="Times New Roman"/>
          <w:sz w:val="24"/>
          <w:szCs w:val="24"/>
          <w:lang w:val="en-US"/>
        </w:rPr>
        <w:t xml:space="preserve">. The mechanism of quality management of customs services in the conditions of the Eurasian Economic </w:t>
      </w:r>
      <w:proofErr w:type="gramStart"/>
      <w:r w:rsidRPr="008B0088">
        <w:rPr>
          <w:rFonts w:ascii="Times New Roman" w:hAnsi="Times New Roman" w:cs="Times New Roman"/>
          <w:sz w:val="24"/>
          <w:szCs w:val="24"/>
          <w:lang w:val="en-US"/>
        </w:rPr>
        <w:t>Union :</w:t>
      </w:r>
      <w:proofErr w:type="gramEnd"/>
      <w:r w:rsidRPr="008B0088">
        <w:rPr>
          <w:rFonts w:ascii="Times New Roman" w:hAnsi="Times New Roman" w:cs="Times New Roman"/>
          <w:sz w:val="24"/>
          <w:szCs w:val="24"/>
          <w:lang w:val="en-US"/>
        </w:rPr>
        <w:t xml:space="preserve"> dis. ... Candidate of Economic </w:t>
      </w:r>
      <w:proofErr w:type="gramStart"/>
      <w:r w:rsidRPr="008B0088">
        <w:rPr>
          <w:rFonts w:ascii="Times New Roman" w:hAnsi="Times New Roman" w:cs="Times New Roman"/>
          <w:sz w:val="24"/>
          <w:szCs w:val="24"/>
          <w:lang w:val="en-US"/>
        </w:rPr>
        <w:t>Sciences :</w:t>
      </w:r>
      <w:proofErr w:type="gramEnd"/>
      <w:r w:rsidRPr="008B0088">
        <w:rPr>
          <w:rFonts w:ascii="Times New Roman" w:hAnsi="Times New Roman" w:cs="Times New Roman"/>
          <w:sz w:val="24"/>
          <w:szCs w:val="24"/>
          <w:lang w:val="en-US"/>
        </w:rPr>
        <w:t xml:space="preserve"> 08.00.05 / </w:t>
      </w:r>
      <w:proofErr w:type="spellStart"/>
      <w:r w:rsidRPr="008B0088">
        <w:rPr>
          <w:rFonts w:ascii="Times New Roman" w:hAnsi="Times New Roman" w:cs="Times New Roman"/>
          <w:sz w:val="24"/>
          <w:szCs w:val="24"/>
          <w:lang w:val="en-US"/>
        </w:rPr>
        <w:t>Yu.O</w:t>
      </w:r>
      <w:proofErr w:type="spellEnd"/>
      <w:r w:rsidRPr="008B0088">
        <w:rPr>
          <w:rFonts w:ascii="Times New Roman" w:hAnsi="Times New Roman" w:cs="Times New Roman"/>
          <w:sz w:val="24"/>
          <w:szCs w:val="24"/>
          <w:lang w:val="en-US"/>
        </w:rPr>
        <w:t xml:space="preserve">. </w:t>
      </w:r>
      <w:proofErr w:type="spellStart"/>
      <w:proofErr w:type="gramStart"/>
      <w:r w:rsidRPr="008B0088">
        <w:rPr>
          <w:rFonts w:ascii="Times New Roman" w:hAnsi="Times New Roman" w:cs="Times New Roman"/>
          <w:sz w:val="24"/>
          <w:szCs w:val="24"/>
          <w:lang w:val="en-US"/>
        </w:rPr>
        <w:t>Chechulin</w:t>
      </w:r>
      <w:proofErr w:type="spellEnd"/>
      <w:r w:rsidRPr="008B0088">
        <w:rPr>
          <w:rFonts w:ascii="Times New Roman" w:hAnsi="Times New Roman" w:cs="Times New Roman"/>
          <w:sz w:val="24"/>
          <w:szCs w:val="24"/>
          <w:lang w:val="en-US"/>
        </w:rPr>
        <w:t>.</w:t>
      </w:r>
      <w:proofErr w:type="gramEnd"/>
      <w:r w:rsidRPr="008B0088">
        <w:rPr>
          <w:rFonts w:ascii="Times New Roman" w:hAnsi="Times New Roman" w:cs="Times New Roman"/>
          <w:sz w:val="24"/>
          <w:szCs w:val="24"/>
          <w:lang w:val="en-US"/>
        </w:rPr>
        <w:t xml:space="preserve"> – </w:t>
      </w:r>
      <w:proofErr w:type="spellStart"/>
      <w:r w:rsidRPr="008B0088">
        <w:rPr>
          <w:rFonts w:ascii="Times New Roman" w:hAnsi="Times New Roman" w:cs="Times New Roman"/>
          <w:sz w:val="24"/>
          <w:szCs w:val="24"/>
          <w:lang w:val="en-US"/>
        </w:rPr>
        <w:t>Lyubertsy</w:t>
      </w:r>
      <w:proofErr w:type="spellEnd"/>
      <w:r w:rsidRPr="008B0088">
        <w:rPr>
          <w:rFonts w:ascii="Times New Roman" w:hAnsi="Times New Roman" w:cs="Times New Roman"/>
          <w:sz w:val="24"/>
          <w:szCs w:val="24"/>
          <w:lang w:val="en-US"/>
        </w:rPr>
        <w:t>, 2020. – 186 p.</w:t>
      </w:r>
    </w:p>
    <w:p w:rsidR="00BF761B" w:rsidRPr="008B0088" w:rsidRDefault="00BF761B" w:rsidP="00BF761B">
      <w:pPr>
        <w:spacing w:after="0" w:line="240" w:lineRule="auto"/>
        <w:ind w:firstLine="709"/>
        <w:jc w:val="both"/>
        <w:rPr>
          <w:rFonts w:ascii="Times New Roman" w:hAnsi="Times New Roman" w:cs="Times New Roman"/>
          <w:sz w:val="24"/>
          <w:szCs w:val="24"/>
          <w:lang w:val="en-US"/>
        </w:rPr>
      </w:pPr>
      <w:r w:rsidRPr="008B0088">
        <w:rPr>
          <w:rFonts w:ascii="Times New Roman" w:hAnsi="Times New Roman" w:cs="Times New Roman"/>
          <w:sz w:val="24"/>
          <w:szCs w:val="24"/>
          <w:lang w:val="en-US"/>
        </w:rPr>
        <w:t>3. Customs Code of the Eurasian Economic Union (Appendix No. 1 to the Agreement on the Customs Code of the Eurasian Economic Union dated April 11, 2017) // Internet portal of Legal Information http://www.consultant.ru/document /cons_doc_LAW_215315/ (accessed 05.05.2022)</w:t>
      </w:r>
    </w:p>
    <w:p w:rsidR="00BF761B" w:rsidRPr="008B0088" w:rsidRDefault="00BF761B" w:rsidP="00BF761B">
      <w:pPr>
        <w:spacing w:after="0" w:line="240" w:lineRule="auto"/>
        <w:ind w:firstLine="709"/>
        <w:jc w:val="both"/>
        <w:rPr>
          <w:rFonts w:ascii="Times New Roman" w:hAnsi="Times New Roman" w:cs="Times New Roman"/>
          <w:sz w:val="24"/>
          <w:szCs w:val="24"/>
          <w:lang w:val="en-US"/>
        </w:rPr>
      </w:pPr>
      <w:r w:rsidRPr="008B0088">
        <w:rPr>
          <w:rFonts w:ascii="Times New Roman" w:hAnsi="Times New Roman" w:cs="Times New Roman"/>
          <w:sz w:val="24"/>
          <w:szCs w:val="24"/>
          <w:lang w:val="en-US"/>
        </w:rPr>
        <w:t>4. Order of the Federal Customs Service of Russia dated 19.02.2019 N 289 "On approval of the Procedure for excluding legal entities from the Register of Customs Carriers" (Registered with the Ministry of Justice of Russia on 21.03.2019 N 54124) // Official Internet Portal of Legal Information http://www.pravo.gov.ru (accessed: 05.05.2022)</w:t>
      </w:r>
      <w:bookmarkEnd w:id="1"/>
    </w:p>
    <w:sectPr w:rsidR="00BF761B" w:rsidRPr="008B0088" w:rsidSect="002E19E1">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3695" w:rsidRDefault="00D83695" w:rsidP="00827E82">
      <w:pPr>
        <w:spacing w:after="0" w:line="240" w:lineRule="auto"/>
      </w:pPr>
      <w:r>
        <w:separator/>
      </w:r>
    </w:p>
  </w:endnote>
  <w:endnote w:type="continuationSeparator" w:id="0">
    <w:p w:rsidR="00D83695" w:rsidRDefault="00D83695" w:rsidP="00827E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3695" w:rsidRDefault="00D83695" w:rsidP="00827E82">
      <w:pPr>
        <w:spacing w:after="0" w:line="240" w:lineRule="auto"/>
      </w:pPr>
      <w:r>
        <w:separator/>
      </w:r>
    </w:p>
  </w:footnote>
  <w:footnote w:type="continuationSeparator" w:id="0">
    <w:p w:rsidR="00D83695" w:rsidRDefault="00D83695" w:rsidP="00827E82">
      <w:pPr>
        <w:spacing w:after="0" w:line="240" w:lineRule="auto"/>
      </w:pPr>
      <w:r>
        <w:continuationSeparator/>
      </w:r>
    </w:p>
  </w:footnote>
  <w:footnote w:id="1">
    <w:p w:rsidR="00AF071B" w:rsidRPr="004E62F7" w:rsidRDefault="00AF071B" w:rsidP="00AF071B">
      <w:pPr>
        <w:spacing w:after="0" w:line="240" w:lineRule="auto"/>
        <w:jc w:val="both"/>
        <w:rPr>
          <w:rFonts w:ascii="Times New Roman" w:hAnsi="Times New Roman" w:cs="Times New Roman"/>
          <w:sz w:val="20"/>
          <w:szCs w:val="20"/>
          <w:shd w:val="clear" w:color="auto" w:fill="FFFFFF"/>
        </w:rPr>
      </w:pPr>
      <w:r w:rsidRPr="004E62F7">
        <w:rPr>
          <w:rStyle w:val="a3"/>
          <w:rFonts w:ascii="Times New Roman" w:hAnsi="Times New Roman" w:cs="Times New Roman"/>
          <w:sz w:val="20"/>
          <w:szCs w:val="20"/>
        </w:rPr>
        <w:footnoteRef/>
      </w:r>
      <w:r w:rsidRPr="004E62F7">
        <w:rPr>
          <w:rFonts w:ascii="Times New Roman" w:hAnsi="Times New Roman" w:cs="Times New Roman"/>
          <w:sz w:val="18"/>
          <w:szCs w:val="18"/>
          <w:shd w:val="clear" w:color="auto" w:fill="FFFFFF"/>
        </w:rPr>
        <w:t>https://portal.eaeunion.org/sites/odata/_layouts/15/portal.eec.registry.ui/directoryform.aspx?viewid=1cfc288d-d42c-4346-b40d-61a8b509befb&amp;listid=0e3ead06-5475-466a-a340-6f69c01b5687&amp;itemid=226#</w:t>
      </w:r>
    </w:p>
  </w:footnote>
  <w:footnote w:id="2">
    <w:p w:rsidR="00AF071B" w:rsidRPr="00847321" w:rsidRDefault="00AF071B" w:rsidP="00AF071B">
      <w:pPr>
        <w:pStyle w:val="a6"/>
        <w:rPr>
          <w:rFonts w:ascii="Times New Roman" w:hAnsi="Times New Roman"/>
          <w:sz w:val="16"/>
          <w:szCs w:val="16"/>
        </w:rPr>
      </w:pPr>
      <w:r w:rsidRPr="004E62F7">
        <w:rPr>
          <w:rStyle w:val="a3"/>
          <w:rFonts w:ascii="Times New Roman" w:hAnsi="Times New Roman"/>
        </w:rPr>
        <w:footnoteRef/>
      </w:r>
      <w:r w:rsidRPr="004E62F7">
        <w:rPr>
          <w:rFonts w:ascii="Times New Roman" w:hAnsi="Times New Roman"/>
        </w:rPr>
        <w:t xml:space="preserve"> https://portal.eaeunion.org/sites/commonprocesses/ru-ru/Pages/RegisterCustomsCarrierDetails.aspx</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453B01"/>
    <w:multiLevelType w:val="hybridMultilevel"/>
    <w:tmpl w:val="949A47D4"/>
    <w:lvl w:ilvl="0" w:tplc="0419000F">
      <w:start w:val="1"/>
      <w:numFmt w:val="decimal"/>
      <w:lvlText w:val="%1."/>
      <w:lvlJc w:val="left"/>
      <w:pPr>
        <w:ind w:left="2771" w:hanging="360"/>
      </w:p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1">
    <w:nsid w:val="6E9475FD"/>
    <w:multiLevelType w:val="hybridMultilevel"/>
    <w:tmpl w:val="5498C5FE"/>
    <w:lvl w:ilvl="0" w:tplc="1958850A">
      <w:start w:val="1"/>
      <w:numFmt w:val="bullet"/>
      <w:lvlText w:val="•"/>
      <w:lvlJc w:val="left"/>
      <w:pPr>
        <w:tabs>
          <w:tab w:val="num" w:pos="720"/>
        </w:tabs>
        <w:ind w:left="720" w:hanging="360"/>
      </w:pPr>
      <w:rPr>
        <w:rFonts w:ascii="Times New Roman" w:hAnsi="Times New Roman" w:hint="default"/>
      </w:rPr>
    </w:lvl>
    <w:lvl w:ilvl="1" w:tplc="637E2E08" w:tentative="1">
      <w:start w:val="1"/>
      <w:numFmt w:val="bullet"/>
      <w:lvlText w:val="•"/>
      <w:lvlJc w:val="left"/>
      <w:pPr>
        <w:tabs>
          <w:tab w:val="num" w:pos="1440"/>
        </w:tabs>
        <w:ind w:left="1440" w:hanging="360"/>
      </w:pPr>
      <w:rPr>
        <w:rFonts w:ascii="Times New Roman" w:hAnsi="Times New Roman" w:hint="default"/>
      </w:rPr>
    </w:lvl>
    <w:lvl w:ilvl="2" w:tplc="6F2417AC" w:tentative="1">
      <w:start w:val="1"/>
      <w:numFmt w:val="bullet"/>
      <w:lvlText w:val="•"/>
      <w:lvlJc w:val="left"/>
      <w:pPr>
        <w:tabs>
          <w:tab w:val="num" w:pos="2160"/>
        </w:tabs>
        <w:ind w:left="2160" w:hanging="360"/>
      </w:pPr>
      <w:rPr>
        <w:rFonts w:ascii="Times New Roman" w:hAnsi="Times New Roman" w:hint="default"/>
      </w:rPr>
    </w:lvl>
    <w:lvl w:ilvl="3" w:tplc="92B001A2" w:tentative="1">
      <w:start w:val="1"/>
      <w:numFmt w:val="bullet"/>
      <w:lvlText w:val="•"/>
      <w:lvlJc w:val="left"/>
      <w:pPr>
        <w:tabs>
          <w:tab w:val="num" w:pos="2880"/>
        </w:tabs>
        <w:ind w:left="2880" w:hanging="360"/>
      </w:pPr>
      <w:rPr>
        <w:rFonts w:ascii="Times New Roman" w:hAnsi="Times New Roman" w:hint="default"/>
      </w:rPr>
    </w:lvl>
    <w:lvl w:ilvl="4" w:tplc="0AE2F99A" w:tentative="1">
      <w:start w:val="1"/>
      <w:numFmt w:val="bullet"/>
      <w:lvlText w:val="•"/>
      <w:lvlJc w:val="left"/>
      <w:pPr>
        <w:tabs>
          <w:tab w:val="num" w:pos="3600"/>
        </w:tabs>
        <w:ind w:left="3600" w:hanging="360"/>
      </w:pPr>
      <w:rPr>
        <w:rFonts w:ascii="Times New Roman" w:hAnsi="Times New Roman" w:hint="default"/>
      </w:rPr>
    </w:lvl>
    <w:lvl w:ilvl="5" w:tplc="23C6BDDE" w:tentative="1">
      <w:start w:val="1"/>
      <w:numFmt w:val="bullet"/>
      <w:lvlText w:val="•"/>
      <w:lvlJc w:val="left"/>
      <w:pPr>
        <w:tabs>
          <w:tab w:val="num" w:pos="4320"/>
        </w:tabs>
        <w:ind w:left="4320" w:hanging="360"/>
      </w:pPr>
      <w:rPr>
        <w:rFonts w:ascii="Times New Roman" w:hAnsi="Times New Roman" w:hint="default"/>
      </w:rPr>
    </w:lvl>
    <w:lvl w:ilvl="6" w:tplc="A740CBB8" w:tentative="1">
      <w:start w:val="1"/>
      <w:numFmt w:val="bullet"/>
      <w:lvlText w:val="•"/>
      <w:lvlJc w:val="left"/>
      <w:pPr>
        <w:tabs>
          <w:tab w:val="num" w:pos="5040"/>
        </w:tabs>
        <w:ind w:left="5040" w:hanging="360"/>
      </w:pPr>
      <w:rPr>
        <w:rFonts w:ascii="Times New Roman" w:hAnsi="Times New Roman" w:hint="default"/>
      </w:rPr>
    </w:lvl>
    <w:lvl w:ilvl="7" w:tplc="CDB2B7A6" w:tentative="1">
      <w:start w:val="1"/>
      <w:numFmt w:val="bullet"/>
      <w:lvlText w:val="•"/>
      <w:lvlJc w:val="left"/>
      <w:pPr>
        <w:tabs>
          <w:tab w:val="num" w:pos="5760"/>
        </w:tabs>
        <w:ind w:left="5760" w:hanging="360"/>
      </w:pPr>
      <w:rPr>
        <w:rFonts w:ascii="Times New Roman" w:hAnsi="Times New Roman" w:hint="default"/>
      </w:rPr>
    </w:lvl>
    <w:lvl w:ilvl="8" w:tplc="C9C4E06C"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savePreviewPicture/>
  <w:footnotePr>
    <w:footnote w:id="-1"/>
    <w:footnote w:id="0"/>
  </w:footnotePr>
  <w:endnotePr>
    <w:endnote w:id="-1"/>
    <w:endnote w:id="0"/>
  </w:endnotePr>
  <w:compat/>
  <w:rsids>
    <w:rsidRoot w:val="00827E82"/>
    <w:rsid w:val="000307EE"/>
    <w:rsid w:val="00093BEC"/>
    <w:rsid w:val="000B1878"/>
    <w:rsid w:val="000B382C"/>
    <w:rsid w:val="0011666E"/>
    <w:rsid w:val="00147FEC"/>
    <w:rsid w:val="001B71C5"/>
    <w:rsid w:val="001E5191"/>
    <w:rsid w:val="002225D2"/>
    <w:rsid w:val="002A0659"/>
    <w:rsid w:val="002E19E1"/>
    <w:rsid w:val="00310418"/>
    <w:rsid w:val="00311E4D"/>
    <w:rsid w:val="0035288D"/>
    <w:rsid w:val="0038300F"/>
    <w:rsid w:val="0039689C"/>
    <w:rsid w:val="003E2E43"/>
    <w:rsid w:val="00401F0A"/>
    <w:rsid w:val="00417D04"/>
    <w:rsid w:val="004218D1"/>
    <w:rsid w:val="0044325D"/>
    <w:rsid w:val="004B64A2"/>
    <w:rsid w:val="004E62F7"/>
    <w:rsid w:val="00594F0C"/>
    <w:rsid w:val="005D0F82"/>
    <w:rsid w:val="005E014C"/>
    <w:rsid w:val="005E32F3"/>
    <w:rsid w:val="005F5AF9"/>
    <w:rsid w:val="00640A8E"/>
    <w:rsid w:val="00787640"/>
    <w:rsid w:val="007D79E0"/>
    <w:rsid w:val="00802C1E"/>
    <w:rsid w:val="008273B5"/>
    <w:rsid w:val="00827E82"/>
    <w:rsid w:val="00847321"/>
    <w:rsid w:val="00854770"/>
    <w:rsid w:val="00857CC4"/>
    <w:rsid w:val="00857E40"/>
    <w:rsid w:val="00886E29"/>
    <w:rsid w:val="008B0088"/>
    <w:rsid w:val="008C25AA"/>
    <w:rsid w:val="008D2605"/>
    <w:rsid w:val="0091406C"/>
    <w:rsid w:val="00916BF7"/>
    <w:rsid w:val="0092330B"/>
    <w:rsid w:val="00A04F48"/>
    <w:rsid w:val="00A22C2C"/>
    <w:rsid w:val="00A3207F"/>
    <w:rsid w:val="00A64081"/>
    <w:rsid w:val="00A84DB2"/>
    <w:rsid w:val="00AF071B"/>
    <w:rsid w:val="00AF508B"/>
    <w:rsid w:val="00B027FF"/>
    <w:rsid w:val="00BC155A"/>
    <w:rsid w:val="00BF761B"/>
    <w:rsid w:val="00C16746"/>
    <w:rsid w:val="00C45C94"/>
    <w:rsid w:val="00CF4E1E"/>
    <w:rsid w:val="00D83695"/>
    <w:rsid w:val="00DA36E9"/>
    <w:rsid w:val="00DD3BFD"/>
    <w:rsid w:val="00E07768"/>
    <w:rsid w:val="00E11C2B"/>
    <w:rsid w:val="00EA4672"/>
    <w:rsid w:val="00ED595D"/>
    <w:rsid w:val="00FC105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unhideWhenUsed/>
    <w:qFormat/>
    <w:rsid w:val="002E19E1"/>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31041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10418"/>
    <w:rPr>
      <w:rFonts w:ascii="Tahoma" w:hAnsi="Tahoma" w:cs="Tahoma"/>
      <w:sz w:val="16"/>
      <w:szCs w:val="16"/>
    </w:rPr>
  </w:style>
  <w:style w:type="paragraph" w:styleId="a6">
    <w:name w:val="footnote text"/>
    <w:basedOn w:val="a"/>
    <w:link w:val="a7"/>
    <w:uiPriority w:val="99"/>
    <w:semiHidden/>
    <w:unhideWhenUsed/>
    <w:rsid w:val="00FC1058"/>
    <w:pPr>
      <w:spacing w:after="0" w:line="240" w:lineRule="auto"/>
    </w:pPr>
    <w:rPr>
      <w:rFonts w:ascii="Calibri" w:eastAsia="Calibri" w:hAnsi="Calibri" w:cs="Times New Roman"/>
      <w:sz w:val="20"/>
      <w:szCs w:val="20"/>
    </w:rPr>
  </w:style>
  <w:style w:type="character" w:customStyle="1" w:styleId="a7">
    <w:name w:val="Текст сноски Знак"/>
    <w:basedOn w:val="a0"/>
    <w:link w:val="a6"/>
    <w:uiPriority w:val="99"/>
    <w:semiHidden/>
    <w:rsid w:val="00FC1058"/>
    <w:rPr>
      <w:rFonts w:ascii="Calibri" w:eastAsia="Calibri" w:hAnsi="Calibri" w:cs="Times New Roman"/>
      <w:sz w:val="20"/>
      <w:szCs w:val="20"/>
    </w:rPr>
  </w:style>
  <w:style w:type="character" w:styleId="a8">
    <w:name w:val="Hyperlink"/>
    <w:uiPriority w:val="99"/>
    <w:unhideWhenUsed/>
    <w:rsid w:val="00FC1058"/>
    <w:rPr>
      <w:color w:val="0000FF"/>
      <w:u w:val="single"/>
    </w:rPr>
  </w:style>
  <w:style w:type="paragraph" w:styleId="a9">
    <w:name w:val="Normal (Web)"/>
    <w:basedOn w:val="a"/>
    <w:uiPriority w:val="99"/>
    <w:unhideWhenUsed/>
    <w:rsid w:val="00FC10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s-item-maininfo">
    <w:name w:val="js-item-maininfo"/>
    <w:basedOn w:val="a0"/>
    <w:rsid w:val="00FC1058"/>
  </w:style>
  <w:style w:type="character" w:customStyle="1" w:styleId="apple-converted-space">
    <w:name w:val="apple-converted-space"/>
    <w:basedOn w:val="a0"/>
    <w:rsid w:val="00FC1058"/>
  </w:style>
  <w:style w:type="character" w:customStyle="1" w:styleId="search-descr">
    <w:name w:val="search-descr"/>
    <w:basedOn w:val="a0"/>
    <w:rsid w:val="00FC1058"/>
  </w:style>
  <w:style w:type="paragraph" w:styleId="aa">
    <w:name w:val="List Paragraph"/>
    <w:basedOn w:val="a"/>
    <w:link w:val="ab"/>
    <w:uiPriority w:val="34"/>
    <w:qFormat/>
    <w:rsid w:val="00FC1058"/>
    <w:pPr>
      <w:spacing w:after="200" w:line="276" w:lineRule="auto"/>
      <w:ind w:left="720"/>
      <w:contextualSpacing/>
    </w:pPr>
    <w:rPr>
      <w:rFonts w:ascii="Calibri" w:eastAsia="Calibri" w:hAnsi="Calibri" w:cs="Times New Roman"/>
    </w:rPr>
  </w:style>
  <w:style w:type="character" w:customStyle="1" w:styleId="ab">
    <w:name w:val="Абзац списка Знак"/>
    <w:link w:val="aa"/>
    <w:uiPriority w:val="34"/>
    <w:locked/>
    <w:rsid w:val="00FC1058"/>
    <w:rPr>
      <w:rFonts w:ascii="Calibri" w:eastAsia="Calibri" w:hAnsi="Calibri" w:cs="Times New Roman"/>
    </w:rPr>
  </w:style>
  <w:style w:type="paragraph" w:customStyle="1" w:styleId="Default">
    <w:name w:val="Default"/>
    <w:rsid w:val="00FC1058"/>
    <w:pPr>
      <w:suppressAutoHyphens/>
      <w:autoSpaceDN w:val="0"/>
      <w:spacing w:after="0" w:line="240" w:lineRule="auto"/>
      <w:textAlignment w:val="baseline"/>
    </w:pPr>
    <w:rPr>
      <w:rFonts w:ascii="Times New Roman" w:eastAsia="SimSun" w:hAnsi="Times New Roman" w:cs="Times New Roman"/>
      <w:color w:val="000000"/>
      <w:kern w:val="3"/>
      <w:sz w:val="24"/>
      <w:szCs w:val="24"/>
    </w:rPr>
  </w:style>
  <w:style w:type="character" w:styleId="ac">
    <w:name w:val="Strong"/>
    <w:basedOn w:val="a0"/>
    <w:uiPriority w:val="22"/>
    <w:qFormat/>
    <w:rsid w:val="00FC1058"/>
    <w:rPr>
      <w:b/>
      <w:bCs/>
    </w:rPr>
  </w:style>
  <w:style w:type="character" w:customStyle="1" w:styleId="30">
    <w:name w:val="Заголовок 3 Знак"/>
    <w:basedOn w:val="a0"/>
    <w:link w:val="3"/>
    <w:uiPriority w:val="9"/>
    <w:rsid w:val="002E19E1"/>
    <w:rPr>
      <w:rFonts w:asciiTheme="majorHAnsi" w:eastAsiaTheme="majorEastAsia" w:hAnsiTheme="majorHAnsi" w:cstheme="majorBidi"/>
      <w:b/>
      <w:bCs/>
      <w:color w:val="5B9BD5"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unhideWhenUsed/>
    <w:qFormat/>
    <w:rsid w:val="002E19E1"/>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31041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10418"/>
    <w:rPr>
      <w:rFonts w:ascii="Tahoma" w:hAnsi="Tahoma" w:cs="Tahoma"/>
      <w:sz w:val="16"/>
      <w:szCs w:val="16"/>
    </w:rPr>
  </w:style>
  <w:style w:type="paragraph" w:styleId="a6">
    <w:name w:val="footnote text"/>
    <w:basedOn w:val="a"/>
    <w:link w:val="a7"/>
    <w:uiPriority w:val="99"/>
    <w:semiHidden/>
    <w:unhideWhenUsed/>
    <w:rsid w:val="00FC1058"/>
    <w:pPr>
      <w:spacing w:after="0" w:line="240" w:lineRule="auto"/>
    </w:pPr>
    <w:rPr>
      <w:rFonts w:ascii="Calibri" w:eastAsia="Calibri" w:hAnsi="Calibri" w:cs="Times New Roman"/>
      <w:sz w:val="20"/>
      <w:szCs w:val="20"/>
    </w:rPr>
  </w:style>
  <w:style w:type="character" w:customStyle="1" w:styleId="a7">
    <w:name w:val="Текст сноски Знак"/>
    <w:basedOn w:val="a0"/>
    <w:link w:val="a6"/>
    <w:uiPriority w:val="99"/>
    <w:semiHidden/>
    <w:rsid w:val="00FC1058"/>
    <w:rPr>
      <w:rFonts w:ascii="Calibri" w:eastAsia="Calibri" w:hAnsi="Calibri" w:cs="Times New Roman"/>
      <w:sz w:val="20"/>
      <w:szCs w:val="20"/>
    </w:rPr>
  </w:style>
  <w:style w:type="character" w:styleId="a8">
    <w:name w:val="Hyperlink"/>
    <w:uiPriority w:val="99"/>
    <w:unhideWhenUsed/>
    <w:rsid w:val="00FC1058"/>
    <w:rPr>
      <w:color w:val="0000FF"/>
      <w:u w:val="single"/>
    </w:rPr>
  </w:style>
  <w:style w:type="paragraph" w:styleId="a9">
    <w:name w:val="Normal (Web)"/>
    <w:basedOn w:val="a"/>
    <w:uiPriority w:val="99"/>
    <w:unhideWhenUsed/>
    <w:rsid w:val="00FC10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s-item-maininfo">
    <w:name w:val="js-item-maininfo"/>
    <w:basedOn w:val="a0"/>
    <w:rsid w:val="00FC1058"/>
  </w:style>
  <w:style w:type="character" w:customStyle="1" w:styleId="apple-converted-space">
    <w:name w:val="apple-converted-space"/>
    <w:basedOn w:val="a0"/>
    <w:rsid w:val="00FC1058"/>
  </w:style>
  <w:style w:type="character" w:customStyle="1" w:styleId="search-descr">
    <w:name w:val="search-descr"/>
    <w:basedOn w:val="a0"/>
    <w:rsid w:val="00FC1058"/>
  </w:style>
  <w:style w:type="paragraph" w:styleId="aa">
    <w:name w:val="List Paragraph"/>
    <w:basedOn w:val="a"/>
    <w:link w:val="ab"/>
    <w:uiPriority w:val="34"/>
    <w:qFormat/>
    <w:rsid w:val="00FC1058"/>
    <w:pPr>
      <w:spacing w:after="200" w:line="276" w:lineRule="auto"/>
      <w:ind w:left="720"/>
      <w:contextualSpacing/>
    </w:pPr>
    <w:rPr>
      <w:rFonts w:ascii="Calibri" w:eastAsia="Calibri" w:hAnsi="Calibri" w:cs="Times New Roman"/>
    </w:rPr>
  </w:style>
  <w:style w:type="character" w:customStyle="1" w:styleId="ab">
    <w:name w:val="Абзац списка Знак"/>
    <w:link w:val="aa"/>
    <w:uiPriority w:val="34"/>
    <w:locked/>
    <w:rsid w:val="00FC1058"/>
    <w:rPr>
      <w:rFonts w:ascii="Calibri" w:eastAsia="Calibri" w:hAnsi="Calibri" w:cs="Times New Roman"/>
    </w:rPr>
  </w:style>
  <w:style w:type="paragraph" w:customStyle="1" w:styleId="Default">
    <w:name w:val="Default"/>
    <w:rsid w:val="00FC1058"/>
    <w:pPr>
      <w:suppressAutoHyphens/>
      <w:autoSpaceDN w:val="0"/>
      <w:spacing w:after="0" w:line="240" w:lineRule="auto"/>
      <w:textAlignment w:val="baseline"/>
    </w:pPr>
    <w:rPr>
      <w:rFonts w:ascii="Times New Roman" w:eastAsia="SimSun" w:hAnsi="Times New Roman" w:cs="Times New Roman"/>
      <w:color w:val="000000"/>
      <w:kern w:val="3"/>
      <w:sz w:val="24"/>
      <w:szCs w:val="24"/>
    </w:rPr>
  </w:style>
  <w:style w:type="character" w:styleId="ac">
    <w:name w:val="Strong"/>
    <w:basedOn w:val="a0"/>
    <w:uiPriority w:val="22"/>
    <w:qFormat/>
    <w:rsid w:val="00FC1058"/>
    <w:rPr>
      <w:b/>
      <w:bCs/>
    </w:rPr>
  </w:style>
  <w:style w:type="character" w:customStyle="1" w:styleId="30">
    <w:name w:val="Заголовок 3 Знак"/>
    <w:basedOn w:val="a0"/>
    <w:link w:val="3"/>
    <w:uiPriority w:val="9"/>
    <w:rsid w:val="002E19E1"/>
    <w:rPr>
      <w:rFonts w:asciiTheme="majorHAnsi" w:eastAsiaTheme="majorEastAsia" w:hAnsiTheme="majorHAnsi" w:cstheme="majorBidi"/>
      <w:b/>
      <w:bCs/>
      <w:color w:val="5B9BD5" w:themeColor="accent1"/>
    </w:rPr>
  </w:style>
</w:styles>
</file>

<file path=word/webSettings.xml><?xml version="1.0" encoding="utf-8"?>
<w:webSettings xmlns:r="http://schemas.openxmlformats.org/officeDocument/2006/relationships" xmlns:w="http://schemas.openxmlformats.org/wordprocessingml/2006/main">
  <w:divs>
    <w:div w:id="1110777159">
      <w:bodyDiv w:val="1"/>
      <w:marLeft w:val="0"/>
      <w:marRight w:val="0"/>
      <w:marTop w:val="0"/>
      <w:marBottom w:val="0"/>
      <w:divBdr>
        <w:top w:val="none" w:sz="0" w:space="0" w:color="auto"/>
        <w:left w:val="none" w:sz="0" w:space="0" w:color="auto"/>
        <w:bottom w:val="none" w:sz="0" w:space="0" w:color="auto"/>
        <w:right w:val="none" w:sz="0" w:space="0" w:color="auto"/>
      </w:divBdr>
      <w:divsChild>
        <w:div w:id="5151340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chart" Target="charts/chart2.xml"/><Relationship Id="rId26" Type="http://schemas.microsoft.com/office/2007/relationships/stylesWithEffects" Target="stylesWithEffects.xml"/><Relationship Id="rId3" Type="http://schemas.openxmlformats.org/officeDocument/2006/relationships/settings" Target="settings.xml"/><Relationship Id="rId21" Type="http://schemas.openxmlformats.org/officeDocument/2006/relationships/chart" Target="charts/chart5.xml"/><Relationship Id="rId7" Type="http://schemas.openxmlformats.org/officeDocument/2006/relationships/chart" Target="charts/chart1.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diagramColors" Target="diagrams/colors2.xml"/><Relationship Id="rId20"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hyperlink" Target="http://www.pravo.gov.ru" TargetMode="External"/><Relationship Id="rId10" Type="http://schemas.openxmlformats.org/officeDocument/2006/relationships/diagramQuickStyle" Target="diagrams/quickStyle1.xml"/><Relationship Id="rId19"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hyperlink" Target="http://www.consultant.ru/document%20/cons_doc_LAW_21531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
          <c:y val="2.3809523809523874E-2"/>
          <c:w val="1"/>
          <c:h val="0.9583333333333337"/>
        </c:manualLayout>
      </c:layout>
      <c:pie3DChart>
        <c:varyColors val="1"/>
        <c:ser>
          <c:idx val="0"/>
          <c:order val="0"/>
          <c:tx>
            <c:strRef>
              <c:f>Лист1!$B$1</c:f>
              <c:strCache>
                <c:ptCount val="1"/>
                <c:pt idx="0">
                  <c:v>Столбец1</c:v>
                </c:pt>
              </c:strCache>
            </c:strRef>
          </c:tx>
          <c:explosion val="57"/>
          <c:dPt>
            <c:idx val="1"/>
            <c:explosion val="12"/>
          </c:dPt>
          <c:dPt>
            <c:idx val="2"/>
            <c:explosion val="112"/>
          </c:dPt>
          <c:dPt>
            <c:idx val="3"/>
            <c:explosion val="74"/>
          </c:dPt>
          <c:dPt>
            <c:idx val="4"/>
            <c:explosion val="113"/>
          </c:dPt>
          <c:dLbls>
            <c:dLbl>
              <c:idx val="0"/>
              <c:layout>
                <c:manualLayout>
                  <c:x val="-8.3333333333333565E-2"/>
                  <c:y val="-0.48885451818522796"/>
                </c:manualLayout>
              </c:layout>
              <c:showVal val="1"/>
              <c:showCatName val="1"/>
              <c:separator>
</c:separator>
            </c:dLbl>
            <c:dLbl>
              <c:idx val="1"/>
              <c:layout>
                <c:manualLayout>
                  <c:x val="0.12587826094510518"/>
                  <c:y val="5.5394289660687379E-2"/>
                </c:manualLayout>
              </c:layout>
              <c:showVal val="1"/>
              <c:showCatName val="1"/>
              <c:separator>
</c:separator>
            </c:dLbl>
            <c:dLbl>
              <c:idx val="2"/>
              <c:layout>
                <c:manualLayout>
                  <c:x val="-5.9656149752114321E-2"/>
                  <c:y val="8.7199412573428545E-2"/>
                </c:manualLayout>
              </c:layout>
              <c:showVal val="1"/>
              <c:showCatName val="1"/>
              <c:separator>
</c:separator>
            </c:dLbl>
            <c:dLbl>
              <c:idx val="3"/>
              <c:layout>
                <c:manualLayout>
                  <c:x val="-6.4811101956749745E-2"/>
                  <c:y val="-0.22106609963106344"/>
                </c:manualLayout>
              </c:layout>
              <c:showVal val="1"/>
              <c:showCatName val="1"/>
              <c:separator>
</c:separator>
            </c:dLbl>
            <c:dLbl>
              <c:idx val="4"/>
              <c:layout>
                <c:manualLayout>
                  <c:x val="-0.13244807828499264"/>
                  <c:y val="-7.0153208658197491E-2"/>
                </c:manualLayout>
              </c:layout>
              <c:showVal val="1"/>
              <c:showCatName val="1"/>
              <c:separator>
</c:separator>
            </c:dLbl>
            <c:txPr>
              <a:bodyPr/>
              <a:lstStyle/>
              <a:p>
                <a:pPr>
                  <a:defRPr sz="1100"/>
                </a:pPr>
                <a:endParaRPr lang="ru-RU"/>
              </a:p>
            </c:txPr>
            <c:showVal val="1"/>
            <c:showCatName val="1"/>
            <c:separator>
</c:separator>
            <c:showLeaderLines val="1"/>
          </c:dLbls>
          <c:cat>
            <c:strRef>
              <c:f>Лист1!$A$2:$A$6</c:f>
              <c:strCache>
                <c:ptCount val="5"/>
                <c:pt idx="0">
                  <c:v>Россия</c:v>
                </c:pt>
                <c:pt idx="1">
                  <c:v>Армения</c:v>
                </c:pt>
                <c:pt idx="2">
                  <c:v>Кыргызстан</c:v>
                </c:pt>
                <c:pt idx="3">
                  <c:v>Казахстан</c:v>
                </c:pt>
                <c:pt idx="4">
                  <c:v>Белоруссия</c:v>
                </c:pt>
              </c:strCache>
            </c:strRef>
          </c:cat>
          <c:val>
            <c:numRef>
              <c:f>Лист1!$B$2:$B$6</c:f>
              <c:numCache>
                <c:formatCode>General</c:formatCode>
                <c:ptCount val="5"/>
                <c:pt idx="0">
                  <c:v>262</c:v>
                </c:pt>
                <c:pt idx="1">
                  <c:v>10</c:v>
                </c:pt>
                <c:pt idx="2">
                  <c:v>3</c:v>
                </c:pt>
                <c:pt idx="3">
                  <c:v>33</c:v>
                </c:pt>
                <c:pt idx="4">
                  <c:v>147</c:v>
                </c:pt>
              </c:numCache>
            </c:numRef>
          </c:val>
        </c:ser>
        <c:dLbls>
          <c:showCatName val="1"/>
        </c:dLbls>
      </c:pie3DChart>
    </c:plotArea>
    <c:plotVisOnly val="1"/>
    <c:dispBlanksAs val="zero"/>
  </c:chart>
  <c:txPr>
    <a:bodyPr/>
    <a:lstStyle/>
    <a:p>
      <a:pPr>
        <a:defRPr sz="1400">
          <a:latin typeface="Times New Roman" panose="02020603050405020304" pitchFamily="18" charset="0"/>
          <a:cs typeface="Times New Roman" panose="02020603050405020304"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30"/>
    </c:view3D>
    <c:plotArea>
      <c:layout>
        <c:manualLayout>
          <c:layoutTarget val="inner"/>
          <c:xMode val="edge"/>
          <c:yMode val="edge"/>
          <c:x val="7.8693273945339592E-2"/>
          <c:y val="1.6951443569553807E-2"/>
          <c:w val="0.77989447850104276"/>
          <c:h val="0.64650328083989561"/>
        </c:manualLayout>
      </c:layout>
      <c:bar3DChart>
        <c:barDir val="col"/>
        <c:grouping val="standard"/>
        <c:ser>
          <c:idx val="0"/>
          <c:order val="0"/>
          <c:tx>
            <c:strRef>
              <c:f>Лист1!$B$1</c:f>
              <c:strCache>
                <c:ptCount val="1"/>
                <c:pt idx="0">
                  <c:v>Армения</c:v>
                </c:pt>
              </c:strCache>
            </c:strRef>
          </c:tx>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20.399999999999999</c:v>
                </c:pt>
                <c:pt idx="1">
                  <c:v>28.1</c:v>
                </c:pt>
                <c:pt idx="2">
                  <c:v>29.2</c:v>
                </c:pt>
                <c:pt idx="3">
                  <c:v>14.7</c:v>
                </c:pt>
                <c:pt idx="4">
                  <c:v>14.8</c:v>
                </c:pt>
              </c:numCache>
            </c:numRef>
          </c:val>
        </c:ser>
        <c:ser>
          <c:idx val="1"/>
          <c:order val="1"/>
          <c:tx>
            <c:strRef>
              <c:f>Лист1!$C$1</c:f>
              <c:strCache>
                <c:ptCount val="1"/>
                <c:pt idx="0">
                  <c:v>Беларусь</c:v>
                </c:pt>
              </c:strCache>
            </c:strRef>
          </c:tx>
          <c:cat>
            <c:numRef>
              <c:f>Лист1!$A$2:$A$6</c:f>
              <c:numCache>
                <c:formatCode>General</c:formatCode>
                <c:ptCount val="5"/>
                <c:pt idx="0">
                  <c:v>2016</c:v>
                </c:pt>
                <c:pt idx="1">
                  <c:v>2017</c:v>
                </c:pt>
                <c:pt idx="2">
                  <c:v>2018</c:v>
                </c:pt>
                <c:pt idx="3">
                  <c:v>2019</c:v>
                </c:pt>
                <c:pt idx="4">
                  <c:v>2020</c:v>
                </c:pt>
              </c:numCache>
            </c:numRef>
          </c:cat>
          <c:val>
            <c:numRef>
              <c:f>Лист1!$C$2:$C$6</c:f>
              <c:numCache>
                <c:formatCode>General</c:formatCode>
                <c:ptCount val="5"/>
                <c:pt idx="0">
                  <c:v>417.6</c:v>
                </c:pt>
                <c:pt idx="1">
                  <c:v>439.5</c:v>
                </c:pt>
                <c:pt idx="2">
                  <c:v>455.5</c:v>
                </c:pt>
                <c:pt idx="3">
                  <c:v>427.8</c:v>
                </c:pt>
                <c:pt idx="4">
                  <c:v>398.7</c:v>
                </c:pt>
              </c:numCache>
            </c:numRef>
          </c:val>
        </c:ser>
        <c:ser>
          <c:idx val="2"/>
          <c:order val="2"/>
          <c:tx>
            <c:strRef>
              <c:f>Лист1!$D$1</c:f>
              <c:strCache>
                <c:ptCount val="1"/>
                <c:pt idx="0">
                  <c:v>Казахстан</c:v>
                </c:pt>
              </c:strCache>
            </c:strRef>
          </c:tx>
          <c:cat>
            <c:numRef>
              <c:f>Лист1!$A$2:$A$6</c:f>
              <c:numCache>
                <c:formatCode>General</c:formatCode>
                <c:ptCount val="5"/>
                <c:pt idx="0">
                  <c:v>2016</c:v>
                </c:pt>
                <c:pt idx="1">
                  <c:v>2017</c:v>
                </c:pt>
                <c:pt idx="2">
                  <c:v>2018</c:v>
                </c:pt>
                <c:pt idx="3">
                  <c:v>2019</c:v>
                </c:pt>
                <c:pt idx="4">
                  <c:v>2020</c:v>
                </c:pt>
              </c:numCache>
            </c:numRef>
          </c:cat>
          <c:val>
            <c:numRef>
              <c:f>Лист1!$D$2:$D$6</c:f>
              <c:numCache>
                <c:formatCode>#,##0.00</c:formatCode>
                <c:ptCount val="5"/>
                <c:pt idx="0">
                  <c:v>3729.2</c:v>
                </c:pt>
                <c:pt idx="1">
                  <c:v>3946.1</c:v>
                </c:pt>
                <c:pt idx="2">
                  <c:v>4103.8</c:v>
                </c:pt>
                <c:pt idx="3">
                  <c:v>4222.7</c:v>
                </c:pt>
                <c:pt idx="4">
                  <c:v>3944.8</c:v>
                </c:pt>
              </c:numCache>
            </c:numRef>
          </c:val>
        </c:ser>
        <c:ser>
          <c:idx val="3"/>
          <c:order val="3"/>
          <c:tx>
            <c:strRef>
              <c:f>Лист1!$E$1</c:f>
              <c:strCache>
                <c:ptCount val="1"/>
                <c:pt idx="0">
                  <c:v>Кыргызстан </c:v>
                </c:pt>
              </c:strCache>
            </c:strRef>
          </c:tx>
          <c:spPr>
            <a:ln w="25400">
              <a:noFill/>
            </a:ln>
          </c:spPr>
          <c:cat>
            <c:numRef>
              <c:f>Лист1!$A$2:$A$6</c:f>
              <c:numCache>
                <c:formatCode>General</c:formatCode>
                <c:ptCount val="5"/>
                <c:pt idx="0">
                  <c:v>2016</c:v>
                </c:pt>
                <c:pt idx="1">
                  <c:v>2017</c:v>
                </c:pt>
                <c:pt idx="2">
                  <c:v>2018</c:v>
                </c:pt>
                <c:pt idx="3">
                  <c:v>2019</c:v>
                </c:pt>
                <c:pt idx="4">
                  <c:v>2020</c:v>
                </c:pt>
              </c:numCache>
            </c:numRef>
          </c:cat>
          <c:val>
            <c:numRef>
              <c:f>Лист1!$E$2:$E$6</c:f>
              <c:numCache>
                <c:formatCode>General</c:formatCode>
                <c:ptCount val="5"/>
                <c:pt idx="0">
                  <c:v>31.2</c:v>
                </c:pt>
                <c:pt idx="1">
                  <c:v>31.9</c:v>
                </c:pt>
                <c:pt idx="2">
                  <c:v>33</c:v>
                </c:pt>
                <c:pt idx="3">
                  <c:v>34.200000000000003</c:v>
                </c:pt>
                <c:pt idx="4">
                  <c:v>24.6</c:v>
                </c:pt>
              </c:numCache>
            </c:numRef>
          </c:val>
        </c:ser>
        <c:ser>
          <c:idx val="4"/>
          <c:order val="4"/>
          <c:tx>
            <c:strRef>
              <c:f>Лист1!$F$1</c:f>
              <c:strCache>
                <c:ptCount val="1"/>
                <c:pt idx="0">
                  <c:v>Россия</c:v>
                </c:pt>
              </c:strCache>
            </c:strRef>
          </c:tx>
          <c:spPr>
            <a:ln w="25400">
              <a:noFill/>
            </a:ln>
          </c:spPr>
          <c:cat>
            <c:numRef>
              <c:f>Лист1!$A$2:$A$6</c:f>
              <c:numCache>
                <c:formatCode>General</c:formatCode>
                <c:ptCount val="5"/>
                <c:pt idx="0">
                  <c:v>2016</c:v>
                </c:pt>
                <c:pt idx="1">
                  <c:v>2017</c:v>
                </c:pt>
                <c:pt idx="2">
                  <c:v>2018</c:v>
                </c:pt>
                <c:pt idx="3">
                  <c:v>2019</c:v>
                </c:pt>
                <c:pt idx="4">
                  <c:v>2020</c:v>
                </c:pt>
              </c:numCache>
            </c:numRef>
          </c:cat>
          <c:val>
            <c:numRef>
              <c:f>Лист1!$F$2:$F$6</c:f>
              <c:numCache>
                <c:formatCode>#,##0.00</c:formatCode>
                <c:ptCount val="5"/>
                <c:pt idx="0">
                  <c:v>7953.9</c:v>
                </c:pt>
                <c:pt idx="1">
                  <c:v>8072.6</c:v>
                </c:pt>
                <c:pt idx="2">
                  <c:v>8145.7</c:v>
                </c:pt>
                <c:pt idx="3">
                  <c:v>8425.7000000000007</c:v>
                </c:pt>
                <c:pt idx="4" formatCode="General">
                  <c:v>7959.7</c:v>
                </c:pt>
              </c:numCache>
            </c:numRef>
          </c:val>
        </c:ser>
        <c:shape val="box"/>
        <c:axId val="146258560"/>
        <c:axId val="146416384"/>
        <c:axId val="145925888"/>
      </c:bar3DChart>
      <c:catAx>
        <c:axId val="146258560"/>
        <c:scaling>
          <c:orientation val="minMax"/>
        </c:scaling>
        <c:axPos val="b"/>
        <c:numFmt formatCode="General" sourceLinked="1"/>
        <c:majorTickMark val="none"/>
        <c:tickLblPos val="nextTo"/>
        <c:txPr>
          <a:bodyPr/>
          <a:lstStyle/>
          <a:p>
            <a:pPr>
              <a:defRPr sz="1050"/>
            </a:pPr>
            <a:endParaRPr lang="ru-RU"/>
          </a:p>
        </c:txPr>
        <c:crossAx val="146416384"/>
        <c:crosses val="autoZero"/>
        <c:auto val="1"/>
        <c:lblAlgn val="ctr"/>
        <c:lblOffset val="100"/>
      </c:catAx>
      <c:valAx>
        <c:axId val="146416384"/>
        <c:scaling>
          <c:orientation val="minMax"/>
        </c:scaling>
        <c:axPos val="l"/>
        <c:majorGridlines/>
        <c:numFmt formatCode="General" sourceLinked="1"/>
        <c:majorTickMark val="none"/>
        <c:tickLblPos val="nextTo"/>
        <c:crossAx val="146258560"/>
        <c:crosses val="autoZero"/>
        <c:crossBetween val="between"/>
      </c:valAx>
      <c:serAx>
        <c:axId val="145925888"/>
        <c:scaling>
          <c:orientation val="minMax"/>
        </c:scaling>
        <c:axPos val="b"/>
        <c:majorTickMark val="none"/>
        <c:tickLblPos val="nextTo"/>
        <c:txPr>
          <a:bodyPr/>
          <a:lstStyle/>
          <a:p>
            <a:pPr>
              <a:defRPr sz="1050"/>
            </a:pPr>
            <a:endParaRPr lang="ru-RU"/>
          </a:p>
        </c:txPr>
        <c:crossAx val="146416384"/>
        <c:crosses val="autoZero"/>
      </c:serAx>
      <c:dTable>
        <c:showHorzBorder val="1"/>
        <c:showVertBorder val="1"/>
        <c:showOutline val="1"/>
        <c:showKeys val="1"/>
        <c:txPr>
          <a:bodyPr/>
          <a:lstStyle/>
          <a:p>
            <a:pPr rtl="0">
              <a:defRPr sz="1050"/>
            </a:pPr>
            <a:endParaRPr lang="ru-RU"/>
          </a:p>
        </c:txPr>
      </c:dTable>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style val="9"/>
  <c:chart>
    <c:autoTitleDeleted val="1"/>
    <c:plotArea>
      <c:layout/>
      <c:lineChart>
        <c:grouping val="stacked"/>
        <c:ser>
          <c:idx val="0"/>
          <c:order val="0"/>
          <c:tx>
            <c:strRef>
              <c:f>Лист1!$B$1</c:f>
              <c:strCache>
                <c:ptCount val="1"/>
                <c:pt idx="0">
                  <c:v>в %</c:v>
                </c:pt>
              </c:strCache>
            </c:strRef>
          </c:tx>
          <c:cat>
            <c:numRef>
              <c:f>Лист1!$A$2:$A$6</c:f>
              <c:numCache>
                <c:formatCode>General</c:formatCode>
                <c:ptCount val="5"/>
                <c:pt idx="0">
                  <c:v>2016</c:v>
                </c:pt>
                <c:pt idx="1">
                  <c:v>2017</c:v>
                </c:pt>
                <c:pt idx="2">
                  <c:v>2018</c:v>
                </c:pt>
                <c:pt idx="3">
                  <c:v>2019</c:v>
                </c:pt>
                <c:pt idx="4">
                  <c:v>2021</c:v>
                </c:pt>
              </c:numCache>
            </c:numRef>
          </c:cat>
          <c:val>
            <c:numRef>
              <c:f>Лист1!$B$2:$B$6</c:f>
              <c:numCache>
                <c:formatCode>General</c:formatCode>
                <c:ptCount val="5"/>
                <c:pt idx="0">
                  <c:v>100.4</c:v>
                </c:pt>
                <c:pt idx="1">
                  <c:v>103.1</c:v>
                </c:pt>
                <c:pt idx="2">
                  <c:v>103</c:v>
                </c:pt>
                <c:pt idx="3">
                  <c:v>102.9</c:v>
                </c:pt>
                <c:pt idx="4">
                  <c:v>94.1</c:v>
                </c:pt>
              </c:numCache>
            </c:numRef>
          </c:val>
        </c:ser>
        <c:dLbls>
          <c:showVal val="1"/>
        </c:dLbls>
        <c:marker val="1"/>
        <c:axId val="147646336"/>
        <c:axId val="147648512"/>
      </c:lineChart>
      <c:catAx>
        <c:axId val="147646336"/>
        <c:scaling>
          <c:orientation val="minMax"/>
        </c:scaling>
        <c:axPos val="b"/>
        <c:numFmt formatCode="General" sourceLinked="1"/>
        <c:majorTickMark val="none"/>
        <c:tickLblPos val="nextTo"/>
        <c:crossAx val="147648512"/>
        <c:crosses val="autoZero"/>
        <c:auto val="1"/>
        <c:lblAlgn val="ctr"/>
        <c:lblOffset val="100"/>
      </c:catAx>
      <c:valAx>
        <c:axId val="147648512"/>
        <c:scaling>
          <c:orientation val="minMax"/>
        </c:scaling>
        <c:axPos val="l"/>
        <c:majorGridlines/>
        <c:numFmt formatCode="General" sourceLinked="1"/>
        <c:majorTickMark val="none"/>
        <c:tickLblPos val="nextTo"/>
        <c:crossAx val="147646336"/>
        <c:crosses val="autoZero"/>
        <c:crossBetween val="between"/>
      </c:valAx>
    </c:plotArea>
    <c:legend>
      <c:legendPos val="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5"/>
  <c:chart>
    <c:autoTitleDeleted val="1"/>
    <c:view3D>
      <c:rotX val="30"/>
      <c:perspective val="30"/>
    </c:view3D>
    <c:plotArea>
      <c:layout/>
      <c:pie3DChart>
        <c:varyColors val="1"/>
        <c:ser>
          <c:idx val="0"/>
          <c:order val="0"/>
          <c:tx>
            <c:strRef>
              <c:f>Лист1!$B$1</c:f>
              <c:strCache>
                <c:ptCount val="1"/>
                <c:pt idx="0">
                  <c:v>Продажи</c:v>
                </c:pt>
              </c:strCache>
            </c:strRef>
          </c:tx>
          <c:explosion val="25"/>
          <c:dLbls>
            <c:dLbl>
              <c:idx val="0"/>
              <c:layout>
                <c:manualLayout>
                  <c:x val="7.5497594050744276E-3"/>
                  <c:y val="-3.9274723773577241E-2"/>
                </c:manualLayout>
              </c:layout>
              <c:showVal val="1"/>
            </c:dLbl>
            <c:dLbl>
              <c:idx val="1"/>
              <c:layout>
                <c:manualLayout>
                  <c:x val="6.7658209390492859E-3"/>
                  <c:y val="-0.12297989886902085"/>
                </c:manualLayout>
              </c:layout>
              <c:showVal val="1"/>
            </c:dLbl>
            <c:dLbl>
              <c:idx val="2"/>
              <c:layout>
                <c:manualLayout>
                  <c:x val="-0.10950067439486731"/>
                  <c:y val="1.2118189697464789E-2"/>
                </c:manualLayout>
              </c:layout>
              <c:showVal val="1"/>
            </c:dLbl>
            <c:dLbl>
              <c:idx val="3"/>
              <c:layout>
                <c:manualLayout>
                  <c:x val="-1.269666812481773E-2"/>
                  <c:y val="-5.5785464846646392E-2"/>
                </c:manualLayout>
              </c:layout>
              <c:showVal val="1"/>
            </c:dLbl>
            <c:dLbl>
              <c:idx val="4"/>
              <c:layout>
                <c:manualLayout>
                  <c:x val="-5.4770523476232139E-2"/>
                  <c:y val="-5.2758334510689314E-2"/>
                </c:manualLayout>
              </c:layout>
              <c:tx>
                <c:rich>
                  <a:bodyPr/>
                  <a:lstStyle/>
                  <a:p>
                    <a:r>
                      <a:rPr lang="en-US" sz="1050"/>
                      <a:t>12 342,60</a:t>
                    </a:r>
                  </a:p>
                </c:rich>
              </c:tx>
              <c:showVal val="1"/>
            </c:dLbl>
            <c:showVal val="1"/>
            <c:showLeaderLines val="1"/>
          </c:dLbls>
          <c:cat>
            <c:numRef>
              <c:f>Лист1!$A$2:$A$6</c:f>
              <c:numCache>
                <c:formatCode>General</c:formatCode>
                <c:ptCount val="5"/>
                <c:pt idx="0">
                  <c:v>2016</c:v>
                </c:pt>
                <c:pt idx="1">
                  <c:v>2017</c:v>
                </c:pt>
                <c:pt idx="2">
                  <c:v>2018</c:v>
                </c:pt>
                <c:pt idx="3">
                  <c:v>2019</c:v>
                </c:pt>
                <c:pt idx="4">
                  <c:v>2020</c:v>
                </c:pt>
              </c:numCache>
            </c:numRef>
          </c:cat>
          <c:val>
            <c:numRef>
              <c:f>Лист1!$B$2:$B$6</c:f>
              <c:numCache>
                <c:formatCode>#,##0.00</c:formatCode>
                <c:ptCount val="5"/>
                <c:pt idx="0">
                  <c:v>12152.4</c:v>
                </c:pt>
                <c:pt idx="1">
                  <c:v>12518.2</c:v>
                </c:pt>
                <c:pt idx="2">
                  <c:v>12767.2</c:v>
                </c:pt>
                <c:pt idx="3">
                  <c:v>13125.1</c:v>
                </c:pt>
                <c:pt idx="4">
                  <c:v>12342.6</c:v>
                </c:pt>
              </c:numCache>
            </c:numRef>
          </c:val>
        </c:ser>
        <c:dLbls>
          <c:showPercent val="1"/>
        </c:dLbls>
      </c:pie3DChart>
    </c:plotArea>
    <c:legend>
      <c:legendPos val="t"/>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hart>
    <c:autoTitleDeleted val="1"/>
    <c:plotArea>
      <c:layout/>
      <c:lineChart>
        <c:grouping val="stacked"/>
        <c:ser>
          <c:idx val="0"/>
          <c:order val="0"/>
          <c:tx>
            <c:strRef>
              <c:f>Лист1!$B$1</c:f>
              <c:strCache>
                <c:ptCount val="1"/>
                <c:pt idx="0">
                  <c:v>Армения</c:v>
                </c:pt>
              </c:strCache>
            </c:strRef>
          </c:tx>
          <c:marker>
            <c:symbol val="none"/>
          </c:marker>
          <c:dLbls>
            <c:showVal val="1"/>
          </c:dLbls>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185.5</c:v>
                </c:pt>
                <c:pt idx="1">
                  <c:v>137.69999999999999</c:v>
                </c:pt>
                <c:pt idx="2">
                  <c:v>103.7</c:v>
                </c:pt>
                <c:pt idx="3">
                  <c:v>50.4</c:v>
                </c:pt>
                <c:pt idx="4">
                  <c:v>100.7</c:v>
                </c:pt>
              </c:numCache>
            </c:numRef>
          </c:val>
        </c:ser>
        <c:ser>
          <c:idx val="1"/>
          <c:order val="1"/>
          <c:tx>
            <c:strRef>
              <c:f>Лист1!$C$1</c:f>
              <c:strCache>
                <c:ptCount val="1"/>
                <c:pt idx="0">
                  <c:v>Беларусь</c:v>
                </c:pt>
              </c:strCache>
            </c:strRef>
          </c:tx>
          <c:marker>
            <c:symbol val="none"/>
          </c:marker>
          <c:dLbls>
            <c:showVal val="1"/>
          </c:dLbls>
          <c:cat>
            <c:numRef>
              <c:f>Лист1!$A$2:$A$6</c:f>
              <c:numCache>
                <c:formatCode>General</c:formatCode>
                <c:ptCount val="5"/>
                <c:pt idx="0">
                  <c:v>2016</c:v>
                </c:pt>
                <c:pt idx="1">
                  <c:v>2017</c:v>
                </c:pt>
                <c:pt idx="2">
                  <c:v>2018</c:v>
                </c:pt>
                <c:pt idx="3">
                  <c:v>2019</c:v>
                </c:pt>
                <c:pt idx="4">
                  <c:v>2020</c:v>
                </c:pt>
              </c:numCache>
            </c:numRef>
          </c:cat>
          <c:val>
            <c:numRef>
              <c:f>Лист1!$C$2:$C$6</c:f>
              <c:numCache>
                <c:formatCode>General</c:formatCode>
                <c:ptCount val="5"/>
                <c:pt idx="0">
                  <c:v>95.1</c:v>
                </c:pt>
                <c:pt idx="1">
                  <c:v>105.2</c:v>
                </c:pt>
                <c:pt idx="2">
                  <c:v>103.6</c:v>
                </c:pt>
                <c:pt idx="3">
                  <c:v>93.9</c:v>
                </c:pt>
                <c:pt idx="4">
                  <c:v>93.2</c:v>
                </c:pt>
              </c:numCache>
            </c:numRef>
          </c:val>
        </c:ser>
        <c:ser>
          <c:idx val="2"/>
          <c:order val="2"/>
          <c:tx>
            <c:strRef>
              <c:f>Лист1!$D$1</c:f>
              <c:strCache>
                <c:ptCount val="1"/>
                <c:pt idx="0">
                  <c:v>Казахстан</c:v>
                </c:pt>
              </c:strCache>
            </c:strRef>
          </c:tx>
          <c:marker>
            <c:symbol val="none"/>
          </c:marker>
          <c:dLbls>
            <c:showVal val="1"/>
          </c:dLbls>
          <c:cat>
            <c:numRef>
              <c:f>Лист1!$A$2:$A$6</c:f>
              <c:numCache>
                <c:formatCode>General</c:formatCode>
                <c:ptCount val="5"/>
                <c:pt idx="0">
                  <c:v>2016</c:v>
                </c:pt>
                <c:pt idx="1">
                  <c:v>2017</c:v>
                </c:pt>
                <c:pt idx="2">
                  <c:v>2018</c:v>
                </c:pt>
                <c:pt idx="3">
                  <c:v>2019</c:v>
                </c:pt>
                <c:pt idx="4">
                  <c:v>2020</c:v>
                </c:pt>
              </c:numCache>
            </c:numRef>
          </c:cat>
          <c:val>
            <c:numRef>
              <c:f>Лист1!$D$2:$D$6</c:f>
              <c:numCache>
                <c:formatCode>General</c:formatCode>
                <c:ptCount val="5"/>
                <c:pt idx="0">
                  <c:v>99.9</c:v>
                </c:pt>
                <c:pt idx="1">
                  <c:v>105.8</c:v>
                </c:pt>
                <c:pt idx="2">
                  <c:v>104</c:v>
                </c:pt>
                <c:pt idx="3">
                  <c:v>102.9</c:v>
                </c:pt>
                <c:pt idx="4">
                  <c:v>93.4</c:v>
                </c:pt>
              </c:numCache>
            </c:numRef>
          </c:val>
        </c:ser>
        <c:ser>
          <c:idx val="3"/>
          <c:order val="3"/>
          <c:tx>
            <c:strRef>
              <c:f>Лист1!$E$1</c:f>
              <c:strCache>
                <c:ptCount val="1"/>
                <c:pt idx="0">
                  <c:v>Кыргызстан </c:v>
                </c:pt>
              </c:strCache>
            </c:strRef>
          </c:tx>
          <c:marker>
            <c:symbol val="none"/>
          </c:marker>
          <c:dLbls>
            <c:showVal val="1"/>
          </c:dLbls>
          <c:cat>
            <c:numRef>
              <c:f>Лист1!$A$2:$A$6</c:f>
              <c:numCache>
                <c:formatCode>General</c:formatCode>
                <c:ptCount val="5"/>
                <c:pt idx="0">
                  <c:v>2016</c:v>
                </c:pt>
                <c:pt idx="1">
                  <c:v>2017</c:v>
                </c:pt>
                <c:pt idx="2">
                  <c:v>2018</c:v>
                </c:pt>
                <c:pt idx="3">
                  <c:v>2019</c:v>
                </c:pt>
                <c:pt idx="4">
                  <c:v>2020</c:v>
                </c:pt>
              </c:numCache>
            </c:numRef>
          </c:cat>
          <c:val>
            <c:numRef>
              <c:f>Лист1!$E$2:$E$6</c:f>
              <c:numCache>
                <c:formatCode>General</c:formatCode>
                <c:ptCount val="5"/>
                <c:pt idx="0">
                  <c:v>105.1</c:v>
                </c:pt>
                <c:pt idx="1">
                  <c:v>102.3</c:v>
                </c:pt>
                <c:pt idx="2">
                  <c:v>103.4</c:v>
                </c:pt>
                <c:pt idx="3">
                  <c:v>103.7</c:v>
                </c:pt>
                <c:pt idx="4">
                  <c:v>72</c:v>
                </c:pt>
              </c:numCache>
            </c:numRef>
          </c:val>
        </c:ser>
        <c:ser>
          <c:idx val="4"/>
          <c:order val="4"/>
          <c:tx>
            <c:strRef>
              <c:f>Лист1!$F$1</c:f>
              <c:strCache>
                <c:ptCount val="1"/>
                <c:pt idx="0">
                  <c:v>Россия</c:v>
                </c:pt>
              </c:strCache>
            </c:strRef>
          </c:tx>
          <c:marker>
            <c:symbol val="none"/>
          </c:marker>
          <c:dLbls>
            <c:showVal val="1"/>
          </c:dLbls>
          <c:cat>
            <c:numRef>
              <c:f>Лист1!$A$2:$A$6</c:f>
              <c:numCache>
                <c:formatCode>General</c:formatCode>
                <c:ptCount val="5"/>
                <c:pt idx="0">
                  <c:v>2016</c:v>
                </c:pt>
                <c:pt idx="1">
                  <c:v>2017</c:v>
                </c:pt>
                <c:pt idx="2">
                  <c:v>2018</c:v>
                </c:pt>
                <c:pt idx="3">
                  <c:v>2019</c:v>
                </c:pt>
                <c:pt idx="4">
                  <c:v>2020</c:v>
                </c:pt>
              </c:numCache>
            </c:numRef>
          </c:cat>
          <c:val>
            <c:numRef>
              <c:f>Лист1!$F$2:$F$6</c:f>
              <c:numCache>
                <c:formatCode>General</c:formatCode>
                <c:ptCount val="5"/>
                <c:pt idx="0">
                  <c:v>100.7</c:v>
                </c:pt>
                <c:pt idx="1">
                  <c:v>101.5</c:v>
                </c:pt>
                <c:pt idx="2">
                  <c:v>102.4</c:v>
                </c:pt>
                <c:pt idx="3">
                  <c:v>103.4</c:v>
                </c:pt>
                <c:pt idx="4">
                  <c:v>94.5</c:v>
                </c:pt>
              </c:numCache>
            </c:numRef>
          </c:val>
        </c:ser>
        <c:marker val="1"/>
        <c:axId val="148425344"/>
        <c:axId val="151069440"/>
      </c:lineChart>
      <c:catAx>
        <c:axId val="148425344"/>
        <c:scaling>
          <c:orientation val="minMax"/>
        </c:scaling>
        <c:axPos val="b"/>
        <c:numFmt formatCode="General" sourceLinked="1"/>
        <c:majorTickMark val="none"/>
        <c:tickLblPos val="nextTo"/>
        <c:crossAx val="151069440"/>
        <c:crosses val="autoZero"/>
        <c:auto val="1"/>
        <c:lblAlgn val="ctr"/>
        <c:lblOffset val="100"/>
      </c:catAx>
      <c:valAx>
        <c:axId val="151069440"/>
        <c:scaling>
          <c:orientation val="minMax"/>
        </c:scaling>
        <c:axPos val="l"/>
        <c:majorGridlines/>
        <c:numFmt formatCode="General" sourceLinked="1"/>
        <c:majorTickMark val="none"/>
        <c:tickLblPos val="nextTo"/>
        <c:crossAx val="148425344"/>
        <c:crosses val="autoZero"/>
        <c:crossBetween val="between"/>
      </c:valAx>
    </c:plotArea>
    <c:legend>
      <c:legendPos val="r"/>
    </c:legend>
    <c:plotVisOnly val="1"/>
    <c:dispBlanksAs val="zero"/>
  </c:chart>
  <c:txPr>
    <a:bodyPr/>
    <a:lstStyle/>
    <a:p>
      <a:pPr>
        <a:defRPr sz="1050">
          <a:latin typeface="Times New Roman" panose="02020603050405020304" pitchFamily="18" charset="0"/>
          <a:cs typeface="Times New Roman" panose="02020603050405020304" pitchFamily="18" charset="0"/>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5A16067-265A-48C1-AF7A-5DBE0E63B2EC}" type="doc">
      <dgm:prSet loTypeId="urn:microsoft.com/office/officeart/2005/8/layout/list1" loCatId="list" qsTypeId="urn:microsoft.com/office/officeart/2005/8/quickstyle/simple2" qsCatId="simple" csTypeId="urn:microsoft.com/office/officeart/2005/8/colors/accent1_1" csCatId="accent1" phldr="1"/>
      <dgm:spPr/>
      <dgm:t>
        <a:bodyPr/>
        <a:lstStyle/>
        <a:p>
          <a:endParaRPr lang="ru-RU"/>
        </a:p>
      </dgm:t>
    </dgm:pt>
    <dgm:pt modelId="{BA2B3E54-31AF-471E-92DC-47987367DFE5}">
      <dgm:prSet phldrT="[Текст]" custT="1"/>
      <dgm:spPr/>
      <dgm:t>
        <a:bodyPr/>
        <a:lstStyle/>
        <a:p>
          <a:pPr algn="just"/>
          <a:r>
            <a:rPr lang="ru-RU" sz="1050">
              <a:latin typeface="Times New Roman" pitchFamily="18" charset="0"/>
              <a:cs typeface="Times New Roman" pitchFamily="18" charset="0"/>
            </a:rPr>
            <a:t>осуществление деятельности по перевозке грузов в течение не менее 2 лет на день обращения в таможенный орган; отсутствие обязанности по уплате таможенных платежей, специальных, антидемпинговых, компенсационных пошлин, пеней, процентов;</a:t>
          </a:r>
        </a:p>
      </dgm:t>
    </dgm:pt>
    <dgm:pt modelId="{608FF9EA-26F5-40DB-B0BF-CA701C8A53FC}" type="parTrans" cxnId="{D8A76F62-4DF2-4515-A537-0CDB1FF1AD8A}">
      <dgm:prSet/>
      <dgm:spPr/>
      <dgm:t>
        <a:bodyPr/>
        <a:lstStyle/>
        <a:p>
          <a:endParaRPr lang="ru-RU"/>
        </a:p>
      </dgm:t>
    </dgm:pt>
    <dgm:pt modelId="{0035A4D4-BADC-403A-B720-63E0232557D5}" type="sibTrans" cxnId="{D8A76F62-4DF2-4515-A537-0CDB1FF1AD8A}">
      <dgm:prSet/>
      <dgm:spPr/>
      <dgm:t>
        <a:bodyPr/>
        <a:lstStyle/>
        <a:p>
          <a:endParaRPr lang="ru-RU"/>
        </a:p>
      </dgm:t>
    </dgm:pt>
    <dgm:pt modelId="{3CF75647-664D-4C27-AA30-7EFD9A7B89F4}">
      <dgm:prSet phldrT="[Текст]" custT="1"/>
      <dgm:spPr/>
      <dgm:t>
        <a:bodyPr/>
        <a:lstStyle/>
        <a:p>
          <a:pPr algn="just"/>
          <a:r>
            <a:rPr lang="ru-RU" sz="1050">
              <a:latin typeface="Times New Roman" pitchFamily="18" charset="0"/>
              <a:cs typeface="Times New Roman" pitchFamily="18" charset="0"/>
            </a:rPr>
            <a:t>нахождение в собственности, хозяйственном ведении, оперативном управлении или аренде используемых для перевозки товаров транспортных средств</a:t>
          </a:r>
        </a:p>
      </dgm:t>
    </dgm:pt>
    <dgm:pt modelId="{8AC90BC6-80BF-4FD2-BE5E-7DB04C45D89D}" type="parTrans" cxnId="{5DC347AD-197F-49BF-BE5B-4058F4EC4841}">
      <dgm:prSet/>
      <dgm:spPr/>
      <dgm:t>
        <a:bodyPr/>
        <a:lstStyle/>
        <a:p>
          <a:endParaRPr lang="ru-RU"/>
        </a:p>
      </dgm:t>
    </dgm:pt>
    <dgm:pt modelId="{6A05DCF3-BE2A-4D54-A0F9-C271C0768097}" type="sibTrans" cxnId="{5DC347AD-197F-49BF-BE5B-4058F4EC4841}">
      <dgm:prSet/>
      <dgm:spPr/>
      <dgm:t>
        <a:bodyPr/>
        <a:lstStyle/>
        <a:p>
          <a:endParaRPr lang="ru-RU"/>
        </a:p>
      </dgm:t>
    </dgm:pt>
    <dgm:pt modelId="{28EBFDBE-AA0D-4183-B01E-D6561DF69D93}">
      <dgm:prSet phldrT="[Текст]" custT="1"/>
      <dgm:spPr/>
      <dgm:t>
        <a:bodyPr/>
        <a:lstStyle/>
        <a:p>
          <a:r>
            <a:rPr lang="ru-RU" sz="1050">
              <a:latin typeface="Times New Roman" pitchFamily="18" charset="0"/>
              <a:cs typeface="Times New Roman" pitchFamily="18" charset="0"/>
            </a:rPr>
            <a:t>обеспечение исполнения, в размере, эквивалентном 200 тысячам евро  </a:t>
          </a:r>
        </a:p>
      </dgm:t>
    </dgm:pt>
    <dgm:pt modelId="{929234C8-EC7A-4E2F-9032-5E7955B97FD3}" type="parTrans" cxnId="{D8D10D73-AE76-45AC-8CA0-CBCC679DAF1D}">
      <dgm:prSet/>
      <dgm:spPr/>
      <dgm:t>
        <a:bodyPr/>
        <a:lstStyle/>
        <a:p>
          <a:endParaRPr lang="ru-RU"/>
        </a:p>
      </dgm:t>
    </dgm:pt>
    <dgm:pt modelId="{0D6E6975-C1EE-4AC3-BA98-9981FDC10227}" type="sibTrans" cxnId="{D8D10D73-AE76-45AC-8CA0-CBCC679DAF1D}">
      <dgm:prSet/>
      <dgm:spPr/>
      <dgm:t>
        <a:bodyPr/>
        <a:lstStyle/>
        <a:p>
          <a:endParaRPr lang="ru-RU"/>
        </a:p>
      </dgm:t>
    </dgm:pt>
    <dgm:pt modelId="{E0593886-49D5-4754-A06F-6249897357BF}">
      <dgm:prSet phldrT="[Текст]" custT="1"/>
      <dgm:spPr/>
      <dgm:t>
        <a:bodyPr/>
        <a:lstStyle/>
        <a:p>
          <a:pPr algn="just"/>
          <a:r>
            <a:rPr lang="ru-RU" sz="1050">
              <a:solidFill>
                <a:sysClr val="windowText" lastClr="000000"/>
              </a:solidFill>
              <a:latin typeface="Times New Roman" pitchFamily="18" charset="0"/>
              <a:cs typeface="Times New Roman" pitchFamily="18" charset="0"/>
            </a:rPr>
            <a:t>наличие разрешительного документа государств-членов на осуществление деятельности по перевозке грузов</a:t>
          </a:r>
        </a:p>
      </dgm:t>
    </dgm:pt>
    <dgm:pt modelId="{98F73109-AED1-42DF-90C4-7EC705821255}" type="parTrans" cxnId="{C8D420EA-EE2D-43BB-98BE-304EA786BCA3}">
      <dgm:prSet/>
      <dgm:spPr/>
      <dgm:t>
        <a:bodyPr/>
        <a:lstStyle/>
        <a:p>
          <a:endParaRPr lang="ru-RU"/>
        </a:p>
      </dgm:t>
    </dgm:pt>
    <dgm:pt modelId="{3A676C33-6070-4E05-8BC4-07A54FA94521}" type="sibTrans" cxnId="{C8D420EA-EE2D-43BB-98BE-304EA786BCA3}">
      <dgm:prSet/>
      <dgm:spPr/>
      <dgm:t>
        <a:bodyPr/>
        <a:lstStyle/>
        <a:p>
          <a:endParaRPr lang="ru-RU"/>
        </a:p>
      </dgm:t>
    </dgm:pt>
    <dgm:pt modelId="{FA28B80A-99FA-489B-ABE0-87BDA4C1AFEC}" type="pres">
      <dgm:prSet presAssocID="{95A16067-265A-48C1-AF7A-5DBE0E63B2EC}" presName="linear" presStyleCnt="0">
        <dgm:presLayoutVars>
          <dgm:dir/>
          <dgm:animLvl val="lvl"/>
          <dgm:resizeHandles val="exact"/>
        </dgm:presLayoutVars>
      </dgm:prSet>
      <dgm:spPr/>
      <dgm:t>
        <a:bodyPr/>
        <a:lstStyle/>
        <a:p>
          <a:endParaRPr lang="ru-RU"/>
        </a:p>
      </dgm:t>
    </dgm:pt>
    <dgm:pt modelId="{6A2B604D-3C91-46AE-A995-702EA7A22EC6}" type="pres">
      <dgm:prSet presAssocID="{BA2B3E54-31AF-471E-92DC-47987367DFE5}" presName="parentLin" presStyleCnt="0"/>
      <dgm:spPr/>
    </dgm:pt>
    <dgm:pt modelId="{E72743BE-22AE-47BF-9D26-E0303D4B93AE}" type="pres">
      <dgm:prSet presAssocID="{BA2B3E54-31AF-471E-92DC-47987367DFE5}" presName="parentLeftMargin" presStyleLbl="node1" presStyleIdx="0" presStyleCnt="4"/>
      <dgm:spPr/>
      <dgm:t>
        <a:bodyPr/>
        <a:lstStyle/>
        <a:p>
          <a:endParaRPr lang="ru-RU"/>
        </a:p>
      </dgm:t>
    </dgm:pt>
    <dgm:pt modelId="{76CBF81F-9B3E-4607-AE17-161B192A7BC6}" type="pres">
      <dgm:prSet presAssocID="{BA2B3E54-31AF-471E-92DC-47987367DFE5}" presName="parentText" presStyleLbl="node1" presStyleIdx="0" presStyleCnt="4" custScaleX="142857" custScaleY="143496">
        <dgm:presLayoutVars>
          <dgm:chMax val="0"/>
          <dgm:bulletEnabled val="1"/>
        </dgm:presLayoutVars>
      </dgm:prSet>
      <dgm:spPr/>
      <dgm:t>
        <a:bodyPr/>
        <a:lstStyle/>
        <a:p>
          <a:endParaRPr lang="ru-RU"/>
        </a:p>
      </dgm:t>
    </dgm:pt>
    <dgm:pt modelId="{0E7EF69D-0109-4ABF-9F72-E33E7392345C}" type="pres">
      <dgm:prSet presAssocID="{BA2B3E54-31AF-471E-92DC-47987367DFE5}" presName="negativeSpace" presStyleCnt="0"/>
      <dgm:spPr/>
    </dgm:pt>
    <dgm:pt modelId="{719BA979-BC93-48FD-9C6A-06C3FDC6BCA1}" type="pres">
      <dgm:prSet presAssocID="{BA2B3E54-31AF-471E-92DC-47987367DFE5}" presName="childText" presStyleLbl="conFgAcc1" presStyleIdx="0" presStyleCnt="4" custLinFactNeighborY="-53301">
        <dgm:presLayoutVars>
          <dgm:bulletEnabled val="1"/>
        </dgm:presLayoutVars>
      </dgm:prSet>
      <dgm:spPr/>
    </dgm:pt>
    <dgm:pt modelId="{B7560FC2-B9B4-4CAE-9E8A-DA175C086AE1}" type="pres">
      <dgm:prSet presAssocID="{0035A4D4-BADC-403A-B720-63E0232557D5}" presName="spaceBetweenRectangles" presStyleCnt="0"/>
      <dgm:spPr/>
    </dgm:pt>
    <dgm:pt modelId="{A58E6AC4-B6B3-4677-946B-CB5F62284ED8}" type="pres">
      <dgm:prSet presAssocID="{E0593886-49D5-4754-A06F-6249897357BF}" presName="parentLin" presStyleCnt="0"/>
      <dgm:spPr/>
    </dgm:pt>
    <dgm:pt modelId="{6C3CAA72-3C5C-4128-B880-BC15582875B5}" type="pres">
      <dgm:prSet presAssocID="{E0593886-49D5-4754-A06F-6249897357BF}" presName="parentLeftMargin" presStyleLbl="node1" presStyleIdx="0" presStyleCnt="4"/>
      <dgm:spPr/>
      <dgm:t>
        <a:bodyPr/>
        <a:lstStyle/>
        <a:p>
          <a:endParaRPr lang="ru-RU"/>
        </a:p>
      </dgm:t>
    </dgm:pt>
    <dgm:pt modelId="{F536C948-D197-4737-89EB-28A66FB39261}" type="pres">
      <dgm:prSet presAssocID="{E0593886-49D5-4754-A06F-6249897357BF}" presName="parentText" presStyleLbl="node1" presStyleIdx="1" presStyleCnt="4" custScaleX="142857" custScaleY="85192" custLinFactNeighborX="515" custLinFactNeighborY="-12675">
        <dgm:presLayoutVars>
          <dgm:chMax val="0"/>
          <dgm:bulletEnabled val="1"/>
        </dgm:presLayoutVars>
      </dgm:prSet>
      <dgm:spPr/>
      <dgm:t>
        <a:bodyPr/>
        <a:lstStyle/>
        <a:p>
          <a:endParaRPr lang="ru-RU"/>
        </a:p>
      </dgm:t>
    </dgm:pt>
    <dgm:pt modelId="{020D6CFA-876F-47B8-AC07-7FE8871318CB}" type="pres">
      <dgm:prSet presAssocID="{E0593886-49D5-4754-A06F-6249897357BF}" presName="negativeSpace" presStyleCnt="0"/>
      <dgm:spPr/>
    </dgm:pt>
    <dgm:pt modelId="{0C853D46-2230-48EB-B7F1-706E30C90D47}" type="pres">
      <dgm:prSet presAssocID="{E0593886-49D5-4754-A06F-6249897357BF}" presName="childText" presStyleLbl="conFgAcc1" presStyleIdx="1" presStyleCnt="4" custLinFactY="-7546" custLinFactNeighborY="-100000">
        <dgm:presLayoutVars>
          <dgm:bulletEnabled val="1"/>
        </dgm:presLayoutVars>
      </dgm:prSet>
      <dgm:spPr/>
    </dgm:pt>
    <dgm:pt modelId="{7B64D649-EE63-41D9-A00F-CAA4EC536866}" type="pres">
      <dgm:prSet presAssocID="{3A676C33-6070-4E05-8BC4-07A54FA94521}" presName="spaceBetweenRectangles" presStyleCnt="0"/>
      <dgm:spPr/>
    </dgm:pt>
    <dgm:pt modelId="{696E4F67-A011-46FA-992E-08197EDCD36A}" type="pres">
      <dgm:prSet presAssocID="{3CF75647-664D-4C27-AA30-7EFD9A7B89F4}" presName="parentLin" presStyleCnt="0"/>
      <dgm:spPr/>
    </dgm:pt>
    <dgm:pt modelId="{58191586-5A30-474E-9879-7D5E68010751}" type="pres">
      <dgm:prSet presAssocID="{3CF75647-664D-4C27-AA30-7EFD9A7B89F4}" presName="parentLeftMargin" presStyleLbl="node1" presStyleIdx="1" presStyleCnt="4"/>
      <dgm:spPr/>
      <dgm:t>
        <a:bodyPr/>
        <a:lstStyle/>
        <a:p>
          <a:endParaRPr lang="ru-RU"/>
        </a:p>
      </dgm:t>
    </dgm:pt>
    <dgm:pt modelId="{9C8A8CE4-85EE-4CAB-9884-BD1C18ABA3E2}" type="pres">
      <dgm:prSet presAssocID="{3CF75647-664D-4C27-AA30-7EFD9A7B89F4}" presName="parentText" presStyleLbl="node1" presStyleIdx="2" presStyleCnt="4" custScaleX="142857" custScaleY="92493" custLinFactNeighborX="3323" custLinFactNeighborY="-16460">
        <dgm:presLayoutVars>
          <dgm:chMax val="0"/>
          <dgm:bulletEnabled val="1"/>
        </dgm:presLayoutVars>
      </dgm:prSet>
      <dgm:spPr/>
      <dgm:t>
        <a:bodyPr/>
        <a:lstStyle/>
        <a:p>
          <a:endParaRPr lang="ru-RU"/>
        </a:p>
      </dgm:t>
    </dgm:pt>
    <dgm:pt modelId="{6F6D3EE1-4938-4B80-9E9F-B11E138A1EAE}" type="pres">
      <dgm:prSet presAssocID="{3CF75647-664D-4C27-AA30-7EFD9A7B89F4}" presName="negativeSpace" presStyleCnt="0"/>
      <dgm:spPr/>
    </dgm:pt>
    <dgm:pt modelId="{60D58C1C-E0F9-468D-AECB-2D4B9F531849}" type="pres">
      <dgm:prSet presAssocID="{3CF75647-664D-4C27-AA30-7EFD9A7B89F4}" presName="childText" presStyleLbl="conFgAcc1" presStyleIdx="2" presStyleCnt="4" custLinFactY="-4865" custLinFactNeighborY="-100000">
        <dgm:presLayoutVars>
          <dgm:bulletEnabled val="1"/>
        </dgm:presLayoutVars>
      </dgm:prSet>
      <dgm:spPr/>
    </dgm:pt>
    <dgm:pt modelId="{74A5A639-B2B3-40D6-B509-20970E32A9AF}" type="pres">
      <dgm:prSet presAssocID="{6A05DCF3-BE2A-4D54-A0F9-C271C0768097}" presName="spaceBetweenRectangles" presStyleCnt="0"/>
      <dgm:spPr/>
    </dgm:pt>
    <dgm:pt modelId="{A76240EF-BDE0-47EE-AA16-B7B1F51E07B3}" type="pres">
      <dgm:prSet presAssocID="{28EBFDBE-AA0D-4183-B01E-D6561DF69D93}" presName="parentLin" presStyleCnt="0"/>
      <dgm:spPr/>
    </dgm:pt>
    <dgm:pt modelId="{A7C812DB-B4E7-4C3D-BE47-EC7B42D0A6AA}" type="pres">
      <dgm:prSet presAssocID="{28EBFDBE-AA0D-4183-B01E-D6561DF69D93}" presName="parentLeftMargin" presStyleLbl="node1" presStyleIdx="2" presStyleCnt="4"/>
      <dgm:spPr/>
      <dgm:t>
        <a:bodyPr/>
        <a:lstStyle/>
        <a:p>
          <a:endParaRPr lang="ru-RU"/>
        </a:p>
      </dgm:t>
    </dgm:pt>
    <dgm:pt modelId="{E9265273-9A47-45A6-8716-614C4B957525}" type="pres">
      <dgm:prSet presAssocID="{28EBFDBE-AA0D-4183-B01E-D6561DF69D93}" presName="parentText" presStyleLbl="node1" presStyleIdx="3" presStyleCnt="4" custScaleX="157296" custScaleY="55397" custLinFactNeighborX="4647" custLinFactNeighborY="-14964">
        <dgm:presLayoutVars>
          <dgm:chMax val="0"/>
          <dgm:bulletEnabled val="1"/>
        </dgm:presLayoutVars>
      </dgm:prSet>
      <dgm:spPr/>
      <dgm:t>
        <a:bodyPr/>
        <a:lstStyle/>
        <a:p>
          <a:endParaRPr lang="ru-RU"/>
        </a:p>
      </dgm:t>
    </dgm:pt>
    <dgm:pt modelId="{32370CC6-48C4-4AE8-9BDA-274A45ED3B0B}" type="pres">
      <dgm:prSet presAssocID="{28EBFDBE-AA0D-4183-B01E-D6561DF69D93}" presName="negativeSpace" presStyleCnt="0"/>
      <dgm:spPr/>
    </dgm:pt>
    <dgm:pt modelId="{B1FE2A99-9AC2-4D73-BF42-F9940670448B}" type="pres">
      <dgm:prSet presAssocID="{28EBFDBE-AA0D-4183-B01E-D6561DF69D93}" presName="childText" presStyleLbl="conFgAcc1" presStyleIdx="3" presStyleCnt="4" custLinFactNeighborY="-41900">
        <dgm:presLayoutVars>
          <dgm:bulletEnabled val="1"/>
        </dgm:presLayoutVars>
      </dgm:prSet>
      <dgm:spPr/>
    </dgm:pt>
  </dgm:ptLst>
  <dgm:cxnLst>
    <dgm:cxn modelId="{D8D10D73-AE76-45AC-8CA0-CBCC679DAF1D}" srcId="{95A16067-265A-48C1-AF7A-5DBE0E63B2EC}" destId="{28EBFDBE-AA0D-4183-B01E-D6561DF69D93}" srcOrd="3" destOrd="0" parTransId="{929234C8-EC7A-4E2F-9032-5E7955B97FD3}" sibTransId="{0D6E6975-C1EE-4AC3-BA98-9981FDC10227}"/>
    <dgm:cxn modelId="{D8A76F62-4DF2-4515-A537-0CDB1FF1AD8A}" srcId="{95A16067-265A-48C1-AF7A-5DBE0E63B2EC}" destId="{BA2B3E54-31AF-471E-92DC-47987367DFE5}" srcOrd="0" destOrd="0" parTransId="{608FF9EA-26F5-40DB-B0BF-CA701C8A53FC}" sibTransId="{0035A4D4-BADC-403A-B720-63E0232557D5}"/>
    <dgm:cxn modelId="{3A80C985-928C-4EEC-8CBE-050B0BC3929A}" type="presOf" srcId="{28EBFDBE-AA0D-4183-B01E-D6561DF69D93}" destId="{A7C812DB-B4E7-4C3D-BE47-EC7B42D0A6AA}" srcOrd="0" destOrd="0" presId="urn:microsoft.com/office/officeart/2005/8/layout/list1"/>
    <dgm:cxn modelId="{F5C23B02-8721-44D0-9DD0-09CFB0B905F8}" type="presOf" srcId="{E0593886-49D5-4754-A06F-6249897357BF}" destId="{6C3CAA72-3C5C-4128-B880-BC15582875B5}" srcOrd="0" destOrd="0" presId="urn:microsoft.com/office/officeart/2005/8/layout/list1"/>
    <dgm:cxn modelId="{6C7C9AD1-5B2D-4F57-897A-A1532768B968}" type="presOf" srcId="{BA2B3E54-31AF-471E-92DC-47987367DFE5}" destId="{76CBF81F-9B3E-4607-AE17-161B192A7BC6}" srcOrd="1" destOrd="0" presId="urn:microsoft.com/office/officeart/2005/8/layout/list1"/>
    <dgm:cxn modelId="{4AA9BB1E-E360-4F8C-A9D7-1A1B1851222B}" type="presOf" srcId="{3CF75647-664D-4C27-AA30-7EFD9A7B89F4}" destId="{9C8A8CE4-85EE-4CAB-9884-BD1C18ABA3E2}" srcOrd="1" destOrd="0" presId="urn:microsoft.com/office/officeart/2005/8/layout/list1"/>
    <dgm:cxn modelId="{54D9FB59-CAAE-4529-8096-2B7F0F009335}" type="presOf" srcId="{3CF75647-664D-4C27-AA30-7EFD9A7B89F4}" destId="{58191586-5A30-474E-9879-7D5E68010751}" srcOrd="0" destOrd="0" presId="urn:microsoft.com/office/officeart/2005/8/layout/list1"/>
    <dgm:cxn modelId="{5DC347AD-197F-49BF-BE5B-4058F4EC4841}" srcId="{95A16067-265A-48C1-AF7A-5DBE0E63B2EC}" destId="{3CF75647-664D-4C27-AA30-7EFD9A7B89F4}" srcOrd="2" destOrd="0" parTransId="{8AC90BC6-80BF-4FD2-BE5E-7DB04C45D89D}" sibTransId="{6A05DCF3-BE2A-4D54-A0F9-C271C0768097}"/>
    <dgm:cxn modelId="{C8D420EA-EE2D-43BB-98BE-304EA786BCA3}" srcId="{95A16067-265A-48C1-AF7A-5DBE0E63B2EC}" destId="{E0593886-49D5-4754-A06F-6249897357BF}" srcOrd="1" destOrd="0" parTransId="{98F73109-AED1-42DF-90C4-7EC705821255}" sibTransId="{3A676C33-6070-4E05-8BC4-07A54FA94521}"/>
    <dgm:cxn modelId="{AC96D7AE-BEA0-4507-A362-7DB0C75C6F13}" type="presOf" srcId="{BA2B3E54-31AF-471E-92DC-47987367DFE5}" destId="{E72743BE-22AE-47BF-9D26-E0303D4B93AE}" srcOrd="0" destOrd="0" presId="urn:microsoft.com/office/officeart/2005/8/layout/list1"/>
    <dgm:cxn modelId="{15DA92DA-3140-43FB-9B10-A80E35976228}" type="presOf" srcId="{E0593886-49D5-4754-A06F-6249897357BF}" destId="{F536C948-D197-4737-89EB-28A66FB39261}" srcOrd="1" destOrd="0" presId="urn:microsoft.com/office/officeart/2005/8/layout/list1"/>
    <dgm:cxn modelId="{F32C006F-1B07-4CFB-8D1D-85C8E74FCBCC}" type="presOf" srcId="{95A16067-265A-48C1-AF7A-5DBE0E63B2EC}" destId="{FA28B80A-99FA-489B-ABE0-87BDA4C1AFEC}" srcOrd="0" destOrd="0" presId="urn:microsoft.com/office/officeart/2005/8/layout/list1"/>
    <dgm:cxn modelId="{E5C448A4-9A94-4B5C-AEFA-BD211048950E}" type="presOf" srcId="{28EBFDBE-AA0D-4183-B01E-D6561DF69D93}" destId="{E9265273-9A47-45A6-8716-614C4B957525}" srcOrd="1" destOrd="0" presId="urn:microsoft.com/office/officeart/2005/8/layout/list1"/>
    <dgm:cxn modelId="{1B49BB6E-35C7-4125-BE18-A28C98F3BC2C}" type="presParOf" srcId="{FA28B80A-99FA-489B-ABE0-87BDA4C1AFEC}" destId="{6A2B604D-3C91-46AE-A995-702EA7A22EC6}" srcOrd="0" destOrd="0" presId="urn:microsoft.com/office/officeart/2005/8/layout/list1"/>
    <dgm:cxn modelId="{914EF307-A166-4374-9554-36B12506D8D2}" type="presParOf" srcId="{6A2B604D-3C91-46AE-A995-702EA7A22EC6}" destId="{E72743BE-22AE-47BF-9D26-E0303D4B93AE}" srcOrd="0" destOrd="0" presId="urn:microsoft.com/office/officeart/2005/8/layout/list1"/>
    <dgm:cxn modelId="{9F39C359-70BD-4C7C-8981-1210AB539197}" type="presParOf" srcId="{6A2B604D-3C91-46AE-A995-702EA7A22EC6}" destId="{76CBF81F-9B3E-4607-AE17-161B192A7BC6}" srcOrd="1" destOrd="0" presId="urn:microsoft.com/office/officeart/2005/8/layout/list1"/>
    <dgm:cxn modelId="{9A0A5B41-7891-4553-A6BF-DEDB2FBDD7DA}" type="presParOf" srcId="{FA28B80A-99FA-489B-ABE0-87BDA4C1AFEC}" destId="{0E7EF69D-0109-4ABF-9F72-E33E7392345C}" srcOrd="1" destOrd="0" presId="urn:microsoft.com/office/officeart/2005/8/layout/list1"/>
    <dgm:cxn modelId="{697969C1-2D77-4993-A2B0-C61EDA4F8188}" type="presParOf" srcId="{FA28B80A-99FA-489B-ABE0-87BDA4C1AFEC}" destId="{719BA979-BC93-48FD-9C6A-06C3FDC6BCA1}" srcOrd="2" destOrd="0" presId="urn:microsoft.com/office/officeart/2005/8/layout/list1"/>
    <dgm:cxn modelId="{75F20AED-259C-4CA5-883C-189F9C96FC94}" type="presParOf" srcId="{FA28B80A-99FA-489B-ABE0-87BDA4C1AFEC}" destId="{B7560FC2-B9B4-4CAE-9E8A-DA175C086AE1}" srcOrd="3" destOrd="0" presId="urn:microsoft.com/office/officeart/2005/8/layout/list1"/>
    <dgm:cxn modelId="{1ECB26E8-2B3C-442B-883F-42FA9D5AFF4C}" type="presParOf" srcId="{FA28B80A-99FA-489B-ABE0-87BDA4C1AFEC}" destId="{A58E6AC4-B6B3-4677-946B-CB5F62284ED8}" srcOrd="4" destOrd="0" presId="urn:microsoft.com/office/officeart/2005/8/layout/list1"/>
    <dgm:cxn modelId="{26109CB6-1AD3-413A-B5C5-D82F25E975A2}" type="presParOf" srcId="{A58E6AC4-B6B3-4677-946B-CB5F62284ED8}" destId="{6C3CAA72-3C5C-4128-B880-BC15582875B5}" srcOrd="0" destOrd="0" presId="urn:microsoft.com/office/officeart/2005/8/layout/list1"/>
    <dgm:cxn modelId="{EC83F610-C3EE-4639-93A6-FCEADDE78CF2}" type="presParOf" srcId="{A58E6AC4-B6B3-4677-946B-CB5F62284ED8}" destId="{F536C948-D197-4737-89EB-28A66FB39261}" srcOrd="1" destOrd="0" presId="urn:microsoft.com/office/officeart/2005/8/layout/list1"/>
    <dgm:cxn modelId="{2272613A-78C3-41EC-8762-D9460E56E605}" type="presParOf" srcId="{FA28B80A-99FA-489B-ABE0-87BDA4C1AFEC}" destId="{020D6CFA-876F-47B8-AC07-7FE8871318CB}" srcOrd="5" destOrd="0" presId="urn:microsoft.com/office/officeart/2005/8/layout/list1"/>
    <dgm:cxn modelId="{8EDAD2B8-E6AA-4E27-8B6B-322746D7630D}" type="presParOf" srcId="{FA28B80A-99FA-489B-ABE0-87BDA4C1AFEC}" destId="{0C853D46-2230-48EB-B7F1-706E30C90D47}" srcOrd="6" destOrd="0" presId="urn:microsoft.com/office/officeart/2005/8/layout/list1"/>
    <dgm:cxn modelId="{EDF3494B-DB1F-48F8-9C43-C5EB866B1336}" type="presParOf" srcId="{FA28B80A-99FA-489B-ABE0-87BDA4C1AFEC}" destId="{7B64D649-EE63-41D9-A00F-CAA4EC536866}" srcOrd="7" destOrd="0" presId="urn:microsoft.com/office/officeart/2005/8/layout/list1"/>
    <dgm:cxn modelId="{B6A6A60B-AD20-4685-90F5-96C350F08648}" type="presParOf" srcId="{FA28B80A-99FA-489B-ABE0-87BDA4C1AFEC}" destId="{696E4F67-A011-46FA-992E-08197EDCD36A}" srcOrd="8" destOrd="0" presId="urn:microsoft.com/office/officeart/2005/8/layout/list1"/>
    <dgm:cxn modelId="{C8D077BB-9216-4EA8-B8C5-D999A1350CAA}" type="presParOf" srcId="{696E4F67-A011-46FA-992E-08197EDCD36A}" destId="{58191586-5A30-474E-9879-7D5E68010751}" srcOrd="0" destOrd="0" presId="urn:microsoft.com/office/officeart/2005/8/layout/list1"/>
    <dgm:cxn modelId="{855E409A-882F-47F6-B760-F3F73BE1F182}" type="presParOf" srcId="{696E4F67-A011-46FA-992E-08197EDCD36A}" destId="{9C8A8CE4-85EE-4CAB-9884-BD1C18ABA3E2}" srcOrd="1" destOrd="0" presId="urn:microsoft.com/office/officeart/2005/8/layout/list1"/>
    <dgm:cxn modelId="{1929BC8E-002D-4F42-9746-2F229210A6C6}" type="presParOf" srcId="{FA28B80A-99FA-489B-ABE0-87BDA4C1AFEC}" destId="{6F6D3EE1-4938-4B80-9E9F-B11E138A1EAE}" srcOrd="9" destOrd="0" presId="urn:microsoft.com/office/officeart/2005/8/layout/list1"/>
    <dgm:cxn modelId="{80661CF8-2FA9-49C2-AD1D-C8551C3112F2}" type="presParOf" srcId="{FA28B80A-99FA-489B-ABE0-87BDA4C1AFEC}" destId="{60D58C1C-E0F9-468D-AECB-2D4B9F531849}" srcOrd="10" destOrd="0" presId="urn:microsoft.com/office/officeart/2005/8/layout/list1"/>
    <dgm:cxn modelId="{161E6790-40E8-4B12-97E5-C373F6361A9A}" type="presParOf" srcId="{FA28B80A-99FA-489B-ABE0-87BDA4C1AFEC}" destId="{74A5A639-B2B3-40D6-B509-20970E32A9AF}" srcOrd="11" destOrd="0" presId="urn:microsoft.com/office/officeart/2005/8/layout/list1"/>
    <dgm:cxn modelId="{54F2B0DA-87DE-4A06-AF5D-37380449FA45}" type="presParOf" srcId="{FA28B80A-99FA-489B-ABE0-87BDA4C1AFEC}" destId="{A76240EF-BDE0-47EE-AA16-B7B1F51E07B3}" srcOrd="12" destOrd="0" presId="urn:microsoft.com/office/officeart/2005/8/layout/list1"/>
    <dgm:cxn modelId="{A2F329CA-3B44-4798-81BC-8C651D183352}" type="presParOf" srcId="{A76240EF-BDE0-47EE-AA16-B7B1F51E07B3}" destId="{A7C812DB-B4E7-4C3D-BE47-EC7B42D0A6AA}" srcOrd="0" destOrd="0" presId="urn:microsoft.com/office/officeart/2005/8/layout/list1"/>
    <dgm:cxn modelId="{D3FD3271-B019-4667-B777-39F994C485A8}" type="presParOf" srcId="{A76240EF-BDE0-47EE-AA16-B7B1F51E07B3}" destId="{E9265273-9A47-45A6-8716-614C4B957525}" srcOrd="1" destOrd="0" presId="urn:microsoft.com/office/officeart/2005/8/layout/list1"/>
    <dgm:cxn modelId="{B243ECA7-4770-4420-A122-F273AF60AB90}" type="presParOf" srcId="{FA28B80A-99FA-489B-ABE0-87BDA4C1AFEC}" destId="{32370CC6-48C4-4AE8-9BDA-274A45ED3B0B}" srcOrd="13" destOrd="0" presId="urn:microsoft.com/office/officeart/2005/8/layout/list1"/>
    <dgm:cxn modelId="{6802F42A-3038-4AB8-B0CE-0A3FB7AFF185}" type="presParOf" srcId="{FA28B80A-99FA-489B-ABE0-87BDA4C1AFEC}" destId="{B1FE2A99-9AC2-4D73-BF42-F9940670448B}" srcOrd="14" destOrd="0" presId="urn:microsoft.com/office/officeart/2005/8/layout/list1"/>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C479A60-76B4-4576-A20B-236A4F3127EA}" type="doc">
      <dgm:prSet loTypeId="urn:microsoft.com/office/officeart/2005/8/layout/chevron2" loCatId="list" qsTypeId="urn:microsoft.com/office/officeart/2005/8/quickstyle/simple3" qsCatId="simple" csTypeId="urn:microsoft.com/office/officeart/2005/8/colors/accent1_2" csCatId="accent1" phldr="1"/>
      <dgm:spPr/>
      <dgm:t>
        <a:bodyPr/>
        <a:lstStyle/>
        <a:p>
          <a:endParaRPr lang="ru-RU"/>
        </a:p>
      </dgm:t>
    </dgm:pt>
    <dgm:pt modelId="{F5EF8C82-EBEA-46BC-93E9-92C91294A43E}">
      <dgm:prSet phldrT="[Текст]" custT="1"/>
      <dgm:spPr/>
      <dgm:t>
        <a:bodyPr/>
        <a:lstStyle/>
        <a:p>
          <a:pPr algn="ctr"/>
          <a:r>
            <a:rPr lang="ru-RU" sz="1050"/>
            <a:t>1</a:t>
          </a:r>
        </a:p>
      </dgm:t>
    </dgm:pt>
    <dgm:pt modelId="{5CE93B31-FAD4-418C-97F2-EE286DE59B3A}" type="parTrans" cxnId="{5040D79F-47B0-41D5-83D9-CAE42E8C2373}">
      <dgm:prSet/>
      <dgm:spPr/>
      <dgm:t>
        <a:bodyPr/>
        <a:lstStyle/>
        <a:p>
          <a:pPr algn="ctr"/>
          <a:endParaRPr lang="ru-RU"/>
        </a:p>
      </dgm:t>
    </dgm:pt>
    <dgm:pt modelId="{20DE3776-C4D8-45F2-900D-4ECE05C9F860}" type="sibTrans" cxnId="{5040D79F-47B0-41D5-83D9-CAE42E8C2373}">
      <dgm:prSet/>
      <dgm:spPr/>
      <dgm:t>
        <a:bodyPr/>
        <a:lstStyle/>
        <a:p>
          <a:pPr algn="ctr"/>
          <a:endParaRPr lang="ru-RU"/>
        </a:p>
      </dgm:t>
    </dgm:pt>
    <dgm:pt modelId="{D67F65B8-FCF4-4949-9254-3B87CAD8F9D2}">
      <dgm:prSet phldrT="[Текст]" custT="1"/>
      <dgm:spPr/>
      <dgm:t>
        <a:bodyPr/>
        <a:lstStyle/>
        <a:p>
          <a:pPr algn="ctr"/>
          <a:r>
            <a:rPr lang="ru-RU" sz="1050" b="0" i="0">
              <a:latin typeface="Times New Roman" pitchFamily="18" charset="0"/>
              <a:cs typeface="Times New Roman" pitchFamily="18" charset="0"/>
            </a:rPr>
            <a:t>неисполнение таможенным перевозчиком обязанностей</a:t>
          </a:r>
          <a:endParaRPr lang="ru-RU" sz="1050">
            <a:latin typeface="Times New Roman" pitchFamily="18" charset="0"/>
            <a:cs typeface="Times New Roman" pitchFamily="18" charset="0"/>
          </a:endParaRPr>
        </a:p>
      </dgm:t>
    </dgm:pt>
    <dgm:pt modelId="{176AA24A-4672-4329-BD8D-50830B0EFEB3}" type="parTrans" cxnId="{6BBBD3C5-3DD3-433B-BA46-68BB9B415D68}">
      <dgm:prSet/>
      <dgm:spPr/>
      <dgm:t>
        <a:bodyPr/>
        <a:lstStyle/>
        <a:p>
          <a:pPr algn="ctr"/>
          <a:endParaRPr lang="ru-RU"/>
        </a:p>
      </dgm:t>
    </dgm:pt>
    <dgm:pt modelId="{7D979134-DC75-42FB-9376-E2B829D452C2}" type="sibTrans" cxnId="{6BBBD3C5-3DD3-433B-BA46-68BB9B415D68}">
      <dgm:prSet/>
      <dgm:spPr/>
      <dgm:t>
        <a:bodyPr/>
        <a:lstStyle/>
        <a:p>
          <a:pPr algn="ctr"/>
          <a:endParaRPr lang="ru-RU"/>
        </a:p>
      </dgm:t>
    </dgm:pt>
    <dgm:pt modelId="{55FB7D9C-E33A-491D-855A-4F1FF9D9ADC7}">
      <dgm:prSet phldrT="[Текст]" custT="1"/>
      <dgm:spPr/>
      <dgm:t>
        <a:bodyPr/>
        <a:lstStyle/>
        <a:p>
          <a:pPr algn="ctr"/>
          <a:r>
            <a:rPr lang="ru-RU" sz="1050">
              <a:latin typeface="Times New Roman" panose="02020603050405020304" pitchFamily="18" charset="0"/>
              <a:cs typeface="Times New Roman" panose="02020603050405020304" pitchFamily="18" charset="0"/>
            </a:rPr>
            <a:t>2</a:t>
          </a:r>
        </a:p>
      </dgm:t>
    </dgm:pt>
    <dgm:pt modelId="{DE78317F-1D4C-4F07-BD5C-EE2B69C643AC}" type="parTrans" cxnId="{6F849CB1-3EA8-47BD-9B4D-E41C1E78EC63}">
      <dgm:prSet/>
      <dgm:spPr/>
      <dgm:t>
        <a:bodyPr/>
        <a:lstStyle/>
        <a:p>
          <a:pPr algn="ctr"/>
          <a:endParaRPr lang="ru-RU"/>
        </a:p>
      </dgm:t>
    </dgm:pt>
    <dgm:pt modelId="{72AE2BBC-AA2D-4A63-89A8-EB8B5D9FADE6}" type="sibTrans" cxnId="{6F849CB1-3EA8-47BD-9B4D-E41C1E78EC63}">
      <dgm:prSet/>
      <dgm:spPr/>
      <dgm:t>
        <a:bodyPr/>
        <a:lstStyle/>
        <a:p>
          <a:pPr algn="ctr"/>
          <a:endParaRPr lang="ru-RU"/>
        </a:p>
      </dgm:t>
    </dgm:pt>
    <dgm:pt modelId="{309F40C3-B08F-479F-801C-8A06112679DC}">
      <dgm:prSet phldrT="[Текст]" custT="1"/>
      <dgm:spPr/>
      <dgm:t>
        <a:bodyPr/>
        <a:lstStyle/>
        <a:p>
          <a:pPr algn="ctr">
            <a:spcAft>
              <a:spcPts val="0"/>
            </a:spcAft>
          </a:pPr>
          <a:r>
            <a:rPr lang="ru-RU" sz="1050" b="0" i="0">
              <a:latin typeface="Times New Roman" pitchFamily="18" charset="0"/>
              <a:cs typeface="Times New Roman" pitchFamily="18" charset="0"/>
            </a:rPr>
            <a:t>его заявление об исключении из реестра таможенных перевозчиков</a:t>
          </a:r>
          <a:endParaRPr lang="ru-RU" sz="1050">
            <a:latin typeface="Times New Roman" pitchFamily="18" charset="0"/>
            <a:cs typeface="Times New Roman" pitchFamily="18" charset="0"/>
          </a:endParaRPr>
        </a:p>
      </dgm:t>
    </dgm:pt>
    <dgm:pt modelId="{146B7013-85CA-4C55-BB55-23CE4B659116}" type="parTrans" cxnId="{51DCE25C-D355-41E3-A0C2-0B89E6F10130}">
      <dgm:prSet/>
      <dgm:spPr/>
      <dgm:t>
        <a:bodyPr/>
        <a:lstStyle/>
        <a:p>
          <a:pPr algn="ctr"/>
          <a:endParaRPr lang="ru-RU"/>
        </a:p>
      </dgm:t>
    </dgm:pt>
    <dgm:pt modelId="{23FF9D83-7666-484B-881C-F895D87D122D}" type="sibTrans" cxnId="{51DCE25C-D355-41E3-A0C2-0B89E6F10130}">
      <dgm:prSet/>
      <dgm:spPr/>
      <dgm:t>
        <a:bodyPr/>
        <a:lstStyle/>
        <a:p>
          <a:pPr algn="ctr"/>
          <a:endParaRPr lang="ru-RU"/>
        </a:p>
      </dgm:t>
    </dgm:pt>
    <dgm:pt modelId="{598C858A-0E8F-4D91-A72D-2C35F96AA336}">
      <dgm:prSet phldrT="[Текст]" custT="1"/>
      <dgm:spPr/>
      <dgm:t>
        <a:bodyPr/>
        <a:lstStyle/>
        <a:p>
          <a:pPr algn="ctr"/>
          <a:r>
            <a:rPr lang="ru-RU" sz="1050">
              <a:latin typeface="Times New Roman" pitchFamily="18" charset="0"/>
              <a:cs typeface="Times New Roman" pitchFamily="18" charset="0"/>
            </a:rPr>
            <a:t>3 </a:t>
          </a:r>
        </a:p>
      </dgm:t>
    </dgm:pt>
    <dgm:pt modelId="{067A9ACF-846E-4EE0-AFDB-0963D653B1D8}" type="parTrans" cxnId="{7B7BDFA0-ADCC-48C9-9BAC-A9B0122A6345}">
      <dgm:prSet/>
      <dgm:spPr/>
      <dgm:t>
        <a:bodyPr/>
        <a:lstStyle/>
        <a:p>
          <a:pPr algn="ctr"/>
          <a:endParaRPr lang="ru-RU"/>
        </a:p>
      </dgm:t>
    </dgm:pt>
    <dgm:pt modelId="{CF11D8F5-CC8F-4C40-BC6D-FFB80D902883}" type="sibTrans" cxnId="{7B7BDFA0-ADCC-48C9-9BAC-A9B0122A6345}">
      <dgm:prSet/>
      <dgm:spPr/>
      <dgm:t>
        <a:bodyPr/>
        <a:lstStyle/>
        <a:p>
          <a:pPr algn="ctr"/>
          <a:endParaRPr lang="ru-RU"/>
        </a:p>
      </dgm:t>
    </dgm:pt>
    <dgm:pt modelId="{43821718-A79B-42DA-BEFD-46F79E04536F}">
      <dgm:prSet phldrT="[Текст]" custT="1"/>
      <dgm:spPr/>
      <dgm:t>
        <a:bodyPr/>
        <a:lstStyle/>
        <a:p>
          <a:pPr algn="ctr"/>
          <a:r>
            <a:rPr lang="ru-RU" sz="1050" b="0" i="0">
              <a:latin typeface="Times New Roman" pitchFamily="18" charset="0"/>
              <a:cs typeface="Times New Roman" pitchFamily="18" charset="0"/>
            </a:rPr>
            <a:t>ликвидация юридического лица, включенного в реестр таможенных перевозчиков;</a:t>
          </a:r>
          <a:endParaRPr lang="ru-RU" sz="1050">
            <a:latin typeface="Times New Roman" pitchFamily="18" charset="0"/>
            <a:cs typeface="Times New Roman" pitchFamily="18" charset="0"/>
          </a:endParaRPr>
        </a:p>
      </dgm:t>
    </dgm:pt>
    <dgm:pt modelId="{D2CD45FA-2FD2-458D-B470-2B9622FB0307}" type="parTrans" cxnId="{62B5DA54-3D3C-4ECD-949A-FF7D70C42B04}">
      <dgm:prSet/>
      <dgm:spPr/>
      <dgm:t>
        <a:bodyPr/>
        <a:lstStyle/>
        <a:p>
          <a:pPr algn="ctr"/>
          <a:endParaRPr lang="ru-RU"/>
        </a:p>
      </dgm:t>
    </dgm:pt>
    <dgm:pt modelId="{65B7BA50-255F-4A38-9C8A-514339E80344}" type="sibTrans" cxnId="{62B5DA54-3D3C-4ECD-949A-FF7D70C42B04}">
      <dgm:prSet/>
      <dgm:spPr/>
      <dgm:t>
        <a:bodyPr/>
        <a:lstStyle/>
        <a:p>
          <a:pPr algn="ctr"/>
          <a:endParaRPr lang="ru-RU"/>
        </a:p>
      </dgm:t>
    </dgm:pt>
    <dgm:pt modelId="{284B30A6-07AE-414F-86DE-878A2A5A6E29}">
      <dgm:prSet custT="1"/>
      <dgm:spPr/>
      <dgm:t>
        <a:bodyPr/>
        <a:lstStyle/>
        <a:p>
          <a:pPr algn="ctr"/>
          <a:r>
            <a:rPr lang="ru-RU" sz="1050">
              <a:latin typeface="Times New Roman" panose="02020603050405020304" pitchFamily="18" charset="0"/>
              <a:cs typeface="Times New Roman" panose="02020603050405020304" pitchFamily="18" charset="0"/>
            </a:rPr>
            <a:t>4</a:t>
          </a:r>
        </a:p>
      </dgm:t>
    </dgm:pt>
    <dgm:pt modelId="{E840E7B3-CCC3-4A6B-A0AF-2E2ABE97A960}" type="parTrans" cxnId="{D57146E6-FE51-4E57-B9A8-43F76C3B9862}">
      <dgm:prSet/>
      <dgm:spPr/>
      <dgm:t>
        <a:bodyPr/>
        <a:lstStyle/>
        <a:p>
          <a:pPr algn="ctr"/>
          <a:endParaRPr lang="ru-RU"/>
        </a:p>
      </dgm:t>
    </dgm:pt>
    <dgm:pt modelId="{8729747F-93C3-437A-88C3-40BACA824488}" type="sibTrans" cxnId="{D57146E6-FE51-4E57-B9A8-43F76C3B9862}">
      <dgm:prSet/>
      <dgm:spPr/>
      <dgm:t>
        <a:bodyPr/>
        <a:lstStyle/>
        <a:p>
          <a:pPr algn="ctr"/>
          <a:endParaRPr lang="ru-RU"/>
        </a:p>
      </dgm:t>
    </dgm:pt>
    <dgm:pt modelId="{711DA9AC-9D50-4F13-8EB8-F439668C6C80}">
      <dgm:prSet custT="1"/>
      <dgm:spPr/>
      <dgm:t>
        <a:bodyPr/>
        <a:lstStyle/>
        <a:p>
          <a:pPr algn="ctr"/>
          <a:r>
            <a:rPr lang="ru-RU" sz="1050" b="0" i="0">
              <a:latin typeface="Times New Roman" pitchFamily="18" charset="0"/>
              <a:cs typeface="Times New Roman" pitchFamily="18" charset="0"/>
            </a:rPr>
            <a:t>реорганизация юридического лица, включенного в реестр таможенных перевозчиков</a:t>
          </a:r>
          <a:endParaRPr lang="ru-RU" sz="1050">
            <a:latin typeface="Times New Roman" pitchFamily="18" charset="0"/>
            <a:cs typeface="Times New Roman" pitchFamily="18" charset="0"/>
          </a:endParaRPr>
        </a:p>
      </dgm:t>
    </dgm:pt>
    <dgm:pt modelId="{CEF64755-63E8-4891-8E3C-99A0B2500892}" type="parTrans" cxnId="{F26D6074-8294-482F-BF2F-12030D0AFEF9}">
      <dgm:prSet/>
      <dgm:spPr/>
      <dgm:t>
        <a:bodyPr/>
        <a:lstStyle/>
        <a:p>
          <a:pPr algn="ctr"/>
          <a:endParaRPr lang="ru-RU"/>
        </a:p>
      </dgm:t>
    </dgm:pt>
    <dgm:pt modelId="{EA693B13-650A-49C4-85A5-A7ADE8E9E272}" type="sibTrans" cxnId="{F26D6074-8294-482F-BF2F-12030D0AFEF9}">
      <dgm:prSet/>
      <dgm:spPr/>
      <dgm:t>
        <a:bodyPr/>
        <a:lstStyle/>
        <a:p>
          <a:pPr algn="ctr"/>
          <a:endParaRPr lang="ru-RU"/>
        </a:p>
      </dgm:t>
    </dgm:pt>
    <dgm:pt modelId="{51FBC648-38B8-457F-9EF9-0162A79765DC}" type="pres">
      <dgm:prSet presAssocID="{6C479A60-76B4-4576-A20B-236A4F3127EA}" presName="linearFlow" presStyleCnt="0">
        <dgm:presLayoutVars>
          <dgm:dir/>
          <dgm:animLvl val="lvl"/>
          <dgm:resizeHandles val="exact"/>
        </dgm:presLayoutVars>
      </dgm:prSet>
      <dgm:spPr/>
      <dgm:t>
        <a:bodyPr/>
        <a:lstStyle/>
        <a:p>
          <a:endParaRPr lang="ru-RU"/>
        </a:p>
      </dgm:t>
    </dgm:pt>
    <dgm:pt modelId="{F3765C79-B082-47CF-9B28-5781DA71C25C}" type="pres">
      <dgm:prSet presAssocID="{F5EF8C82-EBEA-46BC-93E9-92C91294A43E}" presName="composite" presStyleCnt="0"/>
      <dgm:spPr/>
      <dgm:t>
        <a:bodyPr/>
        <a:lstStyle/>
        <a:p>
          <a:endParaRPr lang="ru-RU"/>
        </a:p>
      </dgm:t>
    </dgm:pt>
    <dgm:pt modelId="{4E7A7BC0-3822-4F4C-9769-9A5989F55994}" type="pres">
      <dgm:prSet presAssocID="{F5EF8C82-EBEA-46BC-93E9-92C91294A43E}" presName="parentText" presStyleLbl="alignNode1" presStyleIdx="0" presStyleCnt="4" custScaleX="63766" custScaleY="58535">
        <dgm:presLayoutVars>
          <dgm:chMax val="1"/>
          <dgm:bulletEnabled val="1"/>
        </dgm:presLayoutVars>
      </dgm:prSet>
      <dgm:spPr/>
      <dgm:t>
        <a:bodyPr/>
        <a:lstStyle/>
        <a:p>
          <a:endParaRPr lang="ru-RU"/>
        </a:p>
      </dgm:t>
    </dgm:pt>
    <dgm:pt modelId="{06374C94-BDEC-47C9-A344-3E6685DE6A03}" type="pres">
      <dgm:prSet presAssocID="{F5EF8C82-EBEA-46BC-93E9-92C91294A43E}" presName="descendantText" presStyleLbl="alignAcc1" presStyleIdx="0" presStyleCnt="4" custScaleY="31639" custLinFactNeighborX="-837" custLinFactNeighborY="-32316">
        <dgm:presLayoutVars>
          <dgm:bulletEnabled val="1"/>
        </dgm:presLayoutVars>
      </dgm:prSet>
      <dgm:spPr/>
      <dgm:t>
        <a:bodyPr/>
        <a:lstStyle/>
        <a:p>
          <a:endParaRPr lang="ru-RU"/>
        </a:p>
      </dgm:t>
    </dgm:pt>
    <dgm:pt modelId="{032FCA6C-E43F-4DB5-9578-E207850A8E91}" type="pres">
      <dgm:prSet presAssocID="{20DE3776-C4D8-45F2-900D-4ECE05C9F860}" presName="sp" presStyleCnt="0"/>
      <dgm:spPr/>
      <dgm:t>
        <a:bodyPr/>
        <a:lstStyle/>
        <a:p>
          <a:endParaRPr lang="ru-RU"/>
        </a:p>
      </dgm:t>
    </dgm:pt>
    <dgm:pt modelId="{C553293B-5519-4BB2-9437-82A7E534819C}" type="pres">
      <dgm:prSet presAssocID="{55FB7D9C-E33A-491D-855A-4F1FF9D9ADC7}" presName="composite" presStyleCnt="0"/>
      <dgm:spPr/>
      <dgm:t>
        <a:bodyPr/>
        <a:lstStyle/>
        <a:p>
          <a:endParaRPr lang="ru-RU"/>
        </a:p>
      </dgm:t>
    </dgm:pt>
    <dgm:pt modelId="{381D0CFF-9CF8-4872-A686-C03798C22901}" type="pres">
      <dgm:prSet presAssocID="{55FB7D9C-E33A-491D-855A-4F1FF9D9ADC7}" presName="parentText" presStyleLbl="alignNode1" presStyleIdx="1" presStyleCnt="4" custScaleX="60137" custScaleY="56597" custLinFactNeighborX="44026" custLinFactNeighborY="-7545">
        <dgm:presLayoutVars>
          <dgm:chMax val="1"/>
          <dgm:bulletEnabled val="1"/>
        </dgm:presLayoutVars>
      </dgm:prSet>
      <dgm:spPr/>
      <dgm:t>
        <a:bodyPr/>
        <a:lstStyle/>
        <a:p>
          <a:endParaRPr lang="ru-RU"/>
        </a:p>
      </dgm:t>
    </dgm:pt>
    <dgm:pt modelId="{CA71BAFB-D831-442B-90C0-135C74A3C21C}" type="pres">
      <dgm:prSet presAssocID="{55FB7D9C-E33A-491D-855A-4F1FF9D9ADC7}" presName="descendantText" presStyleLbl="alignAcc1" presStyleIdx="1" presStyleCnt="4" custScaleY="39486" custLinFactNeighborX="-1211" custLinFactNeighborY="-35846">
        <dgm:presLayoutVars>
          <dgm:bulletEnabled val="1"/>
        </dgm:presLayoutVars>
      </dgm:prSet>
      <dgm:spPr/>
      <dgm:t>
        <a:bodyPr/>
        <a:lstStyle/>
        <a:p>
          <a:endParaRPr lang="ru-RU"/>
        </a:p>
      </dgm:t>
    </dgm:pt>
    <dgm:pt modelId="{2F2FA7A4-7DAF-4DF5-864E-2DE21AE7772C}" type="pres">
      <dgm:prSet presAssocID="{72AE2BBC-AA2D-4A63-89A8-EB8B5D9FADE6}" presName="sp" presStyleCnt="0"/>
      <dgm:spPr/>
      <dgm:t>
        <a:bodyPr/>
        <a:lstStyle/>
        <a:p>
          <a:endParaRPr lang="ru-RU"/>
        </a:p>
      </dgm:t>
    </dgm:pt>
    <dgm:pt modelId="{AAB68222-0765-41B7-A500-7337FDF72D36}" type="pres">
      <dgm:prSet presAssocID="{598C858A-0E8F-4D91-A72D-2C35F96AA336}" presName="composite" presStyleCnt="0"/>
      <dgm:spPr/>
      <dgm:t>
        <a:bodyPr/>
        <a:lstStyle/>
        <a:p>
          <a:endParaRPr lang="ru-RU"/>
        </a:p>
      </dgm:t>
    </dgm:pt>
    <dgm:pt modelId="{1976B8EE-EDEF-46EE-89FD-8FE7A3BBF6A0}" type="pres">
      <dgm:prSet presAssocID="{598C858A-0E8F-4D91-A72D-2C35F96AA336}" presName="parentText" presStyleLbl="alignNode1" presStyleIdx="2" presStyleCnt="4" custScaleX="55526" custScaleY="58032">
        <dgm:presLayoutVars>
          <dgm:chMax val="1"/>
          <dgm:bulletEnabled val="1"/>
        </dgm:presLayoutVars>
      </dgm:prSet>
      <dgm:spPr/>
      <dgm:t>
        <a:bodyPr/>
        <a:lstStyle/>
        <a:p>
          <a:endParaRPr lang="ru-RU"/>
        </a:p>
      </dgm:t>
    </dgm:pt>
    <dgm:pt modelId="{53E59C54-2ECB-4E19-8C30-46099844AF2D}" type="pres">
      <dgm:prSet presAssocID="{598C858A-0E8F-4D91-A72D-2C35F96AA336}" presName="descendantText" presStyleLbl="alignAcc1" presStyleIdx="2" presStyleCnt="4" custScaleY="45492" custLinFactNeighborX="-1702" custLinFactNeighborY="-16162">
        <dgm:presLayoutVars>
          <dgm:bulletEnabled val="1"/>
        </dgm:presLayoutVars>
      </dgm:prSet>
      <dgm:spPr/>
      <dgm:t>
        <a:bodyPr/>
        <a:lstStyle/>
        <a:p>
          <a:endParaRPr lang="ru-RU"/>
        </a:p>
      </dgm:t>
    </dgm:pt>
    <dgm:pt modelId="{D4CF75A6-0739-4F9E-AE6E-99D5567AD4FF}" type="pres">
      <dgm:prSet presAssocID="{CF11D8F5-CC8F-4C40-BC6D-FFB80D902883}" presName="sp" presStyleCnt="0"/>
      <dgm:spPr/>
      <dgm:t>
        <a:bodyPr/>
        <a:lstStyle/>
        <a:p>
          <a:endParaRPr lang="ru-RU"/>
        </a:p>
      </dgm:t>
    </dgm:pt>
    <dgm:pt modelId="{21514674-BEFB-48BB-9DE6-AB2CEA05E302}" type="pres">
      <dgm:prSet presAssocID="{284B30A6-07AE-414F-86DE-878A2A5A6E29}" presName="composite" presStyleCnt="0"/>
      <dgm:spPr/>
      <dgm:t>
        <a:bodyPr/>
        <a:lstStyle/>
        <a:p>
          <a:endParaRPr lang="ru-RU"/>
        </a:p>
      </dgm:t>
    </dgm:pt>
    <dgm:pt modelId="{A0661167-41CD-40AC-9CE4-5B19D7B38C6A}" type="pres">
      <dgm:prSet presAssocID="{284B30A6-07AE-414F-86DE-878A2A5A6E29}" presName="parentText" presStyleLbl="alignNode1" presStyleIdx="3" presStyleCnt="4" custScaleX="55188" custScaleY="62062" custLinFactNeighborX="39895" custLinFactNeighborY="-793">
        <dgm:presLayoutVars>
          <dgm:chMax val="1"/>
          <dgm:bulletEnabled val="1"/>
        </dgm:presLayoutVars>
      </dgm:prSet>
      <dgm:spPr/>
      <dgm:t>
        <a:bodyPr/>
        <a:lstStyle/>
        <a:p>
          <a:endParaRPr lang="ru-RU"/>
        </a:p>
      </dgm:t>
    </dgm:pt>
    <dgm:pt modelId="{9E821098-9F43-415D-8959-DC4A51EF8BA6}" type="pres">
      <dgm:prSet presAssocID="{284B30A6-07AE-414F-86DE-878A2A5A6E29}" presName="descendantText" presStyleLbl="alignAcc1" presStyleIdx="3" presStyleCnt="4" custScaleY="53314" custLinFactNeighborX="-1969" custLinFactNeighborY="-5315">
        <dgm:presLayoutVars>
          <dgm:bulletEnabled val="1"/>
        </dgm:presLayoutVars>
      </dgm:prSet>
      <dgm:spPr/>
      <dgm:t>
        <a:bodyPr/>
        <a:lstStyle/>
        <a:p>
          <a:endParaRPr lang="ru-RU"/>
        </a:p>
      </dgm:t>
    </dgm:pt>
  </dgm:ptLst>
  <dgm:cxnLst>
    <dgm:cxn modelId="{6BBBD3C5-3DD3-433B-BA46-68BB9B415D68}" srcId="{F5EF8C82-EBEA-46BC-93E9-92C91294A43E}" destId="{D67F65B8-FCF4-4949-9254-3B87CAD8F9D2}" srcOrd="0" destOrd="0" parTransId="{176AA24A-4672-4329-BD8D-50830B0EFEB3}" sibTransId="{7D979134-DC75-42FB-9376-E2B829D452C2}"/>
    <dgm:cxn modelId="{725623DD-BE93-42BE-821F-11C3D1A4F9CD}" type="presOf" srcId="{43821718-A79B-42DA-BEFD-46F79E04536F}" destId="{53E59C54-2ECB-4E19-8C30-46099844AF2D}" srcOrd="0" destOrd="0" presId="urn:microsoft.com/office/officeart/2005/8/layout/chevron2"/>
    <dgm:cxn modelId="{7B7BDFA0-ADCC-48C9-9BAC-A9B0122A6345}" srcId="{6C479A60-76B4-4576-A20B-236A4F3127EA}" destId="{598C858A-0E8F-4D91-A72D-2C35F96AA336}" srcOrd="2" destOrd="0" parTransId="{067A9ACF-846E-4EE0-AFDB-0963D653B1D8}" sibTransId="{CF11D8F5-CC8F-4C40-BC6D-FFB80D902883}"/>
    <dgm:cxn modelId="{16DE6210-2E8C-4672-8159-BB79B7A356AD}" type="presOf" srcId="{284B30A6-07AE-414F-86DE-878A2A5A6E29}" destId="{A0661167-41CD-40AC-9CE4-5B19D7B38C6A}" srcOrd="0" destOrd="0" presId="urn:microsoft.com/office/officeart/2005/8/layout/chevron2"/>
    <dgm:cxn modelId="{D57146E6-FE51-4E57-B9A8-43F76C3B9862}" srcId="{6C479A60-76B4-4576-A20B-236A4F3127EA}" destId="{284B30A6-07AE-414F-86DE-878A2A5A6E29}" srcOrd="3" destOrd="0" parTransId="{E840E7B3-CCC3-4A6B-A0AF-2E2ABE97A960}" sibTransId="{8729747F-93C3-437A-88C3-40BACA824488}"/>
    <dgm:cxn modelId="{69FAC878-21F4-4555-983C-7F9ECDD10270}" type="presOf" srcId="{598C858A-0E8F-4D91-A72D-2C35F96AA336}" destId="{1976B8EE-EDEF-46EE-89FD-8FE7A3BBF6A0}" srcOrd="0" destOrd="0" presId="urn:microsoft.com/office/officeart/2005/8/layout/chevron2"/>
    <dgm:cxn modelId="{E445A409-EA71-4CCF-A85E-11EEA02E2FCC}" type="presOf" srcId="{6C479A60-76B4-4576-A20B-236A4F3127EA}" destId="{51FBC648-38B8-457F-9EF9-0162A79765DC}" srcOrd="0" destOrd="0" presId="urn:microsoft.com/office/officeart/2005/8/layout/chevron2"/>
    <dgm:cxn modelId="{9EB259CC-605B-4E1D-A7D1-05A4B386A5EE}" type="presOf" srcId="{55FB7D9C-E33A-491D-855A-4F1FF9D9ADC7}" destId="{381D0CFF-9CF8-4872-A686-C03798C22901}" srcOrd="0" destOrd="0" presId="urn:microsoft.com/office/officeart/2005/8/layout/chevron2"/>
    <dgm:cxn modelId="{13C11E02-C5D1-49D2-8C1E-7118F30A6302}" type="presOf" srcId="{F5EF8C82-EBEA-46BC-93E9-92C91294A43E}" destId="{4E7A7BC0-3822-4F4C-9769-9A5989F55994}" srcOrd="0" destOrd="0" presId="urn:microsoft.com/office/officeart/2005/8/layout/chevron2"/>
    <dgm:cxn modelId="{5E3833C5-131F-42DD-82ED-E9018188FA61}" type="presOf" srcId="{711DA9AC-9D50-4F13-8EB8-F439668C6C80}" destId="{9E821098-9F43-415D-8959-DC4A51EF8BA6}" srcOrd="0" destOrd="0" presId="urn:microsoft.com/office/officeart/2005/8/layout/chevron2"/>
    <dgm:cxn modelId="{F26D6074-8294-482F-BF2F-12030D0AFEF9}" srcId="{284B30A6-07AE-414F-86DE-878A2A5A6E29}" destId="{711DA9AC-9D50-4F13-8EB8-F439668C6C80}" srcOrd="0" destOrd="0" parTransId="{CEF64755-63E8-4891-8E3C-99A0B2500892}" sibTransId="{EA693B13-650A-49C4-85A5-A7ADE8E9E272}"/>
    <dgm:cxn modelId="{51DCE25C-D355-41E3-A0C2-0B89E6F10130}" srcId="{55FB7D9C-E33A-491D-855A-4F1FF9D9ADC7}" destId="{309F40C3-B08F-479F-801C-8A06112679DC}" srcOrd="0" destOrd="0" parTransId="{146B7013-85CA-4C55-BB55-23CE4B659116}" sibTransId="{23FF9D83-7666-484B-881C-F895D87D122D}"/>
    <dgm:cxn modelId="{3C174C91-ED81-4404-BFA9-067774534C0B}" type="presOf" srcId="{D67F65B8-FCF4-4949-9254-3B87CAD8F9D2}" destId="{06374C94-BDEC-47C9-A344-3E6685DE6A03}" srcOrd="0" destOrd="0" presId="urn:microsoft.com/office/officeart/2005/8/layout/chevron2"/>
    <dgm:cxn modelId="{6F849CB1-3EA8-47BD-9B4D-E41C1E78EC63}" srcId="{6C479A60-76B4-4576-A20B-236A4F3127EA}" destId="{55FB7D9C-E33A-491D-855A-4F1FF9D9ADC7}" srcOrd="1" destOrd="0" parTransId="{DE78317F-1D4C-4F07-BD5C-EE2B69C643AC}" sibTransId="{72AE2BBC-AA2D-4A63-89A8-EB8B5D9FADE6}"/>
    <dgm:cxn modelId="{5040D79F-47B0-41D5-83D9-CAE42E8C2373}" srcId="{6C479A60-76B4-4576-A20B-236A4F3127EA}" destId="{F5EF8C82-EBEA-46BC-93E9-92C91294A43E}" srcOrd="0" destOrd="0" parTransId="{5CE93B31-FAD4-418C-97F2-EE286DE59B3A}" sibTransId="{20DE3776-C4D8-45F2-900D-4ECE05C9F860}"/>
    <dgm:cxn modelId="{E4899E59-9725-4D78-B871-5DFF213EA86B}" type="presOf" srcId="{309F40C3-B08F-479F-801C-8A06112679DC}" destId="{CA71BAFB-D831-442B-90C0-135C74A3C21C}" srcOrd="0" destOrd="0" presId="urn:microsoft.com/office/officeart/2005/8/layout/chevron2"/>
    <dgm:cxn modelId="{62B5DA54-3D3C-4ECD-949A-FF7D70C42B04}" srcId="{598C858A-0E8F-4D91-A72D-2C35F96AA336}" destId="{43821718-A79B-42DA-BEFD-46F79E04536F}" srcOrd="0" destOrd="0" parTransId="{D2CD45FA-2FD2-458D-B470-2B9622FB0307}" sibTransId="{65B7BA50-255F-4A38-9C8A-514339E80344}"/>
    <dgm:cxn modelId="{004500A1-5D8C-4F1F-93DD-2A9B551934FB}" type="presParOf" srcId="{51FBC648-38B8-457F-9EF9-0162A79765DC}" destId="{F3765C79-B082-47CF-9B28-5781DA71C25C}" srcOrd="0" destOrd="0" presId="urn:microsoft.com/office/officeart/2005/8/layout/chevron2"/>
    <dgm:cxn modelId="{46736CB2-949E-4970-A1A1-05A166B86563}" type="presParOf" srcId="{F3765C79-B082-47CF-9B28-5781DA71C25C}" destId="{4E7A7BC0-3822-4F4C-9769-9A5989F55994}" srcOrd="0" destOrd="0" presId="urn:microsoft.com/office/officeart/2005/8/layout/chevron2"/>
    <dgm:cxn modelId="{4F3BDF30-DDF7-41A2-A943-0DAF15E764D7}" type="presParOf" srcId="{F3765C79-B082-47CF-9B28-5781DA71C25C}" destId="{06374C94-BDEC-47C9-A344-3E6685DE6A03}" srcOrd="1" destOrd="0" presId="urn:microsoft.com/office/officeart/2005/8/layout/chevron2"/>
    <dgm:cxn modelId="{6AE8D2A6-1A72-4346-A5B4-6E142212C994}" type="presParOf" srcId="{51FBC648-38B8-457F-9EF9-0162A79765DC}" destId="{032FCA6C-E43F-4DB5-9578-E207850A8E91}" srcOrd="1" destOrd="0" presId="urn:microsoft.com/office/officeart/2005/8/layout/chevron2"/>
    <dgm:cxn modelId="{1894A92B-AAC0-4461-B75B-7B094290C985}" type="presParOf" srcId="{51FBC648-38B8-457F-9EF9-0162A79765DC}" destId="{C553293B-5519-4BB2-9437-82A7E534819C}" srcOrd="2" destOrd="0" presId="urn:microsoft.com/office/officeart/2005/8/layout/chevron2"/>
    <dgm:cxn modelId="{41A683C8-D566-45BA-AA74-95B5385F736C}" type="presParOf" srcId="{C553293B-5519-4BB2-9437-82A7E534819C}" destId="{381D0CFF-9CF8-4872-A686-C03798C22901}" srcOrd="0" destOrd="0" presId="urn:microsoft.com/office/officeart/2005/8/layout/chevron2"/>
    <dgm:cxn modelId="{0912B260-B5F5-4EE7-B8CE-DF8314F96B2B}" type="presParOf" srcId="{C553293B-5519-4BB2-9437-82A7E534819C}" destId="{CA71BAFB-D831-442B-90C0-135C74A3C21C}" srcOrd="1" destOrd="0" presId="urn:microsoft.com/office/officeart/2005/8/layout/chevron2"/>
    <dgm:cxn modelId="{E243CDE1-4B0C-4DB9-878E-515133A8BC13}" type="presParOf" srcId="{51FBC648-38B8-457F-9EF9-0162A79765DC}" destId="{2F2FA7A4-7DAF-4DF5-864E-2DE21AE7772C}" srcOrd="3" destOrd="0" presId="urn:microsoft.com/office/officeart/2005/8/layout/chevron2"/>
    <dgm:cxn modelId="{BD1E582F-6AFB-457E-AD9F-F841B9EB655D}" type="presParOf" srcId="{51FBC648-38B8-457F-9EF9-0162A79765DC}" destId="{AAB68222-0765-41B7-A500-7337FDF72D36}" srcOrd="4" destOrd="0" presId="urn:microsoft.com/office/officeart/2005/8/layout/chevron2"/>
    <dgm:cxn modelId="{252AE368-0072-4BD4-991A-57A37107B945}" type="presParOf" srcId="{AAB68222-0765-41B7-A500-7337FDF72D36}" destId="{1976B8EE-EDEF-46EE-89FD-8FE7A3BBF6A0}" srcOrd="0" destOrd="0" presId="urn:microsoft.com/office/officeart/2005/8/layout/chevron2"/>
    <dgm:cxn modelId="{35FF42CD-5F7D-4984-9905-6F81AA1E48BD}" type="presParOf" srcId="{AAB68222-0765-41B7-A500-7337FDF72D36}" destId="{53E59C54-2ECB-4E19-8C30-46099844AF2D}" srcOrd="1" destOrd="0" presId="urn:microsoft.com/office/officeart/2005/8/layout/chevron2"/>
    <dgm:cxn modelId="{3920AADD-EA02-4B60-998E-A8268FF129E3}" type="presParOf" srcId="{51FBC648-38B8-457F-9EF9-0162A79765DC}" destId="{D4CF75A6-0739-4F9E-AE6E-99D5567AD4FF}" srcOrd="5" destOrd="0" presId="urn:microsoft.com/office/officeart/2005/8/layout/chevron2"/>
    <dgm:cxn modelId="{B369C548-FD52-4D7F-9155-C1916619E336}" type="presParOf" srcId="{51FBC648-38B8-457F-9EF9-0162A79765DC}" destId="{21514674-BEFB-48BB-9DE6-AB2CEA05E302}" srcOrd="6" destOrd="0" presId="urn:microsoft.com/office/officeart/2005/8/layout/chevron2"/>
    <dgm:cxn modelId="{9490B118-97E9-4D19-BE74-EB3375EAF4EE}" type="presParOf" srcId="{21514674-BEFB-48BB-9DE6-AB2CEA05E302}" destId="{A0661167-41CD-40AC-9CE4-5B19D7B38C6A}" srcOrd="0" destOrd="0" presId="urn:microsoft.com/office/officeart/2005/8/layout/chevron2"/>
    <dgm:cxn modelId="{D45EC999-FD06-47AF-B186-188114C3A210}" type="presParOf" srcId="{21514674-BEFB-48BB-9DE6-AB2CEA05E302}" destId="{9E821098-9F43-415D-8959-DC4A51EF8BA6}" srcOrd="1" destOrd="0" presId="urn:microsoft.com/office/officeart/2005/8/layout/chevron2"/>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19BA979-BC93-48FD-9C6A-06C3FDC6BCA1}">
      <dsp:nvSpPr>
        <dsp:cNvPr id="0" name=""/>
        <dsp:cNvSpPr/>
      </dsp:nvSpPr>
      <dsp:spPr>
        <a:xfrm>
          <a:off x="0" y="367052"/>
          <a:ext cx="5200153" cy="3276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6CBF81F-9B3E-4607-AE17-161B192A7BC6}">
      <dsp:nvSpPr>
        <dsp:cNvPr id="0" name=""/>
        <dsp:cNvSpPr/>
      </dsp:nvSpPr>
      <dsp:spPr>
        <a:xfrm>
          <a:off x="247565" y="45669"/>
          <a:ext cx="4951312" cy="550680"/>
        </a:xfrm>
        <a:prstGeom prst="round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7587" tIns="0" rIns="137587" bIns="0" numCol="1" spcCol="1270" anchor="ctr" anchorCtr="0">
          <a:noAutofit/>
        </a:bodyPr>
        <a:lstStyle/>
        <a:p>
          <a:pPr lvl="0" algn="just" defTabSz="466725">
            <a:lnSpc>
              <a:spcPct val="90000"/>
            </a:lnSpc>
            <a:spcBef>
              <a:spcPct val="0"/>
            </a:spcBef>
            <a:spcAft>
              <a:spcPct val="35000"/>
            </a:spcAft>
          </a:pPr>
          <a:r>
            <a:rPr lang="ru-RU" sz="1050" kern="1200">
              <a:latin typeface="Times New Roman" pitchFamily="18" charset="0"/>
              <a:cs typeface="Times New Roman" pitchFamily="18" charset="0"/>
            </a:rPr>
            <a:t>осуществление деятельности по перевозке грузов в течение не менее 2 лет на день обращения в таможенный орган; отсутствие обязанности по уплате таможенных платежей, специальных, антидемпинговых, компенсационных пошлин, пеней, процентов;</a:t>
          </a:r>
        </a:p>
      </dsp:txBody>
      <dsp:txXfrm>
        <a:off x="247565" y="45669"/>
        <a:ext cx="4951312" cy="550680"/>
      </dsp:txXfrm>
    </dsp:sp>
    <dsp:sp modelId="{0C853D46-2230-48EB-B7F1-706E30C90D47}">
      <dsp:nvSpPr>
        <dsp:cNvPr id="0" name=""/>
        <dsp:cNvSpPr/>
      </dsp:nvSpPr>
      <dsp:spPr>
        <a:xfrm>
          <a:off x="0" y="842402"/>
          <a:ext cx="5200153" cy="3276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536C948-D197-4737-89EB-28A66FB39261}">
      <dsp:nvSpPr>
        <dsp:cNvPr id="0" name=""/>
        <dsp:cNvSpPr/>
      </dsp:nvSpPr>
      <dsp:spPr>
        <a:xfrm>
          <a:off x="248840" y="753628"/>
          <a:ext cx="4951312" cy="326932"/>
        </a:xfrm>
        <a:prstGeom prst="round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7587" tIns="0" rIns="137587" bIns="0" numCol="1" spcCol="1270" anchor="ctr" anchorCtr="0">
          <a:noAutofit/>
        </a:bodyPr>
        <a:lstStyle/>
        <a:p>
          <a:pPr lvl="0" algn="just" defTabSz="466725">
            <a:lnSpc>
              <a:spcPct val="90000"/>
            </a:lnSpc>
            <a:spcBef>
              <a:spcPct val="0"/>
            </a:spcBef>
            <a:spcAft>
              <a:spcPct val="35000"/>
            </a:spcAft>
          </a:pPr>
          <a:r>
            <a:rPr lang="ru-RU" sz="1050" kern="1200">
              <a:solidFill>
                <a:sysClr val="windowText" lastClr="000000"/>
              </a:solidFill>
              <a:latin typeface="Times New Roman" pitchFamily="18" charset="0"/>
              <a:cs typeface="Times New Roman" pitchFamily="18" charset="0"/>
            </a:rPr>
            <a:t>наличие разрешительного документа государств-членов на осуществление деятельности по перевозке грузов</a:t>
          </a:r>
        </a:p>
      </dsp:txBody>
      <dsp:txXfrm>
        <a:off x="248840" y="753628"/>
        <a:ext cx="4951312" cy="326932"/>
      </dsp:txXfrm>
    </dsp:sp>
    <dsp:sp modelId="{60D58C1C-E0F9-468D-AECB-2D4B9F531849}">
      <dsp:nvSpPr>
        <dsp:cNvPr id="0" name=""/>
        <dsp:cNvSpPr/>
      </dsp:nvSpPr>
      <dsp:spPr>
        <a:xfrm>
          <a:off x="0" y="1412056"/>
          <a:ext cx="5200153" cy="3276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C8A8CE4-85EE-4CAB-9884-BD1C18ABA3E2}">
      <dsp:nvSpPr>
        <dsp:cNvPr id="0" name=""/>
        <dsp:cNvSpPr/>
      </dsp:nvSpPr>
      <dsp:spPr>
        <a:xfrm>
          <a:off x="248840" y="1271955"/>
          <a:ext cx="4951312" cy="354951"/>
        </a:xfrm>
        <a:prstGeom prst="round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7587" tIns="0" rIns="137587" bIns="0" numCol="1" spcCol="1270" anchor="ctr" anchorCtr="0">
          <a:noAutofit/>
        </a:bodyPr>
        <a:lstStyle/>
        <a:p>
          <a:pPr lvl="0" algn="just" defTabSz="466725">
            <a:lnSpc>
              <a:spcPct val="90000"/>
            </a:lnSpc>
            <a:spcBef>
              <a:spcPct val="0"/>
            </a:spcBef>
            <a:spcAft>
              <a:spcPct val="35000"/>
            </a:spcAft>
          </a:pPr>
          <a:r>
            <a:rPr lang="ru-RU" sz="1050" kern="1200">
              <a:latin typeface="Times New Roman" pitchFamily="18" charset="0"/>
              <a:cs typeface="Times New Roman" pitchFamily="18" charset="0"/>
            </a:rPr>
            <a:t>нахождение в собственности, хозяйственном ведении, оперативном управлении или аренде используемых для перевозки товаров транспортных средств</a:t>
          </a:r>
        </a:p>
      </dsp:txBody>
      <dsp:txXfrm>
        <a:off x="248840" y="1271955"/>
        <a:ext cx="4951312" cy="354951"/>
      </dsp:txXfrm>
    </dsp:sp>
    <dsp:sp modelId="{B1FE2A99-9AC2-4D73-BF42-F9940670448B}">
      <dsp:nvSpPr>
        <dsp:cNvPr id="0" name=""/>
        <dsp:cNvSpPr/>
      </dsp:nvSpPr>
      <dsp:spPr>
        <a:xfrm>
          <a:off x="0" y="1836307"/>
          <a:ext cx="5200153" cy="3276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9265273-9A47-45A6-8716-614C4B957525}">
      <dsp:nvSpPr>
        <dsp:cNvPr id="0" name=""/>
        <dsp:cNvSpPr/>
      </dsp:nvSpPr>
      <dsp:spPr>
        <a:xfrm>
          <a:off x="229268" y="1838567"/>
          <a:ext cx="4970884" cy="212591"/>
        </a:xfrm>
        <a:prstGeom prst="round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7587" tIns="0" rIns="137587" bIns="0" numCol="1" spcCol="1270" anchor="ctr" anchorCtr="0">
          <a:noAutofit/>
        </a:bodyPr>
        <a:lstStyle/>
        <a:p>
          <a:pPr lvl="0" algn="l" defTabSz="466725">
            <a:lnSpc>
              <a:spcPct val="90000"/>
            </a:lnSpc>
            <a:spcBef>
              <a:spcPct val="0"/>
            </a:spcBef>
            <a:spcAft>
              <a:spcPct val="35000"/>
            </a:spcAft>
          </a:pPr>
          <a:r>
            <a:rPr lang="ru-RU" sz="1050" kern="1200">
              <a:latin typeface="Times New Roman" pitchFamily="18" charset="0"/>
              <a:cs typeface="Times New Roman" pitchFamily="18" charset="0"/>
            </a:rPr>
            <a:t>обеспечение исполнения, в размере, эквивалентном 200 тысячам евро  </a:t>
          </a:r>
        </a:p>
      </dsp:txBody>
      <dsp:txXfrm>
        <a:off x="229268" y="1838567"/>
        <a:ext cx="4970884" cy="212591"/>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E7A7BC0-3822-4F4C-9769-9A5989F55994}">
      <dsp:nvSpPr>
        <dsp:cNvPr id="0" name=""/>
        <dsp:cNvSpPr/>
      </dsp:nvSpPr>
      <dsp:spPr>
        <a:xfrm rot="5400000">
          <a:off x="-83554" y="139422"/>
          <a:ext cx="703780" cy="536671"/>
        </a:xfrm>
        <a:prstGeom prst="chevron">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1</a:t>
          </a:r>
        </a:p>
      </dsp:txBody>
      <dsp:txXfrm rot="5400000">
        <a:off x="-83554" y="139422"/>
        <a:ext cx="703780" cy="536671"/>
      </dsp:txXfrm>
    </dsp:sp>
    <dsp:sp modelId="{06374C94-BDEC-47C9-A344-3E6685DE6A03}">
      <dsp:nvSpPr>
        <dsp:cNvPr id="0" name=""/>
        <dsp:cNvSpPr/>
      </dsp:nvSpPr>
      <dsp:spPr>
        <a:xfrm rot="5400000">
          <a:off x="2813868" y="-1937484"/>
          <a:ext cx="247262" cy="4263110"/>
        </a:xfrm>
        <a:prstGeom prst="round2Same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ctr" defTabSz="466725">
            <a:lnSpc>
              <a:spcPct val="90000"/>
            </a:lnSpc>
            <a:spcBef>
              <a:spcPct val="0"/>
            </a:spcBef>
            <a:spcAft>
              <a:spcPct val="15000"/>
            </a:spcAft>
            <a:buChar char="••"/>
          </a:pPr>
          <a:r>
            <a:rPr lang="ru-RU" sz="1050" b="0" i="0" kern="1200">
              <a:latin typeface="Times New Roman" pitchFamily="18" charset="0"/>
              <a:cs typeface="Times New Roman" pitchFamily="18" charset="0"/>
            </a:rPr>
            <a:t>неисполнение таможенным перевозчиком обязанностей</a:t>
          </a:r>
          <a:endParaRPr lang="ru-RU" sz="1050" kern="1200">
            <a:latin typeface="Times New Roman" pitchFamily="18" charset="0"/>
            <a:cs typeface="Times New Roman" pitchFamily="18" charset="0"/>
          </a:endParaRPr>
        </a:p>
      </dsp:txBody>
      <dsp:txXfrm rot="5400000">
        <a:off x="2813868" y="-1937484"/>
        <a:ext cx="247262" cy="4263110"/>
      </dsp:txXfrm>
    </dsp:sp>
    <dsp:sp modelId="{381D0CFF-9CF8-4872-A686-C03798C22901}">
      <dsp:nvSpPr>
        <dsp:cNvPr id="0" name=""/>
        <dsp:cNvSpPr/>
      </dsp:nvSpPr>
      <dsp:spPr>
        <a:xfrm rot="5400000">
          <a:off x="283359" y="425492"/>
          <a:ext cx="680479" cy="506129"/>
        </a:xfrm>
        <a:prstGeom prst="chevron">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2</a:t>
          </a:r>
        </a:p>
      </dsp:txBody>
      <dsp:txXfrm rot="5400000">
        <a:off x="283359" y="425492"/>
        <a:ext cx="680479" cy="506129"/>
      </dsp:txXfrm>
    </dsp:sp>
    <dsp:sp modelId="{CA71BAFB-D831-442B-90C0-135C74A3C21C}">
      <dsp:nvSpPr>
        <dsp:cNvPr id="0" name=""/>
        <dsp:cNvSpPr/>
      </dsp:nvSpPr>
      <dsp:spPr>
        <a:xfrm rot="5400000">
          <a:off x="2767261" y="-1591907"/>
          <a:ext cx="308587" cy="4263110"/>
        </a:xfrm>
        <a:prstGeom prst="round2Same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ctr" defTabSz="466725">
            <a:lnSpc>
              <a:spcPct val="90000"/>
            </a:lnSpc>
            <a:spcBef>
              <a:spcPct val="0"/>
            </a:spcBef>
            <a:spcAft>
              <a:spcPts val="0"/>
            </a:spcAft>
            <a:buChar char="••"/>
          </a:pPr>
          <a:r>
            <a:rPr lang="ru-RU" sz="1050" b="0" i="0" kern="1200">
              <a:latin typeface="Times New Roman" pitchFamily="18" charset="0"/>
              <a:cs typeface="Times New Roman" pitchFamily="18" charset="0"/>
            </a:rPr>
            <a:t>его заявление об исключении из реестра таможенных перевозчиков</a:t>
          </a:r>
          <a:endParaRPr lang="ru-RU" sz="1050" kern="1200">
            <a:latin typeface="Times New Roman" pitchFamily="18" charset="0"/>
            <a:cs typeface="Times New Roman" pitchFamily="18" charset="0"/>
          </a:endParaRPr>
        </a:p>
      </dsp:txBody>
      <dsp:txXfrm rot="5400000">
        <a:off x="2767261" y="-1591907"/>
        <a:ext cx="308587" cy="4263110"/>
      </dsp:txXfrm>
    </dsp:sp>
    <dsp:sp modelId="{1976B8EE-EDEF-46EE-89FD-8FE7A3BBF6A0}">
      <dsp:nvSpPr>
        <dsp:cNvPr id="0" name=""/>
        <dsp:cNvSpPr/>
      </dsp:nvSpPr>
      <dsp:spPr>
        <a:xfrm rot="5400000">
          <a:off x="-115205" y="894102"/>
          <a:ext cx="697732" cy="467321"/>
        </a:xfrm>
        <a:prstGeom prst="chevron">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3 </a:t>
          </a:r>
        </a:p>
      </dsp:txBody>
      <dsp:txXfrm rot="5400000">
        <a:off x="-115205" y="894102"/>
        <a:ext cx="697732" cy="467321"/>
      </dsp:txXfrm>
    </dsp:sp>
    <dsp:sp modelId="{53E59C54-2ECB-4E19-8C30-46099844AF2D}">
      <dsp:nvSpPr>
        <dsp:cNvPr id="0" name=""/>
        <dsp:cNvSpPr/>
      </dsp:nvSpPr>
      <dsp:spPr>
        <a:xfrm rot="5400000">
          <a:off x="2722861" y="-1088210"/>
          <a:ext cx="355524" cy="4263110"/>
        </a:xfrm>
        <a:prstGeom prst="round2Same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ctr" defTabSz="466725">
            <a:lnSpc>
              <a:spcPct val="90000"/>
            </a:lnSpc>
            <a:spcBef>
              <a:spcPct val="0"/>
            </a:spcBef>
            <a:spcAft>
              <a:spcPct val="15000"/>
            </a:spcAft>
            <a:buChar char="••"/>
          </a:pPr>
          <a:r>
            <a:rPr lang="ru-RU" sz="1050" b="0" i="0" kern="1200">
              <a:latin typeface="Times New Roman" pitchFamily="18" charset="0"/>
              <a:cs typeface="Times New Roman" pitchFamily="18" charset="0"/>
            </a:rPr>
            <a:t>ликвидация юридического лица, включенного в реестр таможенных перевозчиков;</a:t>
          </a:r>
          <a:endParaRPr lang="ru-RU" sz="1050" kern="1200">
            <a:latin typeface="Times New Roman" pitchFamily="18" charset="0"/>
            <a:cs typeface="Times New Roman" pitchFamily="18" charset="0"/>
          </a:endParaRPr>
        </a:p>
      </dsp:txBody>
      <dsp:txXfrm rot="5400000">
        <a:off x="2722861" y="-1088210"/>
        <a:ext cx="355524" cy="4263110"/>
      </dsp:txXfrm>
    </dsp:sp>
    <dsp:sp modelId="{A0661167-41CD-40AC-9CE4-5B19D7B38C6A}">
      <dsp:nvSpPr>
        <dsp:cNvPr id="0" name=""/>
        <dsp:cNvSpPr/>
      </dsp:nvSpPr>
      <dsp:spPr>
        <a:xfrm rot="5400000">
          <a:off x="194912" y="1277335"/>
          <a:ext cx="746186" cy="464476"/>
        </a:xfrm>
        <a:prstGeom prst="chevron">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4</a:t>
          </a:r>
        </a:p>
      </dsp:txBody>
      <dsp:txXfrm rot="5400000">
        <a:off x="194912" y="1277335"/>
        <a:ext cx="746186" cy="464476"/>
      </dsp:txXfrm>
    </dsp:sp>
    <dsp:sp modelId="{9E821098-9F43-415D-8959-DC4A51EF8BA6}">
      <dsp:nvSpPr>
        <dsp:cNvPr id="0" name=""/>
        <dsp:cNvSpPr/>
      </dsp:nvSpPr>
      <dsp:spPr>
        <a:xfrm rot="5400000">
          <a:off x="2680913" y="-636322"/>
          <a:ext cx="416654" cy="4263110"/>
        </a:xfrm>
        <a:prstGeom prst="round2Same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ctr" defTabSz="466725">
            <a:lnSpc>
              <a:spcPct val="90000"/>
            </a:lnSpc>
            <a:spcBef>
              <a:spcPct val="0"/>
            </a:spcBef>
            <a:spcAft>
              <a:spcPct val="15000"/>
            </a:spcAft>
            <a:buChar char="••"/>
          </a:pPr>
          <a:r>
            <a:rPr lang="ru-RU" sz="1050" b="0" i="0" kern="1200">
              <a:latin typeface="Times New Roman" pitchFamily="18" charset="0"/>
              <a:cs typeface="Times New Roman" pitchFamily="18" charset="0"/>
            </a:rPr>
            <a:t>реорганизация юридического лица, включенного в реестр таможенных перевозчиков</a:t>
          </a:r>
          <a:endParaRPr lang="ru-RU" sz="1050" kern="1200">
            <a:latin typeface="Times New Roman" pitchFamily="18" charset="0"/>
            <a:cs typeface="Times New Roman" pitchFamily="18" charset="0"/>
          </a:endParaRPr>
        </a:p>
      </dsp:txBody>
      <dsp:txXfrm rot="5400000">
        <a:off x="2680913" y="-636322"/>
        <a:ext cx="416654" cy="426311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199</TotalTime>
  <Pages>6</Pages>
  <Words>1568</Words>
  <Characters>8939</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Admin</cp:lastModifiedBy>
  <cp:revision>38</cp:revision>
  <dcterms:created xsi:type="dcterms:W3CDTF">2022-05-16T06:53:00Z</dcterms:created>
  <dcterms:modified xsi:type="dcterms:W3CDTF">2022-05-23T12:35:00Z</dcterms:modified>
</cp:coreProperties>
</file>