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40E2" w:rsidRPr="00E26DFD" w:rsidRDefault="008140E2" w:rsidP="008140E2">
      <w:pPr>
        <w:spacing w:after="0" w:line="240" w:lineRule="auto"/>
        <w:ind w:firstLine="567"/>
        <w:rPr>
          <w:rFonts w:ascii="Times New Roman" w:hAnsi="Times New Roman" w:cs="Times New Roman"/>
          <w:b/>
          <w:sz w:val="24"/>
          <w:szCs w:val="24"/>
        </w:rPr>
      </w:pPr>
      <w:r w:rsidRPr="00E26DFD"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="00AF402D" w:rsidRPr="00AF402D">
        <w:rPr>
          <w:rFonts w:ascii="Times New Roman" w:hAnsi="Times New Roman" w:cs="Times New Roman"/>
          <w:b/>
          <w:sz w:val="24"/>
          <w:szCs w:val="24"/>
        </w:rPr>
        <w:t>338.43</w:t>
      </w:r>
      <w:r w:rsidRPr="00436F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6DFD">
        <w:rPr>
          <w:rFonts w:ascii="Times New Roman" w:hAnsi="Times New Roman" w:cs="Times New Roman"/>
          <w:b/>
          <w:sz w:val="24"/>
          <w:szCs w:val="24"/>
        </w:rPr>
        <w:t xml:space="preserve">/ББК </w:t>
      </w:r>
      <w:r w:rsidR="00AF402D" w:rsidRPr="00AF402D">
        <w:rPr>
          <w:rFonts w:ascii="Times New Roman" w:hAnsi="Times New Roman" w:cs="Times New Roman"/>
          <w:b/>
          <w:sz w:val="24"/>
          <w:szCs w:val="24"/>
        </w:rPr>
        <w:t>65.325.250</w:t>
      </w:r>
    </w:p>
    <w:p w:rsidR="008140E2" w:rsidRPr="00E26DFD" w:rsidRDefault="008140E2" w:rsidP="008140E2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Терехова Ю.С., Терехов А.М.</w:t>
      </w:r>
    </w:p>
    <w:p w:rsidR="008140E2" w:rsidRPr="00E26DFD" w:rsidRDefault="00602000" w:rsidP="008140E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02000">
        <w:rPr>
          <w:rFonts w:ascii="Times New Roman" w:hAnsi="Times New Roman" w:cs="Times New Roman"/>
          <w:b/>
          <w:sz w:val="24"/>
          <w:szCs w:val="24"/>
        </w:rPr>
        <w:t>ПРАКТИЧЕСКАЯ РЕАЛИЗАЦИЯ МЕТОДОВ ПРОГНОЗИРОВАНИЯ ОБЪЕМОВ ПРОИЗВОДСТВА МОЛОКА В УСЛОВИЯХ СЕЗОННОСТИ НА ПРИМЕРЕ НИЖЕГОРОДСКОЙ ОБЛАСТИ</w:t>
      </w:r>
    </w:p>
    <w:p w:rsidR="008140E2" w:rsidRPr="00E26DFD" w:rsidRDefault="008140E2" w:rsidP="008140E2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A24C0D" w:rsidRPr="00A24C0D" w:rsidRDefault="001D62A0" w:rsidP="001D62A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E26DFD">
        <w:rPr>
          <w:rFonts w:ascii="Times New Roman" w:hAnsi="Times New Roman" w:cs="Times New Roman"/>
          <w:b/>
          <w:bCs/>
          <w:sz w:val="24"/>
          <w:szCs w:val="24"/>
        </w:rPr>
        <w:t xml:space="preserve">Аннотация. </w:t>
      </w:r>
      <w:r w:rsidR="00A24C0D" w:rsidRPr="00506D71">
        <w:rPr>
          <w:rFonts w:ascii="Times New Roman" w:hAnsi="Times New Roman" w:cs="Times New Roman"/>
          <w:bCs/>
          <w:i/>
          <w:sz w:val="24"/>
          <w:szCs w:val="24"/>
        </w:rPr>
        <w:t xml:space="preserve">В статье представлены результаты </w:t>
      </w:r>
      <w:r w:rsidR="00602000">
        <w:rPr>
          <w:rFonts w:ascii="Times New Roman" w:hAnsi="Times New Roman" w:cs="Times New Roman"/>
          <w:bCs/>
          <w:i/>
          <w:sz w:val="24"/>
          <w:szCs w:val="24"/>
        </w:rPr>
        <w:t>прогнозировани</w:t>
      </w:r>
      <w:r w:rsidR="00845940">
        <w:rPr>
          <w:rFonts w:ascii="Times New Roman" w:hAnsi="Times New Roman" w:cs="Times New Roman"/>
          <w:bCs/>
          <w:i/>
          <w:sz w:val="24"/>
          <w:szCs w:val="24"/>
        </w:rPr>
        <w:t>я</w:t>
      </w:r>
      <w:r w:rsidR="00602000">
        <w:rPr>
          <w:rFonts w:ascii="Times New Roman" w:hAnsi="Times New Roman" w:cs="Times New Roman"/>
          <w:bCs/>
          <w:i/>
          <w:sz w:val="24"/>
          <w:szCs w:val="24"/>
        </w:rPr>
        <w:t xml:space="preserve"> показателя «объемы производства молока </w:t>
      </w:r>
      <w:r w:rsidR="00602000" w:rsidRPr="00602000">
        <w:rPr>
          <w:rFonts w:ascii="Times New Roman" w:hAnsi="Times New Roman" w:cs="Times New Roman"/>
          <w:bCs/>
          <w:i/>
          <w:sz w:val="24"/>
          <w:szCs w:val="24"/>
        </w:rPr>
        <w:t>в хозяйствах всех категорий</w:t>
      </w:r>
      <w:r w:rsidR="00370BEF">
        <w:rPr>
          <w:rFonts w:ascii="Times New Roman" w:hAnsi="Times New Roman" w:cs="Times New Roman"/>
          <w:bCs/>
          <w:i/>
          <w:sz w:val="24"/>
          <w:szCs w:val="24"/>
        </w:rPr>
        <w:t>,</w:t>
      </w:r>
      <w:r w:rsidR="00602000">
        <w:rPr>
          <w:rFonts w:ascii="Times New Roman" w:hAnsi="Times New Roman" w:cs="Times New Roman"/>
          <w:bCs/>
          <w:i/>
          <w:sz w:val="24"/>
          <w:szCs w:val="24"/>
        </w:rPr>
        <w:t xml:space="preserve"> тыс. тонн» в Нижегородской области. </w:t>
      </w:r>
      <w:r w:rsidR="00025022">
        <w:rPr>
          <w:rFonts w:ascii="Times New Roman" w:hAnsi="Times New Roman" w:cs="Times New Roman"/>
          <w:bCs/>
          <w:i/>
          <w:sz w:val="24"/>
          <w:szCs w:val="24"/>
        </w:rPr>
        <w:t xml:space="preserve">Для прогнозирования использованы три методики: аддитивная, мультипликативная и </w:t>
      </w:r>
      <w:r w:rsidR="00025022">
        <w:rPr>
          <w:rFonts w:ascii="Times New Roman" w:hAnsi="Times New Roman" w:cs="Times New Roman"/>
          <w:bCs/>
          <w:i/>
          <w:sz w:val="24"/>
          <w:szCs w:val="24"/>
          <w:lang w:val="en-US"/>
        </w:rPr>
        <w:t>ARIMA</w:t>
      </w:r>
      <w:r w:rsidR="00025022" w:rsidRPr="00025022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="00025022">
        <w:rPr>
          <w:rFonts w:ascii="Times New Roman" w:hAnsi="Times New Roman" w:cs="Times New Roman"/>
          <w:bCs/>
          <w:i/>
          <w:sz w:val="24"/>
          <w:szCs w:val="24"/>
        </w:rPr>
        <w:t xml:space="preserve">модели. </w:t>
      </w:r>
      <w:r w:rsidR="00602000">
        <w:rPr>
          <w:rFonts w:ascii="Times New Roman" w:hAnsi="Times New Roman" w:cs="Times New Roman"/>
          <w:bCs/>
          <w:i/>
          <w:sz w:val="24"/>
          <w:szCs w:val="24"/>
        </w:rPr>
        <w:t>Спрогнозировано</w:t>
      </w:r>
      <w:r w:rsidR="00506D71">
        <w:rPr>
          <w:rFonts w:ascii="Times New Roman" w:hAnsi="Times New Roman" w:cs="Times New Roman"/>
          <w:bCs/>
          <w:i/>
          <w:sz w:val="24"/>
          <w:szCs w:val="24"/>
        </w:rPr>
        <w:t xml:space="preserve"> увеличение объемов </w:t>
      </w:r>
      <w:r w:rsidR="00602000">
        <w:rPr>
          <w:rFonts w:ascii="Times New Roman" w:hAnsi="Times New Roman" w:cs="Times New Roman"/>
          <w:bCs/>
          <w:i/>
          <w:sz w:val="24"/>
          <w:szCs w:val="24"/>
        </w:rPr>
        <w:t>производства молока</w:t>
      </w:r>
      <w:r w:rsidR="00025022">
        <w:rPr>
          <w:rFonts w:ascii="Times New Roman" w:hAnsi="Times New Roman" w:cs="Times New Roman"/>
          <w:bCs/>
          <w:i/>
          <w:sz w:val="24"/>
          <w:szCs w:val="24"/>
        </w:rPr>
        <w:t xml:space="preserve"> по всем трем моделям</w:t>
      </w:r>
      <w:r w:rsidR="00845940">
        <w:rPr>
          <w:rFonts w:ascii="Times New Roman" w:hAnsi="Times New Roman" w:cs="Times New Roman"/>
          <w:bCs/>
          <w:i/>
          <w:sz w:val="24"/>
          <w:szCs w:val="24"/>
        </w:rPr>
        <w:t>.</w:t>
      </w:r>
    </w:p>
    <w:p w:rsidR="008140E2" w:rsidRPr="001270C7" w:rsidRDefault="001D62A0" w:rsidP="001D62A0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E26DFD">
        <w:rPr>
          <w:rFonts w:ascii="Times New Roman" w:hAnsi="Times New Roman" w:cs="Times New Roman"/>
          <w:b/>
          <w:bCs/>
          <w:sz w:val="24"/>
          <w:szCs w:val="24"/>
        </w:rPr>
        <w:t xml:space="preserve">Ключевые слова: </w:t>
      </w:r>
      <w:r w:rsidR="00025022">
        <w:rPr>
          <w:rFonts w:ascii="Times New Roman" w:hAnsi="Times New Roman" w:cs="Times New Roman"/>
          <w:bCs/>
          <w:i/>
          <w:sz w:val="24"/>
          <w:szCs w:val="24"/>
        </w:rPr>
        <w:t>объемы производства молока</w:t>
      </w:r>
      <w:r w:rsidRPr="001270C7">
        <w:rPr>
          <w:rFonts w:ascii="Times New Roman" w:hAnsi="Times New Roman" w:cs="Times New Roman"/>
          <w:bCs/>
          <w:i/>
          <w:sz w:val="24"/>
          <w:szCs w:val="24"/>
        </w:rPr>
        <w:t xml:space="preserve">, </w:t>
      </w:r>
      <w:r w:rsidR="00025022">
        <w:rPr>
          <w:rFonts w:ascii="Times New Roman" w:hAnsi="Times New Roman" w:cs="Times New Roman"/>
          <w:bCs/>
          <w:i/>
          <w:sz w:val="24"/>
          <w:szCs w:val="24"/>
        </w:rPr>
        <w:t>прогноз</w:t>
      </w:r>
      <w:r w:rsidRPr="001270C7">
        <w:rPr>
          <w:rFonts w:ascii="Times New Roman" w:hAnsi="Times New Roman" w:cs="Times New Roman"/>
          <w:bCs/>
          <w:i/>
          <w:sz w:val="24"/>
          <w:szCs w:val="24"/>
        </w:rPr>
        <w:t xml:space="preserve">, </w:t>
      </w:r>
      <w:r w:rsidR="00025022">
        <w:rPr>
          <w:rFonts w:ascii="Times New Roman" w:hAnsi="Times New Roman" w:cs="Times New Roman"/>
          <w:bCs/>
          <w:i/>
          <w:sz w:val="24"/>
          <w:szCs w:val="24"/>
        </w:rPr>
        <w:t>модель</w:t>
      </w:r>
      <w:r w:rsidRPr="001270C7">
        <w:rPr>
          <w:rFonts w:ascii="Times New Roman" w:hAnsi="Times New Roman" w:cs="Times New Roman"/>
          <w:bCs/>
          <w:i/>
          <w:sz w:val="24"/>
          <w:szCs w:val="24"/>
        </w:rPr>
        <w:t xml:space="preserve">, </w:t>
      </w:r>
      <w:r w:rsidR="00025022">
        <w:rPr>
          <w:rFonts w:ascii="Times New Roman" w:hAnsi="Times New Roman" w:cs="Times New Roman"/>
          <w:bCs/>
          <w:i/>
          <w:sz w:val="24"/>
          <w:szCs w:val="24"/>
        </w:rPr>
        <w:t>отрасль молочного скотоводства</w:t>
      </w:r>
      <w:r w:rsidRPr="001270C7">
        <w:rPr>
          <w:rFonts w:ascii="Times New Roman" w:hAnsi="Times New Roman" w:cs="Times New Roman"/>
          <w:bCs/>
          <w:i/>
          <w:sz w:val="24"/>
          <w:szCs w:val="24"/>
        </w:rPr>
        <w:t>,</w:t>
      </w:r>
      <w:r w:rsidR="00E07740" w:rsidRPr="001270C7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="00025022">
        <w:rPr>
          <w:rFonts w:ascii="Times New Roman" w:hAnsi="Times New Roman" w:cs="Times New Roman"/>
          <w:bCs/>
          <w:i/>
          <w:sz w:val="24"/>
          <w:szCs w:val="24"/>
        </w:rPr>
        <w:t>сельское хозяйство</w:t>
      </w:r>
      <w:r w:rsidRPr="001270C7">
        <w:rPr>
          <w:rFonts w:ascii="Times New Roman" w:hAnsi="Times New Roman" w:cs="Times New Roman"/>
          <w:bCs/>
          <w:i/>
          <w:sz w:val="24"/>
          <w:szCs w:val="24"/>
        </w:rPr>
        <w:t>.</w:t>
      </w:r>
    </w:p>
    <w:p w:rsidR="00FD7D6E" w:rsidRDefault="00FD7D6E" w:rsidP="001D62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77CB0" w:rsidRDefault="00177CB0" w:rsidP="0017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A7F95">
        <w:rPr>
          <w:rFonts w:ascii="Times New Roman" w:hAnsi="Times New Roman" w:cs="Times New Roman"/>
          <w:sz w:val="24"/>
          <w:szCs w:val="24"/>
        </w:rPr>
        <w:t xml:space="preserve">Нижегородская область является промышленным регионом, а сельское хозяйство по вкладу в экономику региона занимает далеко не первое место – всего лишь 3,1% или 48640,1 млн. руб. (на 2020 г.). При этом доля отрасли в структуре валовой добавленной стоимости за последние три года ежегодно увеличивается, что обусловлено ростом спроса на сельскохозяйственную продукцию, как со стороны пищевой промышленности, так и со стороны населения.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6A7F95">
        <w:rPr>
          <w:rFonts w:ascii="Times New Roman" w:hAnsi="Times New Roman" w:cs="Times New Roman"/>
          <w:sz w:val="24"/>
          <w:szCs w:val="24"/>
        </w:rPr>
        <w:t>роизводств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6A7F95">
        <w:rPr>
          <w:rFonts w:ascii="Times New Roman" w:hAnsi="Times New Roman" w:cs="Times New Roman"/>
          <w:sz w:val="24"/>
          <w:szCs w:val="24"/>
        </w:rPr>
        <w:t xml:space="preserve"> молока в регионе</w:t>
      </w:r>
      <w:r>
        <w:rPr>
          <w:rFonts w:ascii="Times New Roman" w:hAnsi="Times New Roman" w:cs="Times New Roman"/>
          <w:sz w:val="24"/>
          <w:szCs w:val="24"/>
        </w:rPr>
        <w:t xml:space="preserve"> в последние годы увеличивается, что</w:t>
      </w:r>
      <w:r w:rsidRPr="006A7F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продиктовано, прежде всего, ростом продуктивности коров, при этом </w:t>
      </w:r>
      <w:r w:rsidRPr="006A7F95">
        <w:rPr>
          <w:rFonts w:ascii="Times New Roman" w:hAnsi="Times New Roman" w:cs="Times New Roman"/>
          <w:sz w:val="24"/>
          <w:szCs w:val="24"/>
        </w:rPr>
        <w:t xml:space="preserve">имеется тенденция сокращения </w:t>
      </w:r>
      <w:r>
        <w:rPr>
          <w:rFonts w:ascii="Times New Roman" w:hAnsi="Times New Roman" w:cs="Times New Roman"/>
          <w:sz w:val="24"/>
          <w:szCs w:val="24"/>
        </w:rPr>
        <w:t xml:space="preserve">их </w:t>
      </w:r>
      <w:r w:rsidRPr="006A7F95">
        <w:rPr>
          <w:rFonts w:ascii="Times New Roman" w:hAnsi="Times New Roman" w:cs="Times New Roman"/>
          <w:sz w:val="24"/>
          <w:szCs w:val="24"/>
        </w:rPr>
        <w:t>поголовья (за последние три года поголовье сократилось на 2,84% - до 106,1 тыс. голов, а за последние 20 лет – более чем в 4 раза)</w:t>
      </w:r>
      <w:r>
        <w:rPr>
          <w:rFonts w:ascii="Times New Roman" w:hAnsi="Times New Roman" w:cs="Times New Roman"/>
          <w:sz w:val="24"/>
          <w:szCs w:val="24"/>
        </w:rPr>
        <w:t>. Регион располагает всеми ресурсами для развития молочного скотоводства, и с учетом сложившейся экономической и международной ситуации возникает необходимость такого развития, поскольку это одна из отраслей, которая в условиях внешних угроз позволит обеспечить необходимый уровень продовольственной безопасности</w:t>
      </w:r>
      <w:r w:rsidR="00065B82">
        <w:rPr>
          <w:rFonts w:ascii="Times New Roman" w:hAnsi="Times New Roman" w:cs="Times New Roman"/>
          <w:sz w:val="24"/>
          <w:szCs w:val="24"/>
        </w:rPr>
        <w:t xml:space="preserve"> [2]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77CB0" w:rsidRPr="006A7F95" w:rsidRDefault="00177CB0" w:rsidP="0017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развития отрасли должны быть разработаны соответствующие региональные программы, учитывающие текущее состояние и потребности молочного скотоводства. При этом запланированные результаты реализации данных программ должны основываться на научных методах, включающих в себя моделирование и прогнозирование экономических процессов. Качественные управленческие решения в данном направлении могут быть приняты только на основе планирования и прогнозирования, в связи с этим рассмотрение различных методик прогнозирования экономических показателей, в том числе на примере показателя «производство молока, тыс. тонн» представляется актуальным</w:t>
      </w:r>
      <w:r w:rsidR="00065B82">
        <w:rPr>
          <w:rFonts w:ascii="Times New Roman" w:hAnsi="Times New Roman" w:cs="Times New Roman"/>
          <w:sz w:val="24"/>
          <w:szCs w:val="24"/>
        </w:rPr>
        <w:t xml:space="preserve"> </w:t>
      </w:r>
      <w:r w:rsidR="00065B82" w:rsidRPr="00065B82">
        <w:rPr>
          <w:rFonts w:ascii="Times New Roman" w:hAnsi="Times New Roman" w:cs="Times New Roman"/>
          <w:sz w:val="24"/>
          <w:szCs w:val="24"/>
        </w:rPr>
        <w:t>[</w:t>
      </w:r>
      <w:r w:rsidR="00065B82">
        <w:rPr>
          <w:rFonts w:ascii="Times New Roman" w:hAnsi="Times New Roman" w:cs="Times New Roman"/>
          <w:sz w:val="24"/>
          <w:szCs w:val="24"/>
        </w:rPr>
        <w:t>3</w:t>
      </w:r>
      <w:r w:rsidR="00065B82" w:rsidRPr="00065B82">
        <w:rPr>
          <w:rFonts w:ascii="Times New Roman" w:hAnsi="Times New Roman" w:cs="Times New Roman"/>
          <w:sz w:val="24"/>
          <w:szCs w:val="24"/>
        </w:rPr>
        <w:t>].</w:t>
      </w:r>
    </w:p>
    <w:p w:rsidR="00177CB0" w:rsidRPr="006A7F95" w:rsidRDefault="00177CB0" w:rsidP="0017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Задачи исследования состоят в рассмотрение различных методов прогнозирования объемов производства молока и выбора оптимальных вариантов прогноза.</w:t>
      </w:r>
    </w:p>
    <w:p w:rsidR="00177CB0" w:rsidRPr="006A7F95" w:rsidRDefault="00177CB0" w:rsidP="0017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Прогнозирование осуществлялось с использованием статистических методов, основанных на моделировании процесса с учетом характеристик динамического ряда.</w:t>
      </w:r>
    </w:p>
    <w:p w:rsidR="00177CB0" w:rsidRPr="008B3A36" w:rsidRDefault="00177CB0" w:rsidP="0017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исследования задействовано 45 наблюдений по переменной «произведено молока, тыс. тонн» в поквартальном выражении. Использованы данные </w:t>
      </w:r>
      <w:proofErr w:type="spellStart"/>
      <w:r>
        <w:rPr>
          <w:rFonts w:ascii="Times New Roman" w:hAnsi="Times New Roman" w:cs="Times New Roman"/>
          <w:sz w:val="24"/>
          <w:szCs w:val="24"/>
        </w:rPr>
        <w:t>Нижегородстата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(краткосрочные показатели): </w:t>
      </w:r>
      <w:hyperlink r:id="rId6" w:history="1">
        <w:r w:rsidRPr="00C900EA">
          <w:rPr>
            <w:rStyle w:val="a8"/>
            <w:rFonts w:ascii="Times New Roman" w:hAnsi="Times New Roman" w:cs="Times New Roman"/>
            <w:sz w:val="24"/>
            <w:szCs w:val="24"/>
          </w:rPr>
          <w:t>https://gks.ru/region/ind1122/IssWWW.exe/Stg/givotn.htm</w:t>
        </w:r>
      </w:hyperlink>
      <w:r>
        <w:rPr>
          <w:rFonts w:ascii="Times New Roman" w:hAnsi="Times New Roman" w:cs="Times New Roman"/>
          <w:sz w:val="24"/>
          <w:szCs w:val="24"/>
        </w:rPr>
        <w:t xml:space="preserve">. Для исследования задействован инструментарий приложения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Statistica</w:t>
      </w:r>
      <w:proofErr w:type="spellEnd"/>
      <w:r w:rsidRPr="00867671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77CB0" w:rsidRPr="008B3A36" w:rsidRDefault="00177CB0" w:rsidP="0017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Динамический ряд предварительно графически исследован на стационарность, было выявлено наличие тренда и сезонной составляющей (периодичность колебаний – ежеквартальная). В связи с этим, было принято решение о построении двух </w:t>
      </w:r>
      <w:proofErr w:type="gramStart"/>
      <w:r>
        <w:rPr>
          <w:rFonts w:ascii="Times New Roman" w:hAnsi="Times New Roman" w:cs="Times New Roman"/>
          <w:sz w:val="24"/>
          <w:szCs w:val="24"/>
        </w:rPr>
        <w:t>тренд-сезонных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моделей: аддитивной (далее – </w:t>
      </w:r>
      <w:r>
        <w:rPr>
          <w:rFonts w:ascii="Times New Roman" w:hAnsi="Times New Roman" w:cs="Times New Roman"/>
          <w:sz w:val="24"/>
          <w:szCs w:val="24"/>
          <w:lang w:val="en-US"/>
        </w:rPr>
        <w:t>AD</w:t>
      </w:r>
      <w:r w:rsidRPr="008C4F42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и мультипликативной (далее – </w:t>
      </w:r>
      <w:r>
        <w:rPr>
          <w:rFonts w:ascii="Times New Roman" w:hAnsi="Times New Roman" w:cs="Times New Roman"/>
          <w:sz w:val="24"/>
          <w:szCs w:val="24"/>
          <w:lang w:val="en-US"/>
        </w:rPr>
        <w:t>MULT</w:t>
      </w:r>
      <w:r w:rsidRPr="008C4F42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. Так же в целях сравнения и выбора наиболее подходящей модели построена </w:t>
      </w:r>
      <w:r w:rsidRPr="008B3A36">
        <w:rPr>
          <w:rFonts w:ascii="Times New Roman" w:hAnsi="Times New Roman" w:cs="Times New Roman"/>
          <w:sz w:val="24"/>
          <w:szCs w:val="24"/>
        </w:rPr>
        <w:t>интег</w:t>
      </w:r>
      <w:r>
        <w:rPr>
          <w:rFonts w:ascii="Times New Roman" w:hAnsi="Times New Roman" w:cs="Times New Roman"/>
          <w:sz w:val="24"/>
          <w:szCs w:val="24"/>
        </w:rPr>
        <w:t>рированная модель авторегрессии-</w:t>
      </w:r>
      <w:r w:rsidRPr="008B3A36">
        <w:rPr>
          <w:rFonts w:ascii="Times New Roman" w:hAnsi="Times New Roman" w:cs="Times New Roman"/>
          <w:sz w:val="24"/>
          <w:szCs w:val="24"/>
        </w:rPr>
        <w:t>скользящего среднего</w:t>
      </w:r>
      <w:r>
        <w:rPr>
          <w:rFonts w:ascii="Times New Roman" w:hAnsi="Times New Roman" w:cs="Times New Roman"/>
          <w:sz w:val="24"/>
          <w:szCs w:val="24"/>
        </w:rPr>
        <w:t xml:space="preserve"> (далее – </w:t>
      </w:r>
      <w:r>
        <w:rPr>
          <w:rFonts w:ascii="Times New Roman" w:hAnsi="Times New Roman" w:cs="Times New Roman"/>
          <w:sz w:val="24"/>
          <w:szCs w:val="24"/>
          <w:lang w:val="en-US"/>
        </w:rPr>
        <w:t>ARIMA</w:t>
      </w:r>
      <w:r w:rsidRPr="008B3A36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, имеющая широкое распространение в прогнозировании значений динамических рядов.</w:t>
      </w:r>
    </w:p>
    <w:p w:rsidR="003F71DA" w:rsidRPr="00845940" w:rsidRDefault="00177CB0" w:rsidP="0017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М</w:t>
      </w:r>
      <w:r w:rsidRPr="00111540">
        <w:rPr>
          <w:rFonts w:ascii="Times New Roman" w:hAnsi="Times New Roman" w:cs="Times New Roman"/>
          <w:sz w:val="24"/>
          <w:szCs w:val="24"/>
        </w:rPr>
        <w:t>одел</w:t>
      </w:r>
      <w:r>
        <w:rPr>
          <w:rFonts w:ascii="Times New Roman" w:hAnsi="Times New Roman" w:cs="Times New Roman"/>
          <w:sz w:val="24"/>
          <w:szCs w:val="24"/>
        </w:rPr>
        <w:t xml:space="preserve">ь </w:t>
      </w:r>
      <w:r>
        <w:rPr>
          <w:rFonts w:ascii="Times New Roman" w:hAnsi="Times New Roman" w:cs="Times New Roman"/>
          <w:sz w:val="24"/>
          <w:szCs w:val="24"/>
          <w:lang w:val="en-US"/>
        </w:rPr>
        <w:t>AD</w:t>
      </w:r>
      <w:r>
        <w:rPr>
          <w:rFonts w:ascii="Times New Roman" w:hAnsi="Times New Roman" w:cs="Times New Roman"/>
          <w:sz w:val="24"/>
          <w:szCs w:val="24"/>
        </w:rPr>
        <w:t xml:space="preserve"> построена на основе</w:t>
      </w:r>
      <w:r w:rsidRPr="00111540">
        <w:rPr>
          <w:rFonts w:ascii="Times New Roman" w:hAnsi="Times New Roman" w:cs="Times New Roman"/>
          <w:sz w:val="24"/>
          <w:szCs w:val="24"/>
        </w:rPr>
        <w:t xml:space="preserve"> скользящего среднего с центрированием</w:t>
      </w:r>
      <w:r>
        <w:rPr>
          <w:rFonts w:ascii="Times New Roman" w:hAnsi="Times New Roman" w:cs="Times New Roman"/>
          <w:sz w:val="24"/>
          <w:szCs w:val="24"/>
        </w:rPr>
        <w:t xml:space="preserve">. Для </w:t>
      </w:r>
      <w:r>
        <w:rPr>
          <w:rFonts w:ascii="Times New Roman" w:hAnsi="Times New Roman" w:cs="Times New Roman"/>
          <w:sz w:val="24"/>
          <w:szCs w:val="24"/>
          <w:lang w:val="en-US"/>
        </w:rPr>
        <w:t>AD</w:t>
      </w:r>
      <w:r w:rsidRPr="007C3B4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>
        <w:rPr>
          <w:rFonts w:ascii="Times New Roman" w:hAnsi="Times New Roman" w:cs="Times New Roman"/>
          <w:sz w:val="24"/>
          <w:szCs w:val="24"/>
          <w:lang w:val="en-US"/>
        </w:rPr>
        <w:t>MULT</w:t>
      </w:r>
      <w:r w:rsidRPr="007C3B4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период усреднения – квартал. Для </w:t>
      </w:r>
      <w:r>
        <w:rPr>
          <w:rFonts w:ascii="Times New Roman" w:hAnsi="Times New Roman" w:cs="Times New Roman"/>
          <w:sz w:val="24"/>
          <w:szCs w:val="24"/>
          <w:lang w:val="en-US"/>
        </w:rPr>
        <w:t>ARIMA</w:t>
      </w:r>
      <w:r w:rsidRPr="0086767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модели наиболее оптимальной была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признана </w:t>
      </w:r>
      <w:r w:rsidRPr="00867671">
        <w:rPr>
          <w:rFonts w:ascii="Times New Roman" w:hAnsi="Times New Roman" w:cs="Times New Roman"/>
          <w:sz w:val="24"/>
          <w:szCs w:val="24"/>
        </w:rPr>
        <w:t>ARIMA</w:t>
      </w:r>
      <w:r>
        <w:rPr>
          <w:rFonts w:ascii="Times New Roman" w:hAnsi="Times New Roman" w:cs="Times New Roman"/>
          <w:sz w:val="24"/>
          <w:szCs w:val="24"/>
        </w:rPr>
        <w:t xml:space="preserve"> (4, 1, 0) – с учетом предварительно проведенного анализа автокорреляционных функций. Результаты расчетов представлены в таблице 1.</w:t>
      </w:r>
    </w:p>
    <w:p w:rsidR="00A173A5" w:rsidRPr="003F71DA" w:rsidRDefault="00A173A5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93680C" w:rsidRPr="0093680C" w:rsidRDefault="0093680C" w:rsidP="0093680C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8"/>
        </w:rPr>
      </w:pPr>
      <w:r w:rsidRPr="0093680C">
        <w:rPr>
          <w:rFonts w:ascii="Times New Roman" w:hAnsi="Times New Roman" w:cs="Times New Roman"/>
          <w:i/>
          <w:sz w:val="24"/>
          <w:szCs w:val="28"/>
        </w:rPr>
        <w:t>Таблица 1</w:t>
      </w:r>
    </w:p>
    <w:p w:rsidR="000468DD" w:rsidRPr="00845940" w:rsidRDefault="00177CB0" w:rsidP="003F71D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8"/>
        </w:rPr>
      </w:pPr>
      <w:r w:rsidRPr="00177CB0">
        <w:rPr>
          <w:rFonts w:ascii="Times New Roman" w:hAnsi="Times New Roman" w:cs="Times New Roman"/>
          <w:sz w:val="24"/>
          <w:szCs w:val="28"/>
        </w:rPr>
        <w:t>Результаты моделирования и прогнозирования производства молока в Нижегородской области</w:t>
      </w:r>
    </w:p>
    <w:tbl>
      <w:tblPr>
        <w:tblStyle w:val="2"/>
        <w:tblW w:w="9747" w:type="dxa"/>
        <w:tblLayout w:type="fixed"/>
        <w:tblLook w:val="04A0" w:firstRow="1" w:lastRow="0" w:firstColumn="1" w:lastColumn="0" w:noHBand="0" w:noVBand="1"/>
      </w:tblPr>
      <w:tblGrid>
        <w:gridCol w:w="959"/>
        <w:gridCol w:w="992"/>
        <w:gridCol w:w="1134"/>
        <w:gridCol w:w="1276"/>
        <w:gridCol w:w="1134"/>
        <w:gridCol w:w="1276"/>
        <w:gridCol w:w="1275"/>
        <w:gridCol w:w="1701"/>
      </w:tblGrid>
      <w:tr w:rsidR="00177CB0" w:rsidRPr="00177CB0" w:rsidTr="00177CB0">
        <w:tc>
          <w:tcPr>
            <w:tcW w:w="959" w:type="dxa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Временной период</w:t>
            </w:r>
          </w:p>
        </w:tc>
        <w:tc>
          <w:tcPr>
            <w:tcW w:w="992" w:type="dxa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Значение показателя</w:t>
            </w:r>
          </w:p>
        </w:tc>
        <w:tc>
          <w:tcPr>
            <w:tcW w:w="1134" w:type="dxa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Рассчитанные значения </w:t>
            </w: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AD</w:t>
            </w: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модели</w:t>
            </w:r>
          </w:p>
        </w:tc>
        <w:tc>
          <w:tcPr>
            <w:tcW w:w="1276" w:type="dxa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Отклонение значений AD модели  от исходных данных</w:t>
            </w:r>
          </w:p>
        </w:tc>
        <w:tc>
          <w:tcPr>
            <w:tcW w:w="1134" w:type="dxa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Рассчитанные значения </w:t>
            </w: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MULT</w:t>
            </w: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модели</w:t>
            </w:r>
          </w:p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Отклонение значений MULT модели  от исходных данных</w:t>
            </w:r>
          </w:p>
        </w:tc>
        <w:tc>
          <w:tcPr>
            <w:tcW w:w="1275" w:type="dxa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Рассчитанные значения </w:t>
            </w: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ARIMA</w:t>
            </w: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модели</w:t>
            </w:r>
          </w:p>
        </w:tc>
        <w:tc>
          <w:tcPr>
            <w:tcW w:w="1701" w:type="dxa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Отклонение значений ARIMA модели  от исходных данных</w:t>
            </w:r>
          </w:p>
        </w:tc>
      </w:tr>
      <w:tr w:rsidR="00177CB0" w:rsidRPr="00177CB0" w:rsidTr="00177CB0">
        <w:tc>
          <w:tcPr>
            <w:tcW w:w="959" w:type="dxa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6" w:type="dxa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5" w:type="dxa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701" w:type="dxa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177CB0" w:rsidRPr="00177CB0" w:rsidTr="00177CB0">
        <w:tc>
          <w:tcPr>
            <w:tcW w:w="9747" w:type="dxa"/>
            <w:gridSpan w:val="8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sz w:val="24"/>
                <w:szCs w:val="24"/>
              </w:rPr>
              <w:t>Исходные и расчетные значения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2010 </w:t>
            </w: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139,7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143,769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4,069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143,152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3,452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184,3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171,441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-12,859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170,15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-14,15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179,3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-5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150,9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154,231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3,331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153,435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2,535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154,7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3,8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117,6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127,138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9,538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126,933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9,333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111,6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-6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…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…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…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</w:t>
            </w: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149,7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150,769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1,069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151,168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1,468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148,9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-0,8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178,441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6,441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179,663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7,663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171,4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-0,6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159,1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161,231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2,131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2,9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156,6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-2,5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142,6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134,138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-8,462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134,008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-8,592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139,6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-3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156,3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151,547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-4,753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152,058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-4,242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153,8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-2,5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176,1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179,219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3,119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180,72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4,62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175,6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-0,5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162,7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162,008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-0,692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162,951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0,251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162,2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-0,5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146,8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134,915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-11,885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134,794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-12,006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144,9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-1,9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160,4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152,325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-8,075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152,949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-7,451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159,3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-1,1</w:t>
            </w:r>
          </w:p>
        </w:tc>
      </w:tr>
      <w:tr w:rsidR="00177CB0" w:rsidRPr="00177CB0" w:rsidTr="00177CB0">
        <w:tc>
          <w:tcPr>
            <w:tcW w:w="9747" w:type="dxa"/>
            <w:gridSpan w:val="8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Прогноз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X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179,997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181,777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178,549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X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162,786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163,903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164,934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X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135,693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135,58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148,494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X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153,103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153,839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161,951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X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180,750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182,780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179,833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X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163,522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164,851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166,535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X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136,448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136,322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149,941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177CB0" w:rsidRPr="00177CB0" w:rsidTr="00177CB0">
        <w:tc>
          <w:tcPr>
            <w:tcW w:w="959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кв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992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X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153,857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154,763</w:t>
            </w:r>
          </w:p>
        </w:tc>
        <w:tc>
          <w:tcPr>
            <w:tcW w:w="1276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163,329</w:t>
            </w:r>
          </w:p>
        </w:tc>
        <w:tc>
          <w:tcPr>
            <w:tcW w:w="1701" w:type="dxa"/>
            <w:vAlign w:val="center"/>
          </w:tcPr>
          <w:p w:rsidR="00177CB0" w:rsidRPr="00177CB0" w:rsidRDefault="00177CB0" w:rsidP="00177C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177CB0" w:rsidRPr="00177CB0" w:rsidTr="00177CB0">
        <w:tc>
          <w:tcPr>
            <w:tcW w:w="1951" w:type="dxa"/>
            <w:gridSpan w:val="2"/>
            <w:vAlign w:val="center"/>
          </w:tcPr>
          <w:p w:rsidR="00177CB0" w:rsidRPr="00177CB0" w:rsidRDefault="00177CB0" w:rsidP="00177CB0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Оценка статистической значимости моделей</w:t>
            </w:r>
          </w:p>
        </w:tc>
        <w:tc>
          <w:tcPr>
            <w:tcW w:w="2410" w:type="dxa"/>
            <w:gridSpan w:val="2"/>
            <w:vAlign w:val="center"/>
          </w:tcPr>
          <w:p w:rsidR="00177CB0" w:rsidRPr="00177CB0" w:rsidRDefault="00177CB0" w:rsidP="00177CB0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</w:t>
            </w:r>
            <w:r w:rsidRPr="00177CB0">
              <w:rPr>
                <w:rFonts w:ascii="Times New Roman" w:hAnsi="Times New Roman" w:cs="Times New Roman"/>
                <w:b/>
                <w:sz w:val="24"/>
                <w:szCs w:val="24"/>
              </w:rPr>
              <w:t>-квадрат=0,9</w:t>
            </w:r>
            <w:r w:rsidR="00AB7568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  <w:p w:rsidR="00177CB0" w:rsidRPr="00177CB0" w:rsidRDefault="00177CB0" w:rsidP="00177C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крит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= 4</w:t>
            </w:r>
          </w:p>
          <w:p w:rsidR="00177CB0" w:rsidRPr="00177CB0" w:rsidRDefault="00177CB0" w:rsidP="00177C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F</w:t>
            </w:r>
            <w:proofErr w:type="gram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набл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= 409.81</w:t>
            </w:r>
          </w:p>
          <w:p w:rsidR="00177CB0" w:rsidRPr="00177CB0" w:rsidRDefault="00177CB0" w:rsidP="00177C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F</w:t>
            </w:r>
            <w:proofErr w:type="gram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набл</w:t>
            </w:r>
            <w:proofErr w:type="spellEnd"/>
            <w:r w:rsidRPr="00177CB0">
              <w:rPr>
                <w:rFonts w:ascii="Calibri" w:hAnsi="Calibri" w:cs="Times New Roman"/>
                <w:sz w:val="24"/>
                <w:szCs w:val="24"/>
              </w:rPr>
              <w:t>&gt;</w:t>
            </w: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крит</w:t>
            </w:r>
            <w:proofErr w:type="spellEnd"/>
          </w:p>
          <w:p w:rsidR="00177CB0" w:rsidRPr="00177CB0" w:rsidRDefault="00177CB0" w:rsidP="00177C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Модель </w:t>
            </w:r>
            <w:r w:rsidRPr="00177C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статистически значима</w:t>
            </w:r>
          </w:p>
        </w:tc>
        <w:tc>
          <w:tcPr>
            <w:tcW w:w="2410" w:type="dxa"/>
            <w:gridSpan w:val="2"/>
            <w:vAlign w:val="center"/>
          </w:tcPr>
          <w:p w:rsidR="00177CB0" w:rsidRPr="00177CB0" w:rsidRDefault="00177CB0" w:rsidP="00177CB0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lastRenderedPageBreak/>
              <w:t>R</w:t>
            </w:r>
            <w:r w:rsidRPr="00177CB0">
              <w:rPr>
                <w:rFonts w:ascii="Times New Roman" w:hAnsi="Times New Roman" w:cs="Times New Roman"/>
                <w:b/>
                <w:sz w:val="24"/>
                <w:szCs w:val="24"/>
              </w:rPr>
              <w:t>-квадрат=0,9</w:t>
            </w:r>
            <w:r w:rsidR="00AB7568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  <w:p w:rsidR="00177CB0" w:rsidRPr="00177CB0" w:rsidRDefault="00177CB0" w:rsidP="00177C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крит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= 4</w:t>
            </w:r>
          </w:p>
          <w:p w:rsidR="00177CB0" w:rsidRPr="00177CB0" w:rsidRDefault="00177CB0" w:rsidP="00177C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F</w:t>
            </w:r>
            <w:proofErr w:type="gram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набл</w:t>
            </w:r>
            <w:proofErr w:type="spell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= 367,43</w:t>
            </w:r>
          </w:p>
          <w:p w:rsidR="00177CB0" w:rsidRPr="00177CB0" w:rsidRDefault="00177CB0" w:rsidP="00177C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F</w:t>
            </w:r>
            <w:proofErr w:type="gramEnd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набл</w:t>
            </w:r>
            <w:proofErr w:type="spellEnd"/>
            <w:r w:rsidRPr="00177CB0">
              <w:rPr>
                <w:rFonts w:ascii="Calibri" w:hAnsi="Calibri" w:cs="Times New Roman"/>
                <w:sz w:val="24"/>
                <w:szCs w:val="24"/>
              </w:rPr>
              <w:t>&gt;</w:t>
            </w: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  <w:proofErr w:type="spellStart"/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крит</w:t>
            </w:r>
            <w:proofErr w:type="spellEnd"/>
          </w:p>
          <w:p w:rsidR="00177CB0" w:rsidRPr="00177CB0" w:rsidRDefault="00177CB0" w:rsidP="00177C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Модель </w:t>
            </w:r>
            <w:r w:rsidRPr="00177C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статистически значима</w:t>
            </w:r>
          </w:p>
        </w:tc>
        <w:tc>
          <w:tcPr>
            <w:tcW w:w="2976" w:type="dxa"/>
            <w:gridSpan w:val="2"/>
            <w:vAlign w:val="center"/>
          </w:tcPr>
          <w:p w:rsidR="00177CB0" w:rsidRPr="00177CB0" w:rsidRDefault="00177CB0" w:rsidP="00177CB0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R-квадрат=0,97</w:t>
            </w:r>
          </w:p>
          <w:p w:rsidR="00177CB0" w:rsidRPr="00177CB0" w:rsidRDefault="00177CB0" w:rsidP="00177C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-значения параметров уравнения ˂0,05</w:t>
            </w:r>
          </w:p>
          <w:p w:rsidR="00177CB0" w:rsidRPr="00177CB0" w:rsidRDefault="00177CB0" w:rsidP="00177C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Тестовая статистика по тестам на нормальность и </w:t>
            </w:r>
            <w:r w:rsidRPr="00177C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на автокорреляцию остатков </w:t>
            </w:r>
            <w:r w:rsidRPr="00177CB0">
              <w:rPr>
                <w:rFonts w:ascii="Calibri" w:hAnsi="Calibri" w:cs="Times New Roman"/>
                <w:sz w:val="24"/>
                <w:szCs w:val="24"/>
              </w:rPr>
              <w:t>&gt;</w:t>
            </w: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 xml:space="preserve"> 0,05</w:t>
            </w:r>
          </w:p>
          <w:p w:rsidR="00177CB0" w:rsidRPr="00177CB0" w:rsidRDefault="00177CB0" w:rsidP="00177C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7CB0">
              <w:rPr>
                <w:rFonts w:ascii="Times New Roman" w:hAnsi="Times New Roman" w:cs="Times New Roman"/>
                <w:sz w:val="24"/>
                <w:szCs w:val="24"/>
              </w:rPr>
              <w:t>Модель статистически значима</w:t>
            </w:r>
          </w:p>
        </w:tc>
      </w:tr>
    </w:tbl>
    <w:p w:rsidR="003F71DA" w:rsidRDefault="00177CB0" w:rsidP="003F71DA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177CB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Источник: составлено авторами в приложении Statistica10</w:t>
      </w:r>
    </w:p>
    <w:p w:rsidR="003F71DA" w:rsidRPr="00FD7D6E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9B2455" w:rsidRDefault="00177CB0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В графах 4, 6 и 8 жирным курсивом отмечены минимальные значения отклонений смоделированных расчетных значений от исходных значений показателя. Таким образом, мы можем наблюдать, что самые низкие отклонения от показателя имеет </w:t>
      </w:r>
      <w:r>
        <w:rPr>
          <w:rFonts w:ascii="Times New Roman" w:hAnsi="Times New Roman" w:cs="Times New Roman"/>
          <w:sz w:val="24"/>
          <w:szCs w:val="24"/>
          <w:lang w:val="en-US"/>
        </w:rPr>
        <w:t>ARIMA</w:t>
      </w:r>
      <w:r w:rsidRPr="00A60C6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модель. </w:t>
      </w:r>
      <w:r w:rsidRPr="00A60C61">
        <w:rPr>
          <w:rFonts w:ascii="Times New Roman" w:hAnsi="Times New Roman" w:cs="Times New Roman"/>
          <w:sz w:val="24"/>
          <w:szCs w:val="24"/>
        </w:rPr>
        <w:t xml:space="preserve">На графике (рис. 1) наглядно представлены расчетные значения моделирования по рассмотренным методикам, </w:t>
      </w:r>
      <w:r>
        <w:rPr>
          <w:rFonts w:ascii="Times New Roman" w:hAnsi="Times New Roman" w:cs="Times New Roman"/>
          <w:sz w:val="24"/>
          <w:szCs w:val="24"/>
        </w:rPr>
        <w:t xml:space="preserve">они </w:t>
      </w:r>
      <w:r w:rsidRPr="00A60C61">
        <w:rPr>
          <w:rFonts w:ascii="Times New Roman" w:hAnsi="Times New Roman" w:cs="Times New Roman"/>
          <w:sz w:val="24"/>
          <w:szCs w:val="24"/>
        </w:rPr>
        <w:t xml:space="preserve">сопоставлены с исходными значениями уровней динамического ряда. </w:t>
      </w:r>
      <w:r>
        <w:rPr>
          <w:rFonts w:ascii="Times New Roman" w:hAnsi="Times New Roman" w:cs="Times New Roman"/>
          <w:sz w:val="24"/>
          <w:szCs w:val="24"/>
        </w:rPr>
        <w:t>Р</w:t>
      </w:r>
      <w:r w:rsidRPr="00A60C61">
        <w:rPr>
          <w:rFonts w:ascii="Times New Roman" w:hAnsi="Times New Roman" w:cs="Times New Roman"/>
          <w:sz w:val="24"/>
          <w:szCs w:val="24"/>
        </w:rPr>
        <w:t xml:space="preserve">езультаты расчетов по </w:t>
      </w:r>
      <w:r>
        <w:rPr>
          <w:rFonts w:ascii="Times New Roman" w:hAnsi="Times New Roman" w:cs="Times New Roman"/>
          <w:sz w:val="24"/>
          <w:szCs w:val="24"/>
          <w:lang w:val="en-US"/>
        </w:rPr>
        <w:t>AD</w:t>
      </w:r>
      <w:r w:rsidRPr="00A60C61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  <w:lang w:val="en-US"/>
        </w:rPr>
        <w:t>MULT</w:t>
      </w:r>
      <w:r w:rsidRPr="00A60C61">
        <w:rPr>
          <w:rFonts w:ascii="Times New Roman" w:hAnsi="Times New Roman" w:cs="Times New Roman"/>
          <w:sz w:val="24"/>
          <w:szCs w:val="24"/>
        </w:rPr>
        <w:t xml:space="preserve"> модел</w:t>
      </w:r>
      <w:r>
        <w:rPr>
          <w:rFonts w:ascii="Times New Roman" w:hAnsi="Times New Roman" w:cs="Times New Roman"/>
          <w:sz w:val="24"/>
          <w:szCs w:val="24"/>
        </w:rPr>
        <w:t>ям</w:t>
      </w:r>
      <w:r w:rsidRPr="00A60C61">
        <w:rPr>
          <w:rFonts w:ascii="Times New Roman" w:hAnsi="Times New Roman" w:cs="Times New Roman"/>
          <w:sz w:val="24"/>
          <w:szCs w:val="24"/>
        </w:rPr>
        <w:t xml:space="preserve"> схожи, различаются незначительно. Модель </w:t>
      </w:r>
      <w:r>
        <w:rPr>
          <w:rFonts w:ascii="Times New Roman" w:hAnsi="Times New Roman" w:cs="Times New Roman"/>
          <w:sz w:val="24"/>
          <w:szCs w:val="24"/>
          <w:lang w:val="en-US"/>
        </w:rPr>
        <w:t>AD</w:t>
      </w:r>
      <w:r w:rsidRPr="00A60C61">
        <w:rPr>
          <w:rFonts w:ascii="Times New Roman" w:hAnsi="Times New Roman" w:cs="Times New Roman"/>
          <w:sz w:val="24"/>
          <w:szCs w:val="24"/>
        </w:rPr>
        <w:t xml:space="preserve"> объясняет 91% общей вариации уровней временного ряда, </w:t>
      </w:r>
      <w:r w:rsidRPr="003E48AA">
        <w:rPr>
          <w:rFonts w:ascii="Times New Roman" w:hAnsi="Times New Roman" w:cs="Times New Roman"/>
          <w:sz w:val="24"/>
          <w:szCs w:val="24"/>
        </w:rPr>
        <w:t>MULT</w:t>
      </w:r>
      <w:r w:rsidRPr="00A60C61">
        <w:rPr>
          <w:rFonts w:ascii="Times New Roman" w:hAnsi="Times New Roman" w:cs="Times New Roman"/>
          <w:sz w:val="24"/>
          <w:szCs w:val="24"/>
        </w:rPr>
        <w:t xml:space="preserve"> – 90%. </w:t>
      </w:r>
      <w:r>
        <w:rPr>
          <w:rFonts w:ascii="Times New Roman" w:hAnsi="Times New Roman" w:cs="Times New Roman"/>
          <w:sz w:val="24"/>
          <w:szCs w:val="24"/>
        </w:rPr>
        <w:t xml:space="preserve">Все модели являются статистически значимыми. </w:t>
      </w:r>
      <w:r w:rsidRPr="00A60C61">
        <w:rPr>
          <w:rFonts w:ascii="Times New Roman" w:hAnsi="Times New Roman" w:cs="Times New Roman"/>
          <w:sz w:val="24"/>
          <w:szCs w:val="24"/>
        </w:rPr>
        <w:t>Наилучшим образом динамику показателя описывает модель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60C61">
        <w:rPr>
          <w:rFonts w:ascii="Times New Roman" w:hAnsi="Times New Roman" w:cs="Times New Roman"/>
          <w:sz w:val="24"/>
          <w:szCs w:val="24"/>
        </w:rPr>
        <w:t>ARIMA (объясняет 97% вариации показателя «производство молока»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A60C6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В связи с этим можно прийти к выводу, что более точный прогноз в нашем случае может быть построен на основе методики Бокса-Д</w:t>
      </w:r>
      <w:r w:rsidRPr="00A60C61">
        <w:rPr>
          <w:rFonts w:ascii="Times New Roman" w:hAnsi="Times New Roman" w:cs="Times New Roman"/>
          <w:sz w:val="24"/>
          <w:szCs w:val="24"/>
        </w:rPr>
        <w:t>женкинса</w:t>
      </w:r>
      <w:r>
        <w:rPr>
          <w:rFonts w:ascii="Times New Roman" w:hAnsi="Times New Roman" w:cs="Times New Roman"/>
          <w:sz w:val="24"/>
          <w:szCs w:val="24"/>
        </w:rPr>
        <w:t>.</w:t>
      </w:r>
      <w:r w:rsidR="0021250A" w:rsidRPr="00FD7D6E">
        <w:rPr>
          <w:rFonts w:ascii="Times New Roman" w:hAnsi="Times New Roman" w:cs="Times New Roman"/>
          <w:sz w:val="24"/>
          <w:szCs w:val="28"/>
        </w:rPr>
        <w:t xml:space="preserve"> </w:t>
      </w:r>
    </w:p>
    <w:p w:rsidR="00F800B7" w:rsidRDefault="00177CB0" w:rsidP="00C1400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2920D80" wp14:editId="181CD400">
            <wp:extent cx="6120130" cy="2965189"/>
            <wp:effectExtent l="0" t="0" r="0" b="6985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93680C" w:rsidRPr="00177CB0" w:rsidRDefault="00F800B7" w:rsidP="000A1D0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8"/>
        </w:rPr>
      </w:pPr>
      <w:r w:rsidRPr="000A1D00">
        <w:rPr>
          <w:rFonts w:ascii="Times New Roman" w:hAnsi="Times New Roman" w:cs="Times New Roman"/>
          <w:sz w:val="24"/>
          <w:szCs w:val="28"/>
        </w:rPr>
        <w:t>Рис</w:t>
      </w:r>
      <w:r w:rsidR="000A1D00">
        <w:rPr>
          <w:rFonts w:ascii="Times New Roman" w:hAnsi="Times New Roman" w:cs="Times New Roman"/>
          <w:sz w:val="24"/>
          <w:szCs w:val="28"/>
        </w:rPr>
        <w:t>унок 1</w:t>
      </w:r>
      <w:r w:rsidR="0093680C">
        <w:rPr>
          <w:rFonts w:ascii="Times New Roman" w:hAnsi="Times New Roman" w:cs="Times New Roman"/>
          <w:sz w:val="24"/>
          <w:szCs w:val="28"/>
        </w:rPr>
        <w:t>.</w:t>
      </w:r>
      <w:r w:rsidR="000A1D00">
        <w:rPr>
          <w:rFonts w:ascii="Times New Roman" w:hAnsi="Times New Roman" w:cs="Times New Roman"/>
          <w:sz w:val="24"/>
          <w:szCs w:val="28"/>
        </w:rPr>
        <w:t xml:space="preserve"> </w:t>
      </w:r>
      <w:r w:rsidR="00177CB0" w:rsidRPr="00177CB0">
        <w:rPr>
          <w:rFonts w:ascii="Times New Roman" w:hAnsi="Times New Roman" w:cs="Times New Roman"/>
          <w:sz w:val="24"/>
          <w:szCs w:val="28"/>
        </w:rPr>
        <w:t>Сравнение результатов различных методов моделирования с исходными з</w:t>
      </w:r>
      <w:r w:rsidR="00177CB0">
        <w:rPr>
          <w:rFonts w:ascii="Times New Roman" w:hAnsi="Times New Roman" w:cs="Times New Roman"/>
          <w:sz w:val="24"/>
          <w:szCs w:val="28"/>
        </w:rPr>
        <w:t>начениями уровней ряда динамики</w:t>
      </w:r>
    </w:p>
    <w:p w:rsidR="00F800B7" w:rsidRPr="00177CB0" w:rsidRDefault="0093680C" w:rsidP="000A1D0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И</w:t>
      </w:r>
      <w:r w:rsidR="00177CB0">
        <w:rPr>
          <w:rFonts w:ascii="Times New Roman" w:hAnsi="Times New Roman" w:cs="Times New Roman"/>
          <w:sz w:val="24"/>
          <w:szCs w:val="28"/>
        </w:rPr>
        <w:t>сточник: составлено авторами</w:t>
      </w:r>
    </w:p>
    <w:p w:rsidR="001F049F" w:rsidRDefault="001F049F" w:rsidP="00F979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1F049F" w:rsidRPr="00FD7D6E" w:rsidRDefault="00177CB0" w:rsidP="00F979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На реализуемость прогнозных значений могут оказать влияние различные детерминанты, поэтому в дальнейшем не следует исключать отклонений фактических значений от прогноза в большую или меньшую сторону</w:t>
      </w:r>
      <w:r w:rsidR="00065B82">
        <w:rPr>
          <w:rFonts w:ascii="Times New Roman" w:hAnsi="Times New Roman" w:cs="Times New Roman"/>
          <w:sz w:val="24"/>
          <w:szCs w:val="24"/>
        </w:rPr>
        <w:t xml:space="preserve"> [4]</w:t>
      </w:r>
      <w:r>
        <w:rPr>
          <w:rFonts w:ascii="Times New Roman" w:hAnsi="Times New Roman" w:cs="Times New Roman"/>
          <w:sz w:val="24"/>
          <w:szCs w:val="24"/>
        </w:rPr>
        <w:t>. В связи с этим по полученным расчетам можно выбрать границы прогнозирования, т.е. взять минимальные и максимальные значения и сформировать комбинированные прогнозы – оптимист</w:t>
      </w:r>
      <w:r w:rsidR="00065B82">
        <w:rPr>
          <w:rFonts w:ascii="Times New Roman" w:hAnsi="Times New Roman" w:cs="Times New Roman"/>
          <w:sz w:val="24"/>
          <w:szCs w:val="24"/>
        </w:rPr>
        <w:t>ичный и пессимистичный (рис. 2) [1].</w:t>
      </w:r>
    </w:p>
    <w:p w:rsidR="00177CB0" w:rsidRDefault="00177CB0" w:rsidP="00177CB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1BCDC3F1" wp14:editId="3FE2B238">
            <wp:extent cx="5486400" cy="3200400"/>
            <wp:effectExtent l="0" t="0" r="0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667922" w:rsidRPr="00177CB0" w:rsidRDefault="00667922" w:rsidP="0066792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8"/>
        </w:rPr>
      </w:pPr>
      <w:r w:rsidRPr="000A1D00">
        <w:rPr>
          <w:rFonts w:ascii="Times New Roman" w:hAnsi="Times New Roman" w:cs="Times New Roman"/>
          <w:sz w:val="24"/>
          <w:szCs w:val="28"/>
        </w:rPr>
        <w:t>Рис</w:t>
      </w:r>
      <w:r>
        <w:rPr>
          <w:rFonts w:ascii="Times New Roman" w:hAnsi="Times New Roman" w:cs="Times New Roman"/>
          <w:sz w:val="24"/>
          <w:szCs w:val="28"/>
        </w:rPr>
        <w:t xml:space="preserve">унок </w:t>
      </w:r>
      <w:r w:rsidRPr="00CD0FDF">
        <w:rPr>
          <w:rFonts w:ascii="Times New Roman" w:hAnsi="Times New Roman" w:cs="Times New Roman"/>
          <w:sz w:val="24"/>
          <w:szCs w:val="28"/>
        </w:rPr>
        <w:t>2</w:t>
      </w:r>
      <w:r>
        <w:rPr>
          <w:rFonts w:ascii="Times New Roman" w:hAnsi="Times New Roman" w:cs="Times New Roman"/>
          <w:sz w:val="24"/>
          <w:szCs w:val="28"/>
        </w:rPr>
        <w:t xml:space="preserve">. </w:t>
      </w:r>
      <w:r w:rsidRPr="00667922">
        <w:rPr>
          <w:rFonts w:ascii="Times New Roman" w:hAnsi="Times New Roman" w:cs="Times New Roman"/>
          <w:sz w:val="24"/>
          <w:szCs w:val="28"/>
        </w:rPr>
        <w:t>Варианты</w:t>
      </w:r>
      <w:r w:rsidRPr="00CD0FDF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комбинированных</w:t>
      </w:r>
      <w:r w:rsidRPr="00667922">
        <w:rPr>
          <w:rFonts w:ascii="Times New Roman" w:hAnsi="Times New Roman" w:cs="Times New Roman"/>
          <w:sz w:val="24"/>
          <w:szCs w:val="28"/>
        </w:rPr>
        <w:t xml:space="preserve"> прогнозов</w:t>
      </w:r>
    </w:p>
    <w:p w:rsidR="00667922" w:rsidRPr="00CD0FDF" w:rsidRDefault="00667922" w:rsidP="0066792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8"/>
        </w:rPr>
        <w:t>Источник: составлено авторами</w:t>
      </w:r>
    </w:p>
    <w:p w:rsidR="00376383" w:rsidRDefault="00376383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D0FDF" w:rsidRDefault="00CD0FDF" w:rsidP="00CD0F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сопоставляя полученные прогнозные значения с аналогичными периодами прошлых лет, мы можем спрогнозировать увеличение объемов производства молока</w:t>
      </w:r>
      <w:r w:rsidRPr="00461A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Нижегородской области (по всем реализованным методикам). Сформированные прогнозные значения комбинированных прогнозов (оптимистичного и пессимистичного) так же показывают рост показателя.</w:t>
      </w:r>
    </w:p>
    <w:p w:rsidR="003F71DA" w:rsidRDefault="00CD0FDF" w:rsidP="00CD0F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В заключение следует отметить, что используемые методы подходят для прогнозирования различных показателей по нестационарным динамическим рядам, включающим сезонную компоненту, т.е. для прогнозирования на краткосрочную – среднесрочную перспективу с периодами прогнозирования – неделя, месяц, квартал, полугодие.</w:t>
      </w:r>
    </w:p>
    <w:p w:rsid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A377D8" w:rsidRPr="00A24C0D" w:rsidRDefault="00A173A5" w:rsidP="003D146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Библиографический список</w:t>
      </w:r>
    </w:p>
    <w:p w:rsid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1. </w:t>
      </w:r>
      <w:proofErr w:type="spellStart"/>
      <w:r w:rsidR="00CD0FDF" w:rsidRPr="00405B74">
        <w:rPr>
          <w:rFonts w:ascii="Times New Roman" w:hAnsi="Times New Roman" w:cs="Times New Roman"/>
          <w:sz w:val="24"/>
          <w:szCs w:val="24"/>
        </w:rPr>
        <w:t>Буньковский</w:t>
      </w:r>
      <w:proofErr w:type="spellEnd"/>
      <w:r w:rsidR="00CD0FDF" w:rsidRPr="00405B74">
        <w:rPr>
          <w:rFonts w:ascii="Times New Roman" w:hAnsi="Times New Roman" w:cs="Times New Roman"/>
          <w:sz w:val="24"/>
          <w:szCs w:val="24"/>
        </w:rPr>
        <w:t xml:space="preserve"> Д.В.</w:t>
      </w:r>
      <w:r w:rsidR="00CD0FDF">
        <w:rPr>
          <w:rFonts w:ascii="Times New Roman" w:hAnsi="Times New Roman" w:cs="Times New Roman"/>
          <w:sz w:val="24"/>
          <w:szCs w:val="24"/>
        </w:rPr>
        <w:t xml:space="preserve"> </w:t>
      </w:r>
      <w:r w:rsidR="00CD0FDF" w:rsidRPr="00405B74">
        <w:rPr>
          <w:rFonts w:ascii="Times New Roman" w:hAnsi="Times New Roman" w:cs="Times New Roman"/>
          <w:sz w:val="24"/>
          <w:szCs w:val="24"/>
        </w:rPr>
        <w:t>Прогнозирование эффекта от взаимодействия крупного и малого предпринимательства в нефтепереработке и нефтехимии</w:t>
      </w:r>
      <w:r w:rsidR="00CD0FDF">
        <w:rPr>
          <w:rFonts w:ascii="Times New Roman" w:hAnsi="Times New Roman" w:cs="Times New Roman"/>
          <w:sz w:val="24"/>
          <w:szCs w:val="24"/>
        </w:rPr>
        <w:t xml:space="preserve"> </w:t>
      </w:r>
      <w:r w:rsidR="00CD0FDF" w:rsidRPr="00405B74">
        <w:rPr>
          <w:rFonts w:ascii="Times New Roman" w:hAnsi="Times New Roman" w:cs="Times New Roman"/>
          <w:sz w:val="24"/>
          <w:szCs w:val="24"/>
        </w:rPr>
        <w:t>// Современная экономика: проблемы и решения. 2013. № 9 (45). С. 126-132.</w:t>
      </w:r>
    </w:p>
    <w:p w:rsidR="003F71DA" w:rsidRP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2. </w:t>
      </w:r>
      <w:r w:rsidR="00CD0FDF" w:rsidRPr="005F7953">
        <w:rPr>
          <w:rFonts w:ascii="Times New Roman" w:hAnsi="Times New Roman" w:cs="Times New Roman"/>
          <w:sz w:val="24"/>
          <w:szCs w:val="24"/>
        </w:rPr>
        <w:t>Кудряшова Ю.Н., Заводчиков Н.Д. Проблемы формирования и развития аграрного рынка // В сборнике: Стабилизация аграрного производства в рыночных условиях. Межвузовский сборник научных трудов. Самарская государственная сельскохозяйственная академия. Самара, 2001. С. 32-35.</w:t>
      </w:r>
    </w:p>
    <w:p w:rsidR="003F71DA" w:rsidRP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3. </w:t>
      </w:r>
      <w:r w:rsidR="00CD0FDF" w:rsidRPr="00493EFC">
        <w:rPr>
          <w:rFonts w:ascii="Times New Roman" w:hAnsi="Times New Roman" w:cs="Times New Roman"/>
          <w:sz w:val="24"/>
          <w:szCs w:val="24"/>
        </w:rPr>
        <w:t xml:space="preserve">Мамай О.В., </w:t>
      </w:r>
      <w:proofErr w:type="spellStart"/>
      <w:r w:rsidR="00CD0FDF" w:rsidRPr="00493EFC">
        <w:rPr>
          <w:rFonts w:ascii="Times New Roman" w:hAnsi="Times New Roman" w:cs="Times New Roman"/>
          <w:sz w:val="24"/>
          <w:szCs w:val="24"/>
        </w:rPr>
        <w:t>Паршова</w:t>
      </w:r>
      <w:proofErr w:type="spellEnd"/>
      <w:r w:rsidR="00CD0FDF" w:rsidRPr="00493EFC">
        <w:rPr>
          <w:rFonts w:ascii="Times New Roman" w:hAnsi="Times New Roman" w:cs="Times New Roman"/>
          <w:sz w:val="24"/>
          <w:szCs w:val="24"/>
        </w:rPr>
        <w:t xml:space="preserve"> В., Липатова Н.Н., </w:t>
      </w:r>
      <w:proofErr w:type="spellStart"/>
      <w:r w:rsidR="00CD0FDF" w:rsidRPr="00493EFC">
        <w:rPr>
          <w:rFonts w:ascii="Times New Roman" w:hAnsi="Times New Roman" w:cs="Times New Roman"/>
          <w:sz w:val="24"/>
          <w:szCs w:val="24"/>
        </w:rPr>
        <w:t>Газизьянова</w:t>
      </w:r>
      <w:proofErr w:type="spellEnd"/>
      <w:r w:rsidR="00CD0FDF" w:rsidRPr="00493EFC">
        <w:rPr>
          <w:rFonts w:ascii="Times New Roman" w:hAnsi="Times New Roman" w:cs="Times New Roman"/>
          <w:sz w:val="24"/>
          <w:szCs w:val="24"/>
        </w:rPr>
        <w:t xml:space="preserve"> Ю.Ю., Мамай И.Н. Система эффективного управления аграрным сектором экономики в современных условиях // В сборнике: Сельское хозяйство и продовольственная безопасность: технологии, инновации, рынки, кадры. Научные труды международной научно-практической конференции, посвященной 100-летию аграрной науки, образования и просвещения в Среднем Поволжье. </w:t>
      </w:r>
      <w:r w:rsidR="00CD0FDF" w:rsidRPr="00CD0FDF">
        <w:rPr>
          <w:rFonts w:ascii="Times New Roman" w:hAnsi="Times New Roman" w:cs="Times New Roman"/>
          <w:sz w:val="24"/>
          <w:szCs w:val="24"/>
        </w:rPr>
        <w:t>2019. С. 711-715.</w:t>
      </w:r>
    </w:p>
    <w:p w:rsidR="003F71DA" w:rsidRP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4. </w:t>
      </w:r>
      <w:r w:rsidR="00CD0FDF" w:rsidRPr="005F7953">
        <w:rPr>
          <w:rFonts w:ascii="Times New Roman" w:hAnsi="Times New Roman" w:cs="Times New Roman"/>
          <w:sz w:val="24"/>
          <w:szCs w:val="24"/>
        </w:rPr>
        <w:t xml:space="preserve">Шаталов М.А. Формирование инструментария мониторинга и прогнозирования устойчивого развития региональных экономических систем // </w:t>
      </w:r>
      <w:r w:rsidR="00CD0FDF" w:rsidRPr="005F7953">
        <w:rPr>
          <w:rFonts w:ascii="Times New Roman" w:hAnsi="Times New Roman" w:cs="Times New Roman"/>
          <w:sz w:val="24"/>
          <w:szCs w:val="24"/>
          <w:lang w:val="en-US"/>
        </w:rPr>
        <w:t>Russian</w:t>
      </w:r>
      <w:r w:rsidR="00CD0FDF" w:rsidRPr="005F7953">
        <w:rPr>
          <w:rFonts w:ascii="Times New Roman" w:hAnsi="Times New Roman" w:cs="Times New Roman"/>
          <w:sz w:val="24"/>
          <w:szCs w:val="24"/>
        </w:rPr>
        <w:t xml:space="preserve"> </w:t>
      </w:r>
      <w:r w:rsidR="00CD0FDF" w:rsidRPr="005F7953">
        <w:rPr>
          <w:rFonts w:ascii="Times New Roman" w:hAnsi="Times New Roman" w:cs="Times New Roman"/>
          <w:sz w:val="24"/>
          <w:szCs w:val="24"/>
          <w:lang w:val="en-US"/>
        </w:rPr>
        <w:t>Journal</w:t>
      </w:r>
      <w:r w:rsidR="00CD0FDF" w:rsidRPr="005F7953">
        <w:rPr>
          <w:rFonts w:ascii="Times New Roman" w:hAnsi="Times New Roman" w:cs="Times New Roman"/>
          <w:sz w:val="24"/>
          <w:szCs w:val="24"/>
        </w:rPr>
        <w:t xml:space="preserve"> </w:t>
      </w:r>
      <w:r w:rsidR="00CD0FDF" w:rsidRPr="005F7953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CD0FDF" w:rsidRPr="005F7953">
        <w:rPr>
          <w:rFonts w:ascii="Times New Roman" w:hAnsi="Times New Roman" w:cs="Times New Roman"/>
          <w:sz w:val="24"/>
          <w:szCs w:val="24"/>
        </w:rPr>
        <w:t xml:space="preserve"> </w:t>
      </w:r>
      <w:r w:rsidR="00CD0FDF" w:rsidRPr="005F7953">
        <w:rPr>
          <w:rFonts w:ascii="Times New Roman" w:hAnsi="Times New Roman" w:cs="Times New Roman"/>
          <w:sz w:val="24"/>
          <w:szCs w:val="24"/>
          <w:lang w:val="en-US"/>
        </w:rPr>
        <w:t>Management</w:t>
      </w:r>
      <w:r w:rsidR="00CD0FDF" w:rsidRPr="005F7953">
        <w:rPr>
          <w:rFonts w:ascii="Times New Roman" w:hAnsi="Times New Roman" w:cs="Times New Roman"/>
          <w:sz w:val="24"/>
          <w:szCs w:val="24"/>
        </w:rPr>
        <w:t xml:space="preserve">. </w:t>
      </w:r>
      <w:r w:rsidR="00CD0FDF" w:rsidRPr="005F7953">
        <w:rPr>
          <w:rFonts w:ascii="Times New Roman" w:hAnsi="Times New Roman" w:cs="Times New Roman"/>
          <w:sz w:val="24"/>
          <w:szCs w:val="24"/>
          <w:lang w:val="en-US"/>
        </w:rPr>
        <w:t xml:space="preserve">2017. Т. 5. </w:t>
      </w:r>
      <w:proofErr w:type="gramStart"/>
      <w:r w:rsidR="00CD0FDF" w:rsidRPr="005F7953">
        <w:rPr>
          <w:rFonts w:ascii="Times New Roman" w:hAnsi="Times New Roman" w:cs="Times New Roman"/>
          <w:sz w:val="24"/>
          <w:szCs w:val="24"/>
          <w:lang w:val="en-US"/>
        </w:rPr>
        <w:t>№ 3.</w:t>
      </w:r>
      <w:proofErr w:type="gramEnd"/>
      <w:r w:rsidR="00CD0FDF" w:rsidRPr="005F795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CD0FDF" w:rsidRPr="005F7953">
        <w:rPr>
          <w:rFonts w:ascii="Times New Roman" w:hAnsi="Times New Roman" w:cs="Times New Roman"/>
          <w:sz w:val="24"/>
          <w:szCs w:val="24"/>
          <w:lang w:val="en-US"/>
        </w:rPr>
        <w:t>С. 364</w:t>
      </w:r>
      <w:proofErr w:type="gramEnd"/>
      <w:r w:rsidR="00CD0FDF" w:rsidRPr="005F7953">
        <w:rPr>
          <w:rFonts w:ascii="Times New Roman" w:hAnsi="Times New Roman" w:cs="Times New Roman"/>
          <w:sz w:val="24"/>
          <w:szCs w:val="24"/>
          <w:lang w:val="en-US"/>
        </w:rPr>
        <w:t>-371.</w:t>
      </w:r>
    </w:p>
    <w:p w:rsidR="00DB518E" w:rsidRDefault="00DB518E" w:rsidP="00EA277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DB518E" w:rsidRPr="00E26DFD" w:rsidRDefault="00DB518E" w:rsidP="00DB518E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E26DF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Информация об авторах</w:t>
      </w:r>
    </w:p>
    <w:p w:rsidR="00DB518E" w:rsidRDefault="00DB518E" w:rsidP="0048195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</w:rPr>
        <w:lastRenderedPageBreak/>
        <w:t>Терехова Юлия Сергее</w:t>
      </w:r>
      <w:r w:rsidR="00EC4033">
        <w:rPr>
          <w:rFonts w:ascii="Times New Roman" w:eastAsia="Calibri" w:hAnsi="Times New Roman" w:cs="Times New Roman"/>
          <w:sz w:val="24"/>
          <w:szCs w:val="24"/>
        </w:rPr>
        <w:t>вна</w:t>
      </w:r>
      <w:r w:rsidRPr="00902F8C">
        <w:rPr>
          <w:rFonts w:ascii="Times New Roman" w:eastAsia="Calibri" w:hAnsi="Times New Roman" w:cs="Times New Roman"/>
          <w:sz w:val="24"/>
          <w:szCs w:val="24"/>
        </w:rPr>
        <w:t xml:space="preserve"> (Россия, Нижний Новгород) – </w:t>
      </w:r>
      <w:r>
        <w:rPr>
          <w:rFonts w:ascii="Times New Roman" w:eastAsia="Calibri" w:hAnsi="Times New Roman" w:cs="Times New Roman"/>
          <w:sz w:val="24"/>
          <w:szCs w:val="24"/>
        </w:rPr>
        <w:t>студент</w:t>
      </w:r>
      <w:r w:rsidRPr="00902F8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</w:rPr>
        <w:t>Г</w:t>
      </w:r>
      <w:r w:rsidRPr="00902F8C">
        <w:rPr>
          <w:rFonts w:ascii="Times New Roman" w:eastAsia="Calibri" w:hAnsi="Times New Roman" w:cs="Times New Roman"/>
          <w:sz w:val="24"/>
          <w:szCs w:val="24"/>
        </w:rPr>
        <w:t>осударственное бюджетное образовательное учреждение высшего образования «</w:t>
      </w:r>
      <w:r w:rsidR="00481956" w:rsidRPr="00481956">
        <w:rPr>
          <w:rFonts w:ascii="Times New Roman" w:eastAsia="Calibri" w:hAnsi="Times New Roman" w:cs="Times New Roman"/>
          <w:sz w:val="24"/>
          <w:szCs w:val="24"/>
        </w:rPr>
        <w:t>Нижегородский государственный</w:t>
      </w:r>
      <w:r w:rsidR="0048195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81956" w:rsidRPr="00481956">
        <w:rPr>
          <w:rFonts w:ascii="Times New Roman" w:eastAsia="Calibri" w:hAnsi="Times New Roman" w:cs="Times New Roman"/>
          <w:sz w:val="24"/>
          <w:szCs w:val="24"/>
        </w:rPr>
        <w:t>инженерно-экономический университет</w:t>
      </w:r>
      <w:r w:rsidR="00481956">
        <w:rPr>
          <w:rFonts w:ascii="Times New Roman" w:eastAsia="Calibri" w:hAnsi="Times New Roman" w:cs="Times New Roman"/>
          <w:sz w:val="24"/>
          <w:szCs w:val="24"/>
        </w:rPr>
        <w:t>»</w:t>
      </w:r>
      <w:r w:rsidRPr="00902F8C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481956" w:rsidRPr="00481956">
        <w:rPr>
          <w:rFonts w:ascii="Times New Roman" w:eastAsia="Calibri" w:hAnsi="Times New Roman" w:cs="Times New Roman"/>
          <w:sz w:val="24"/>
          <w:szCs w:val="24"/>
        </w:rPr>
        <w:t xml:space="preserve">606340, Нижегородская область, г. </w:t>
      </w:r>
      <w:proofErr w:type="spellStart"/>
      <w:r w:rsidR="00481956" w:rsidRPr="00481956">
        <w:rPr>
          <w:rFonts w:ascii="Times New Roman" w:eastAsia="Calibri" w:hAnsi="Times New Roman" w:cs="Times New Roman"/>
          <w:sz w:val="24"/>
          <w:szCs w:val="24"/>
        </w:rPr>
        <w:t>Княг</w:t>
      </w:r>
      <w:r w:rsidR="00481956">
        <w:rPr>
          <w:rFonts w:ascii="Times New Roman" w:eastAsia="Calibri" w:hAnsi="Times New Roman" w:cs="Times New Roman"/>
          <w:sz w:val="24"/>
          <w:szCs w:val="24"/>
        </w:rPr>
        <w:t>инино</w:t>
      </w:r>
      <w:proofErr w:type="spellEnd"/>
      <w:r w:rsidR="00481956">
        <w:rPr>
          <w:rFonts w:ascii="Times New Roman" w:eastAsia="Calibri" w:hAnsi="Times New Roman" w:cs="Times New Roman"/>
          <w:sz w:val="24"/>
          <w:szCs w:val="24"/>
        </w:rPr>
        <w:t>, ул. Октябрьская, д. 22 A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hyperlink r:id="rId9" w:history="1">
        <w:r w:rsidR="00481956" w:rsidRPr="004B37C3">
          <w:rPr>
            <w:rStyle w:val="a8"/>
            <w:rFonts w:ascii="Times New Roman" w:eastAsia="Calibri" w:hAnsi="Times New Roman" w:cs="Times New Roman"/>
            <w:sz w:val="24"/>
            <w:szCs w:val="24"/>
          </w:rPr>
          <w:t>juliakovaleva2016@yandex.ru</w:t>
        </w:r>
      </w:hyperlink>
      <w:r>
        <w:rPr>
          <w:rFonts w:ascii="Times New Roman" w:eastAsia="Calibri" w:hAnsi="Times New Roman" w:cs="Times New Roman"/>
          <w:sz w:val="24"/>
          <w:szCs w:val="24"/>
        </w:rPr>
        <w:t>)</w:t>
      </w:r>
      <w:r w:rsidRPr="00902F8C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</w:p>
    <w:p w:rsidR="00481956" w:rsidRDefault="00481956" w:rsidP="004819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481956">
        <w:rPr>
          <w:rFonts w:ascii="Times New Roman" w:hAnsi="Times New Roman" w:cs="Times New Roman"/>
          <w:sz w:val="24"/>
          <w:szCs w:val="28"/>
        </w:rPr>
        <w:t xml:space="preserve">Терехов Андрей Михайлович (Россия, Нижний Новгород) – кандидат экономических наук, доцент кафедры гуманитарных и социально-экономических дисциплин, Федеральное государственное бюджетное образовательное учреждение высшего образования «Российский государственный университет правосудия» (Приволжский филиал) (603022, </w:t>
      </w:r>
      <w:proofErr w:type="spellStart"/>
      <w:r w:rsidRPr="00481956">
        <w:rPr>
          <w:rFonts w:ascii="Times New Roman" w:hAnsi="Times New Roman" w:cs="Times New Roman"/>
          <w:sz w:val="24"/>
          <w:szCs w:val="28"/>
        </w:rPr>
        <w:t>г</w:t>
      </w:r>
      <w:proofErr w:type="gramStart"/>
      <w:r w:rsidRPr="00481956">
        <w:rPr>
          <w:rFonts w:ascii="Times New Roman" w:hAnsi="Times New Roman" w:cs="Times New Roman"/>
          <w:sz w:val="24"/>
          <w:szCs w:val="28"/>
        </w:rPr>
        <w:t>.Н</w:t>
      </w:r>
      <w:proofErr w:type="gramEnd"/>
      <w:r w:rsidRPr="00481956">
        <w:rPr>
          <w:rFonts w:ascii="Times New Roman" w:hAnsi="Times New Roman" w:cs="Times New Roman"/>
          <w:sz w:val="24"/>
          <w:szCs w:val="28"/>
        </w:rPr>
        <w:t>ижний</w:t>
      </w:r>
      <w:proofErr w:type="spellEnd"/>
      <w:r w:rsidRPr="00481956">
        <w:rPr>
          <w:rFonts w:ascii="Times New Roman" w:hAnsi="Times New Roman" w:cs="Times New Roman"/>
          <w:sz w:val="24"/>
          <w:szCs w:val="28"/>
        </w:rPr>
        <w:t xml:space="preserve"> Новгород, пр. </w:t>
      </w:r>
      <w:proofErr w:type="gramStart"/>
      <w:r w:rsidRPr="00481956">
        <w:rPr>
          <w:rFonts w:ascii="Times New Roman" w:hAnsi="Times New Roman" w:cs="Times New Roman"/>
          <w:sz w:val="24"/>
          <w:szCs w:val="28"/>
        </w:rPr>
        <w:t xml:space="preserve">Гагарина, д.17а, </w:t>
      </w:r>
      <w:hyperlink r:id="rId10" w:history="1">
        <w:r w:rsidRPr="004B37C3">
          <w:rPr>
            <w:rStyle w:val="a8"/>
            <w:rFonts w:ascii="Times New Roman" w:hAnsi="Times New Roman" w:cs="Times New Roman"/>
            <w:sz w:val="24"/>
            <w:szCs w:val="28"/>
          </w:rPr>
          <w:t>terehoff.t@yandex.ru</w:t>
        </w:r>
      </w:hyperlink>
      <w:r w:rsidRPr="00481956">
        <w:rPr>
          <w:rFonts w:ascii="Times New Roman" w:hAnsi="Times New Roman" w:cs="Times New Roman"/>
          <w:sz w:val="24"/>
          <w:szCs w:val="28"/>
        </w:rPr>
        <w:t>).</w:t>
      </w:r>
      <w:proofErr w:type="gramEnd"/>
    </w:p>
    <w:p w:rsidR="00481956" w:rsidRDefault="00481956" w:rsidP="004819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481956" w:rsidRDefault="00481956" w:rsidP="0048195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81956">
        <w:rPr>
          <w:rFonts w:ascii="Times New Roman" w:hAnsi="Times New Roman" w:cs="Times New Roman"/>
          <w:b/>
          <w:sz w:val="24"/>
          <w:szCs w:val="24"/>
          <w:lang w:val="en-US"/>
        </w:rPr>
        <w:t>Terekhova</w:t>
      </w:r>
      <w:proofErr w:type="spellEnd"/>
      <w:r w:rsidRPr="00CC43A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81956">
        <w:rPr>
          <w:rFonts w:ascii="Times New Roman" w:hAnsi="Times New Roman" w:cs="Times New Roman"/>
          <w:b/>
          <w:sz w:val="24"/>
          <w:szCs w:val="24"/>
          <w:lang w:val="en-US"/>
        </w:rPr>
        <w:t>Yu</w:t>
      </w:r>
      <w:r w:rsidRPr="00CC43A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481956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CC43A8">
        <w:rPr>
          <w:rFonts w:ascii="Times New Roman" w:hAnsi="Times New Roman" w:cs="Times New Roman"/>
          <w:b/>
          <w:sz w:val="24"/>
          <w:szCs w:val="24"/>
        </w:rPr>
        <w:t xml:space="preserve">., </w:t>
      </w:r>
      <w:proofErr w:type="spellStart"/>
      <w:r w:rsidRPr="00481956">
        <w:rPr>
          <w:rFonts w:ascii="Times New Roman" w:hAnsi="Times New Roman" w:cs="Times New Roman"/>
          <w:b/>
          <w:sz w:val="24"/>
          <w:szCs w:val="24"/>
          <w:lang w:val="en-US"/>
        </w:rPr>
        <w:t>Terekhov</w:t>
      </w:r>
      <w:proofErr w:type="spellEnd"/>
      <w:r w:rsidRPr="00CC43A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81956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CC43A8">
        <w:rPr>
          <w:rFonts w:ascii="Times New Roman" w:hAnsi="Times New Roman" w:cs="Times New Roman"/>
          <w:b/>
          <w:sz w:val="24"/>
          <w:szCs w:val="24"/>
        </w:rPr>
        <w:t>.</w:t>
      </w:r>
      <w:r w:rsidRPr="00481956">
        <w:rPr>
          <w:rFonts w:ascii="Times New Roman" w:hAnsi="Times New Roman" w:cs="Times New Roman"/>
          <w:b/>
          <w:sz w:val="24"/>
          <w:szCs w:val="24"/>
          <w:lang w:val="en-US"/>
        </w:rPr>
        <w:t>M</w:t>
      </w:r>
      <w:r w:rsidRPr="00CC43A8">
        <w:rPr>
          <w:rFonts w:ascii="Times New Roman" w:hAnsi="Times New Roman" w:cs="Times New Roman"/>
          <w:b/>
          <w:sz w:val="24"/>
          <w:szCs w:val="24"/>
        </w:rPr>
        <w:t>.</w:t>
      </w:r>
    </w:p>
    <w:p w:rsidR="00481956" w:rsidRPr="00AF402D" w:rsidRDefault="00370BEF" w:rsidP="0048195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370BEF">
        <w:rPr>
          <w:rFonts w:ascii="Times New Roman" w:hAnsi="Times New Roman" w:cs="Times New Roman"/>
          <w:b/>
          <w:sz w:val="24"/>
          <w:szCs w:val="28"/>
          <w:lang w:val="en-US"/>
        </w:rPr>
        <w:t>PRACTICAL IMPLEMENTATION OF METHODS FOR FORECASTING MILK PRODUCTION VOLUMES IN SEASONALITY CONDITIONS ON THE EXAMPLE OF THE NIZHNY NOVGOROD REGION</w:t>
      </w:r>
    </w:p>
    <w:p w:rsidR="00481956" w:rsidRPr="00CC43A8" w:rsidRDefault="00481956" w:rsidP="0048195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</w:p>
    <w:p w:rsidR="000A1D00" w:rsidRPr="00CC43A8" w:rsidRDefault="000A1D00" w:rsidP="000A1D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proofErr w:type="gramStart"/>
      <w:r w:rsidRPr="00CC43A8">
        <w:rPr>
          <w:rFonts w:ascii="Times New Roman" w:hAnsi="Times New Roman" w:cs="Times New Roman"/>
          <w:b/>
          <w:sz w:val="24"/>
          <w:szCs w:val="28"/>
          <w:lang w:val="en-US"/>
        </w:rPr>
        <w:t>Annotation.</w:t>
      </w:r>
      <w:proofErr w:type="gramEnd"/>
      <w:r w:rsidRPr="00CC43A8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="00845940" w:rsidRPr="00845940">
        <w:rPr>
          <w:rFonts w:ascii="Times New Roman" w:hAnsi="Times New Roman" w:cs="Times New Roman"/>
          <w:sz w:val="24"/>
          <w:szCs w:val="28"/>
          <w:lang w:val="en-US"/>
        </w:rPr>
        <w:t>The article presents the results of forecasting the indicator "milk production volumes in farms of all categories, thousand tons" in the Nizhny Novgorod region. Three methods were used for forecasting: additive, multiplicative and ARIMA models. An increase in milk production is predicted for all three models.</w:t>
      </w:r>
      <w:bookmarkStart w:id="0" w:name="_GoBack"/>
      <w:bookmarkEnd w:id="0"/>
    </w:p>
    <w:p w:rsidR="000A1D00" w:rsidRPr="00CC43A8" w:rsidRDefault="000A1D00" w:rsidP="000A1D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E26DFD">
        <w:rPr>
          <w:rFonts w:ascii="Times New Roman" w:hAnsi="Times New Roman" w:cs="Times New Roman"/>
          <w:b/>
          <w:sz w:val="24"/>
          <w:szCs w:val="24"/>
          <w:lang w:val="en-US"/>
        </w:rPr>
        <w:t>Key words:</w:t>
      </w:r>
      <w:r w:rsidRPr="000A1D0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370BEF" w:rsidRPr="00370BEF">
        <w:rPr>
          <w:rFonts w:ascii="Times New Roman" w:hAnsi="Times New Roman" w:cs="Times New Roman"/>
          <w:sz w:val="24"/>
          <w:szCs w:val="28"/>
          <w:lang w:val="en-US"/>
        </w:rPr>
        <w:t>milk production volumes, forecast, model, dairy cattle industry, agriculture</w:t>
      </w:r>
      <w:r w:rsidR="003607B8" w:rsidRPr="003607B8">
        <w:rPr>
          <w:rFonts w:ascii="Times New Roman" w:hAnsi="Times New Roman" w:cs="Times New Roman"/>
          <w:sz w:val="24"/>
          <w:szCs w:val="28"/>
          <w:lang w:val="en-US"/>
        </w:rPr>
        <w:t>.</w:t>
      </w:r>
    </w:p>
    <w:p w:rsidR="000A1D00" w:rsidRPr="00CC43A8" w:rsidRDefault="000A1D00" w:rsidP="000A1D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0A1D00" w:rsidRPr="002C5043" w:rsidRDefault="000A1D00" w:rsidP="000A1D0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82936">
        <w:rPr>
          <w:rFonts w:ascii="Times New Roman" w:hAnsi="Times New Roman" w:cs="Times New Roman"/>
          <w:b/>
          <w:sz w:val="24"/>
          <w:szCs w:val="24"/>
          <w:lang w:val="en-US"/>
        </w:rPr>
        <w:t>Information about authors</w:t>
      </w:r>
    </w:p>
    <w:p w:rsidR="002C5043" w:rsidRPr="002C5043" w:rsidRDefault="002C5043" w:rsidP="002C504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C5043">
        <w:rPr>
          <w:rFonts w:ascii="Times New Roman" w:hAnsi="Times New Roman" w:cs="Times New Roman"/>
          <w:sz w:val="24"/>
          <w:szCs w:val="24"/>
          <w:lang w:val="en-US"/>
        </w:rPr>
        <w:t>Terekhova</w:t>
      </w:r>
      <w:proofErr w:type="spellEnd"/>
      <w:r w:rsidRPr="002C50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C5043">
        <w:rPr>
          <w:rFonts w:ascii="Times New Roman" w:hAnsi="Times New Roman" w:cs="Times New Roman"/>
          <w:sz w:val="24"/>
          <w:szCs w:val="24"/>
          <w:lang w:val="en-US"/>
        </w:rPr>
        <w:t>Yulia</w:t>
      </w:r>
      <w:proofErr w:type="spellEnd"/>
      <w:r w:rsidRPr="002C50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Sergeevna</w:t>
      </w:r>
      <w:proofErr w:type="spellEnd"/>
      <w:r w:rsidRPr="002C5043">
        <w:rPr>
          <w:rFonts w:ascii="Times New Roman" w:hAnsi="Times New Roman" w:cs="Times New Roman"/>
          <w:sz w:val="24"/>
          <w:szCs w:val="24"/>
          <w:lang w:val="en-US"/>
        </w:rPr>
        <w:t xml:space="preserve"> (Russia, </w:t>
      </w:r>
      <w:r>
        <w:rPr>
          <w:rFonts w:ascii="Times New Roman" w:hAnsi="Times New Roman" w:cs="Times New Roman"/>
          <w:sz w:val="24"/>
          <w:szCs w:val="24"/>
          <w:lang w:val="en-US"/>
        </w:rPr>
        <w:t>Nizhny Novgorod</w:t>
      </w:r>
      <w:r w:rsidRPr="002C5043">
        <w:rPr>
          <w:rFonts w:ascii="Times New Roman" w:hAnsi="Times New Roman" w:cs="Times New Roman"/>
          <w:sz w:val="24"/>
          <w:szCs w:val="24"/>
          <w:lang w:val="en-US"/>
        </w:rPr>
        <w:t xml:space="preserve">) - student, State Budget Educational </w:t>
      </w:r>
      <w:proofErr w:type="spellStart"/>
      <w:r w:rsidRPr="002C5043">
        <w:rPr>
          <w:rFonts w:ascii="Times New Roman" w:hAnsi="Times New Roman" w:cs="Times New Roman"/>
          <w:sz w:val="24"/>
          <w:szCs w:val="24"/>
          <w:lang w:val="en-US"/>
        </w:rPr>
        <w:t>Educational</w:t>
      </w:r>
      <w:proofErr w:type="spellEnd"/>
      <w:r w:rsidRPr="002C5043">
        <w:rPr>
          <w:rFonts w:ascii="Times New Roman" w:hAnsi="Times New Roman" w:cs="Times New Roman"/>
          <w:sz w:val="24"/>
          <w:szCs w:val="24"/>
          <w:lang w:val="en-US"/>
        </w:rPr>
        <w:t xml:space="preserve"> Institution of Higher Education "Nizhny Novgorod State Universit</w:t>
      </w:r>
      <w:r>
        <w:rPr>
          <w:rFonts w:ascii="Times New Roman" w:hAnsi="Times New Roman" w:cs="Times New Roman"/>
          <w:sz w:val="24"/>
          <w:szCs w:val="24"/>
          <w:lang w:val="en-US"/>
        </w:rPr>
        <w:t>y of Engineering and Economics"</w:t>
      </w:r>
      <w:r w:rsidRPr="002C5043">
        <w:rPr>
          <w:rFonts w:ascii="Times New Roman" w:hAnsi="Times New Roman" w:cs="Times New Roman"/>
          <w:sz w:val="24"/>
          <w:szCs w:val="24"/>
          <w:lang w:val="en-US"/>
        </w:rPr>
        <w:t xml:space="preserve"> (Nizhny Novgorod Region, 606340, </w:t>
      </w:r>
      <w:proofErr w:type="spellStart"/>
      <w:r w:rsidRPr="002C5043">
        <w:rPr>
          <w:rFonts w:ascii="Times New Roman" w:hAnsi="Times New Roman" w:cs="Times New Roman"/>
          <w:sz w:val="24"/>
          <w:szCs w:val="24"/>
          <w:lang w:val="en-US"/>
        </w:rPr>
        <w:t>Knyaginino</w:t>
      </w:r>
      <w:proofErr w:type="spellEnd"/>
      <w:r w:rsidRPr="002C504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C5043">
        <w:rPr>
          <w:rFonts w:ascii="Times New Roman" w:hAnsi="Times New Roman" w:cs="Times New Roman"/>
          <w:sz w:val="24"/>
          <w:szCs w:val="24"/>
          <w:lang w:val="en-US"/>
        </w:rPr>
        <w:t>Oktyabrskaya</w:t>
      </w:r>
      <w:proofErr w:type="spellEnd"/>
      <w:r w:rsidRPr="002C5043">
        <w:rPr>
          <w:rFonts w:ascii="Times New Roman" w:hAnsi="Times New Roman" w:cs="Times New Roman"/>
          <w:sz w:val="24"/>
          <w:szCs w:val="24"/>
          <w:lang w:val="en-US"/>
        </w:rPr>
        <w:t xml:space="preserve"> str., 22A, juliakovaleva2016@yandex.ru).</w:t>
      </w:r>
    </w:p>
    <w:p w:rsidR="000A1D00" w:rsidRPr="00AF402D" w:rsidRDefault="002C5043" w:rsidP="002C504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26DFD">
        <w:rPr>
          <w:rFonts w:ascii="Times New Roman" w:hAnsi="Times New Roman" w:cs="Times New Roman"/>
          <w:sz w:val="24"/>
          <w:szCs w:val="24"/>
          <w:lang w:val="en-US"/>
        </w:rPr>
        <w:t>Terekhov</w:t>
      </w:r>
      <w:proofErr w:type="spellEnd"/>
      <w:r w:rsidRPr="00E26DFD">
        <w:rPr>
          <w:rFonts w:ascii="Times New Roman" w:hAnsi="Times New Roman" w:cs="Times New Roman"/>
          <w:sz w:val="24"/>
          <w:szCs w:val="24"/>
          <w:lang w:val="en-US"/>
        </w:rPr>
        <w:t xml:space="preserve"> Andrei Mikhailovich (Russia, Nizhny Novgorod) - candidate of economic sciences, associate professor of the Department of Humanitarian and Socio-Economic Disciplines, Federal State Budget Educational </w:t>
      </w:r>
      <w:proofErr w:type="spellStart"/>
      <w:r w:rsidRPr="00E26DFD">
        <w:rPr>
          <w:rFonts w:ascii="Times New Roman" w:hAnsi="Times New Roman" w:cs="Times New Roman"/>
          <w:sz w:val="24"/>
          <w:szCs w:val="24"/>
          <w:lang w:val="en-US"/>
        </w:rPr>
        <w:t>Educational</w:t>
      </w:r>
      <w:proofErr w:type="spellEnd"/>
      <w:r w:rsidRPr="00E26DFD">
        <w:rPr>
          <w:rFonts w:ascii="Times New Roman" w:hAnsi="Times New Roman" w:cs="Times New Roman"/>
          <w:sz w:val="24"/>
          <w:szCs w:val="24"/>
          <w:lang w:val="en-US"/>
        </w:rPr>
        <w:t xml:space="preserve"> Institution of Higher Education "Russian State University of Justice" (</w:t>
      </w:r>
      <w:proofErr w:type="spellStart"/>
      <w:r w:rsidRPr="00E26DFD">
        <w:rPr>
          <w:rFonts w:ascii="Times New Roman" w:hAnsi="Times New Roman" w:cs="Times New Roman"/>
          <w:sz w:val="24"/>
          <w:szCs w:val="24"/>
          <w:lang w:val="en-US"/>
        </w:rPr>
        <w:t>Privolzhsky</w:t>
      </w:r>
      <w:proofErr w:type="spellEnd"/>
      <w:r w:rsidRPr="00E26DFD">
        <w:rPr>
          <w:rFonts w:ascii="Times New Roman" w:hAnsi="Times New Roman" w:cs="Times New Roman"/>
          <w:sz w:val="24"/>
          <w:szCs w:val="24"/>
          <w:lang w:val="en-US"/>
        </w:rPr>
        <w:t xml:space="preserve"> Branch) (603022, </w:t>
      </w:r>
      <w:r>
        <w:rPr>
          <w:rFonts w:ascii="Times New Roman" w:hAnsi="Times New Roman" w:cs="Times New Roman"/>
          <w:sz w:val="24"/>
          <w:szCs w:val="24"/>
          <w:lang w:val="en-US"/>
        </w:rPr>
        <w:t>Nizhny Novgorod, Gagarin, 17a</w:t>
      </w:r>
      <w:r w:rsidRPr="0012274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11" w:history="1">
        <w:r w:rsidR="00A173A5" w:rsidRPr="002B6D26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terehoff.t@yandex.ru</w:t>
        </w:r>
      </w:hyperlink>
      <w:r w:rsidRPr="00E26DFD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EC4033" w:rsidRPr="00EC403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A173A5" w:rsidRPr="00AF402D" w:rsidRDefault="00A173A5" w:rsidP="002C504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173A5" w:rsidRPr="002C5043" w:rsidRDefault="00A173A5" w:rsidP="00A173A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173A5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370BEF" w:rsidRPr="00370BEF" w:rsidRDefault="00370BEF" w:rsidP="00370B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1. </w:t>
      </w:r>
      <w:proofErr w:type="spellStart"/>
      <w:r w:rsidRPr="00370BEF">
        <w:rPr>
          <w:rFonts w:ascii="Times New Roman" w:hAnsi="Times New Roman" w:cs="Times New Roman"/>
          <w:sz w:val="24"/>
          <w:szCs w:val="28"/>
          <w:lang w:val="en-US"/>
        </w:rPr>
        <w:t>Bunkovsky</w:t>
      </w:r>
      <w:proofErr w:type="spell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 D.V. Forecasting the effect of the interaction of large and small businesses in oil refining and </w:t>
      </w:r>
      <w:proofErr w:type="spellStart"/>
      <w:r w:rsidRPr="00370BEF">
        <w:rPr>
          <w:rFonts w:ascii="Times New Roman" w:hAnsi="Times New Roman" w:cs="Times New Roman"/>
          <w:sz w:val="24"/>
          <w:szCs w:val="28"/>
          <w:lang w:val="en-US"/>
        </w:rPr>
        <w:t>petrochemistry</w:t>
      </w:r>
      <w:proofErr w:type="spell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 // Modern economics: problems and solutions. </w:t>
      </w:r>
      <w:proofErr w:type="gramStart"/>
      <w:r w:rsidRPr="00370BEF">
        <w:rPr>
          <w:rFonts w:ascii="Times New Roman" w:hAnsi="Times New Roman" w:cs="Times New Roman"/>
          <w:sz w:val="24"/>
          <w:szCs w:val="28"/>
          <w:lang w:val="en-US"/>
        </w:rPr>
        <w:t>2013. No. 9 (45).</w:t>
      </w:r>
      <w:proofErr w:type="gram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 pp. 126-132.</w:t>
      </w:r>
    </w:p>
    <w:p w:rsidR="00370BEF" w:rsidRPr="00370BEF" w:rsidRDefault="00370BEF" w:rsidP="00370B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2. </w:t>
      </w:r>
      <w:proofErr w:type="spellStart"/>
      <w:r w:rsidRPr="00370BEF">
        <w:rPr>
          <w:rFonts w:ascii="Times New Roman" w:hAnsi="Times New Roman" w:cs="Times New Roman"/>
          <w:sz w:val="24"/>
          <w:szCs w:val="28"/>
          <w:lang w:val="en-US"/>
        </w:rPr>
        <w:t>Kudryashova</w:t>
      </w:r>
      <w:proofErr w:type="spell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Pr="00370BEF">
        <w:rPr>
          <w:rFonts w:ascii="Times New Roman" w:hAnsi="Times New Roman" w:cs="Times New Roman"/>
          <w:sz w:val="24"/>
          <w:szCs w:val="28"/>
          <w:lang w:val="en-US"/>
        </w:rPr>
        <w:t>Yu.N</w:t>
      </w:r>
      <w:proofErr w:type="spell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., Breeders N.D. Problems of formation and development of the agricultural market // </w:t>
      </w:r>
      <w:proofErr w:type="gramStart"/>
      <w:r w:rsidRPr="00370BEF">
        <w:rPr>
          <w:rFonts w:ascii="Times New Roman" w:hAnsi="Times New Roman" w:cs="Times New Roman"/>
          <w:sz w:val="24"/>
          <w:szCs w:val="28"/>
          <w:lang w:val="en-US"/>
        </w:rPr>
        <w:t>In</w:t>
      </w:r>
      <w:proofErr w:type="gram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 the collection: Stabilization of agricultural production in market conditions. </w:t>
      </w:r>
      <w:proofErr w:type="gramStart"/>
      <w:r w:rsidRPr="00370BEF">
        <w:rPr>
          <w:rFonts w:ascii="Times New Roman" w:hAnsi="Times New Roman" w:cs="Times New Roman"/>
          <w:sz w:val="24"/>
          <w:szCs w:val="28"/>
          <w:lang w:val="en-US"/>
        </w:rPr>
        <w:t>Interuniversity collection of scientific papers.</w:t>
      </w:r>
      <w:proofErr w:type="gram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gramStart"/>
      <w:r w:rsidRPr="00370BEF">
        <w:rPr>
          <w:rFonts w:ascii="Times New Roman" w:hAnsi="Times New Roman" w:cs="Times New Roman"/>
          <w:sz w:val="24"/>
          <w:szCs w:val="28"/>
          <w:lang w:val="en-US"/>
        </w:rPr>
        <w:t>Samara State Agricultural Academy.</w:t>
      </w:r>
      <w:proofErr w:type="gram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gramStart"/>
      <w:r w:rsidRPr="00370BEF">
        <w:rPr>
          <w:rFonts w:ascii="Times New Roman" w:hAnsi="Times New Roman" w:cs="Times New Roman"/>
          <w:sz w:val="24"/>
          <w:szCs w:val="28"/>
          <w:lang w:val="en-US"/>
        </w:rPr>
        <w:t>Samara, 2001.</w:t>
      </w:r>
      <w:proofErr w:type="gram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 pp. 32-35.</w:t>
      </w:r>
    </w:p>
    <w:p w:rsidR="00370BEF" w:rsidRPr="00370BEF" w:rsidRDefault="00370BEF" w:rsidP="00370B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3. </w:t>
      </w:r>
      <w:proofErr w:type="spellStart"/>
      <w:r w:rsidRPr="00370BEF">
        <w:rPr>
          <w:rFonts w:ascii="Times New Roman" w:hAnsi="Times New Roman" w:cs="Times New Roman"/>
          <w:sz w:val="24"/>
          <w:szCs w:val="28"/>
          <w:lang w:val="en-US"/>
        </w:rPr>
        <w:t>Mamai</w:t>
      </w:r>
      <w:proofErr w:type="spell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 O.V., </w:t>
      </w:r>
      <w:proofErr w:type="spellStart"/>
      <w:r w:rsidRPr="00370BEF">
        <w:rPr>
          <w:rFonts w:ascii="Times New Roman" w:hAnsi="Times New Roman" w:cs="Times New Roman"/>
          <w:sz w:val="24"/>
          <w:szCs w:val="28"/>
          <w:lang w:val="en-US"/>
        </w:rPr>
        <w:t>Parshova</w:t>
      </w:r>
      <w:proofErr w:type="spell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 V., </w:t>
      </w:r>
      <w:proofErr w:type="spellStart"/>
      <w:r w:rsidRPr="00370BEF">
        <w:rPr>
          <w:rFonts w:ascii="Times New Roman" w:hAnsi="Times New Roman" w:cs="Times New Roman"/>
          <w:sz w:val="24"/>
          <w:szCs w:val="28"/>
          <w:lang w:val="en-US"/>
        </w:rPr>
        <w:t>Lipatova</w:t>
      </w:r>
      <w:proofErr w:type="spell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 N.N., </w:t>
      </w:r>
      <w:proofErr w:type="spellStart"/>
      <w:r w:rsidRPr="00370BEF">
        <w:rPr>
          <w:rFonts w:ascii="Times New Roman" w:hAnsi="Times New Roman" w:cs="Times New Roman"/>
          <w:sz w:val="24"/>
          <w:szCs w:val="28"/>
          <w:lang w:val="en-US"/>
        </w:rPr>
        <w:t>Gazizyanova</w:t>
      </w:r>
      <w:proofErr w:type="spell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Pr="00370BEF">
        <w:rPr>
          <w:rFonts w:ascii="Times New Roman" w:hAnsi="Times New Roman" w:cs="Times New Roman"/>
          <w:sz w:val="24"/>
          <w:szCs w:val="28"/>
          <w:lang w:val="en-US"/>
        </w:rPr>
        <w:t>Yu.Yu</w:t>
      </w:r>
      <w:proofErr w:type="spell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., </w:t>
      </w:r>
      <w:proofErr w:type="spellStart"/>
      <w:r w:rsidRPr="00370BEF">
        <w:rPr>
          <w:rFonts w:ascii="Times New Roman" w:hAnsi="Times New Roman" w:cs="Times New Roman"/>
          <w:sz w:val="24"/>
          <w:szCs w:val="28"/>
          <w:lang w:val="en-US"/>
        </w:rPr>
        <w:t>Mamai</w:t>
      </w:r>
      <w:proofErr w:type="spell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 I.N. The system of effective management of the agricultural sector of the economy in modern conditions // </w:t>
      </w:r>
      <w:proofErr w:type="gramStart"/>
      <w:r w:rsidRPr="00370BEF">
        <w:rPr>
          <w:rFonts w:ascii="Times New Roman" w:hAnsi="Times New Roman" w:cs="Times New Roman"/>
          <w:sz w:val="24"/>
          <w:szCs w:val="28"/>
          <w:lang w:val="en-US"/>
        </w:rPr>
        <w:t>In</w:t>
      </w:r>
      <w:proofErr w:type="gram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 the collection: Agriculture and food security: technologies, innovations, markets, personnel. Scientific papers of the international scientific and practical conference dedicated to the 100th anniversary of agrarian science, education and enlightenment in the Middle Volga region. 2019. pp. 711-715.</w:t>
      </w:r>
    </w:p>
    <w:p w:rsidR="00A173A5" w:rsidRPr="00CC43A8" w:rsidRDefault="00370BEF" w:rsidP="00370B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4. </w:t>
      </w:r>
      <w:proofErr w:type="spellStart"/>
      <w:r w:rsidRPr="00370BEF">
        <w:rPr>
          <w:rFonts w:ascii="Times New Roman" w:hAnsi="Times New Roman" w:cs="Times New Roman"/>
          <w:sz w:val="24"/>
          <w:szCs w:val="28"/>
          <w:lang w:val="en-US"/>
        </w:rPr>
        <w:t>Shatalov</w:t>
      </w:r>
      <w:proofErr w:type="spell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 M.A. Formation of tools for monitoring and forecasting sustainable development of regional economic systems // Russian Journal of Management. 2017. Vol. 5. </w:t>
      </w:r>
      <w:proofErr w:type="gramStart"/>
      <w:r w:rsidRPr="00370BEF">
        <w:rPr>
          <w:rFonts w:ascii="Times New Roman" w:hAnsi="Times New Roman" w:cs="Times New Roman"/>
          <w:sz w:val="24"/>
          <w:szCs w:val="28"/>
          <w:lang w:val="en-US"/>
        </w:rPr>
        <w:t>No. 3.</w:t>
      </w:r>
      <w:proofErr w:type="gramEnd"/>
      <w:r w:rsidRPr="00370BEF">
        <w:rPr>
          <w:rFonts w:ascii="Times New Roman" w:hAnsi="Times New Roman" w:cs="Times New Roman"/>
          <w:sz w:val="24"/>
          <w:szCs w:val="28"/>
          <w:lang w:val="en-US"/>
        </w:rPr>
        <w:t xml:space="preserve"> pp. 364-371.</w:t>
      </w:r>
    </w:p>
    <w:p w:rsidR="00A173A5" w:rsidRPr="00CC43A8" w:rsidRDefault="00A173A5" w:rsidP="00A173A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173A5" w:rsidRPr="00A173A5" w:rsidRDefault="00A173A5" w:rsidP="002C504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sectPr w:rsidR="00A173A5" w:rsidRPr="00A173A5" w:rsidSect="00A24C0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694E"/>
    <w:rsid w:val="000234B4"/>
    <w:rsid w:val="00025022"/>
    <w:rsid w:val="000371FE"/>
    <w:rsid w:val="0004555D"/>
    <w:rsid w:val="000468DD"/>
    <w:rsid w:val="00053B03"/>
    <w:rsid w:val="0006253C"/>
    <w:rsid w:val="00065B82"/>
    <w:rsid w:val="000949F0"/>
    <w:rsid w:val="000A1D00"/>
    <w:rsid w:val="000A5B98"/>
    <w:rsid w:val="001270C7"/>
    <w:rsid w:val="00175652"/>
    <w:rsid w:val="00177CB0"/>
    <w:rsid w:val="001A5D13"/>
    <w:rsid w:val="001C0C9F"/>
    <w:rsid w:val="001D62A0"/>
    <w:rsid w:val="001F049F"/>
    <w:rsid w:val="001F1A49"/>
    <w:rsid w:val="00205BBD"/>
    <w:rsid w:val="002101CC"/>
    <w:rsid w:val="0021250A"/>
    <w:rsid w:val="00224353"/>
    <w:rsid w:val="00260446"/>
    <w:rsid w:val="002B7A92"/>
    <w:rsid w:val="002C5043"/>
    <w:rsid w:val="002D355A"/>
    <w:rsid w:val="003166DE"/>
    <w:rsid w:val="00337EE5"/>
    <w:rsid w:val="003528B7"/>
    <w:rsid w:val="003607B8"/>
    <w:rsid w:val="00370BEF"/>
    <w:rsid w:val="00376383"/>
    <w:rsid w:val="003A523B"/>
    <w:rsid w:val="003B1FE6"/>
    <w:rsid w:val="003D146E"/>
    <w:rsid w:val="003D1562"/>
    <w:rsid w:val="003F71DA"/>
    <w:rsid w:val="0041326A"/>
    <w:rsid w:val="0043309C"/>
    <w:rsid w:val="00481956"/>
    <w:rsid w:val="00487FC1"/>
    <w:rsid w:val="004938B6"/>
    <w:rsid w:val="0049694E"/>
    <w:rsid w:val="004A1ADA"/>
    <w:rsid w:val="004E4529"/>
    <w:rsid w:val="005047A7"/>
    <w:rsid w:val="00506D71"/>
    <w:rsid w:val="00586E1C"/>
    <w:rsid w:val="005E467A"/>
    <w:rsid w:val="00602000"/>
    <w:rsid w:val="00610672"/>
    <w:rsid w:val="006502BB"/>
    <w:rsid w:val="00666BCE"/>
    <w:rsid w:val="00667922"/>
    <w:rsid w:val="006D413E"/>
    <w:rsid w:val="007666F5"/>
    <w:rsid w:val="007D1EAB"/>
    <w:rsid w:val="007E4807"/>
    <w:rsid w:val="007F0B6A"/>
    <w:rsid w:val="008140E2"/>
    <w:rsid w:val="00845940"/>
    <w:rsid w:val="008A6646"/>
    <w:rsid w:val="0093680C"/>
    <w:rsid w:val="00967B4B"/>
    <w:rsid w:val="00991C57"/>
    <w:rsid w:val="009B2455"/>
    <w:rsid w:val="009B62B7"/>
    <w:rsid w:val="00A173A5"/>
    <w:rsid w:val="00A24C0D"/>
    <w:rsid w:val="00A24F39"/>
    <w:rsid w:val="00A377D8"/>
    <w:rsid w:val="00A52986"/>
    <w:rsid w:val="00A8346A"/>
    <w:rsid w:val="00A95E80"/>
    <w:rsid w:val="00AB7568"/>
    <w:rsid w:val="00AC5C2F"/>
    <w:rsid w:val="00AF1F13"/>
    <w:rsid w:val="00AF402D"/>
    <w:rsid w:val="00AF4270"/>
    <w:rsid w:val="00B11BC9"/>
    <w:rsid w:val="00B812FD"/>
    <w:rsid w:val="00BB6AB2"/>
    <w:rsid w:val="00C1400B"/>
    <w:rsid w:val="00C269A3"/>
    <w:rsid w:val="00C7602E"/>
    <w:rsid w:val="00C97CF9"/>
    <w:rsid w:val="00CA4687"/>
    <w:rsid w:val="00CA78F6"/>
    <w:rsid w:val="00CB4D22"/>
    <w:rsid w:val="00CC43A8"/>
    <w:rsid w:val="00CD0FDF"/>
    <w:rsid w:val="00CE0273"/>
    <w:rsid w:val="00CE3536"/>
    <w:rsid w:val="00CE7B98"/>
    <w:rsid w:val="00D869C5"/>
    <w:rsid w:val="00DB1CDE"/>
    <w:rsid w:val="00DB518E"/>
    <w:rsid w:val="00DB5703"/>
    <w:rsid w:val="00E07740"/>
    <w:rsid w:val="00E15086"/>
    <w:rsid w:val="00E334EA"/>
    <w:rsid w:val="00E6139F"/>
    <w:rsid w:val="00E91004"/>
    <w:rsid w:val="00EA2771"/>
    <w:rsid w:val="00EA60E1"/>
    <w:rsid w:val="00EB71F8"/>
    <w:rsid w:val="00EC4033"/>
    <w:rsid w:val="00ED132F"/>
    <w:rsid w:val="00ED2CA8"/>
    <w:rsid w:val="00EF5B43"/>
    <w:rsid w:val="00F33582"/>
    <w:rsid w:val="00F70AF5"/>
    <w:rsid w:val="00F800B7"/>
    <w:rsid w:val="00F979DF"/>
    <w:rsid w:val="00FB19FD"/>
    <w:rsid w:val="00FD4844"/>
    <w:rsid w:val="00FD7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00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00B7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BB6AB2"/>
    <w:rPr>
      <w:color w:val="808080"/>
    </w:rPr>
  </w:style>
  <w:style w:type="table" w:styleId="a6">
    <w:name w:val="Table Grid"/>
    <w:basedOn w:val="a1"/>
    <w:rsid w:val="00D869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260446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481956"/>
    <w:rPr>
      <w:color w:val="0000FF" w:themeColor="hyperlink"/>
      <w:u w:val="single"/>
    </w:rPr>
  </w:style>
  <w:style w:type="table" w:customStyle="1" w:styleId="1">
    <w:name w:val="Сетка таблицы1"/>
    <w:basedOn w:val="a1"/>
    <w:next w:val="a6"/>
    <w:uiPriority w:val="59"/>
    <w:rsid w:val="003F71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Сетка таблицы2"/>
    <w:basedOn w:val="a1"/>
    <w:next w:val="a6"/>
    <w:uiPriority w:val="59"/>
    <w:rsid w:val="00177C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00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00B7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BB6AB2"/>
    <w:rPr>
      <w:color w:val="808080"/>
    </w:rPr>
  </w:style>
  <w:style w:type="table" w:styleId="a6">
    <w:name w:val="Table Grid"/>
    <w:basedOn w:val="a1"/>
    <w:rsid w:val="00D869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260446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481956"/>
    <w:rPr>
      <w:color w:val="0000FF" w:themeColor="hyperlink"/>
      <w:u w:val="single"/>
    </w:rPr>
  </w:style>
  <w:style w:type="table" w:customStyle="1" w:styleId="1">
    <w:name w:val="Сетка таблицы1"/>
    <w:basedOn w:val="a1"/>
    <w:next w:val="a6"/>
    <w:uiPriority w:val="59"/>
    <w:rsid w:val="003F71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Сетка таблицы2"/>
    <w:basedOn w:val="a1"/>
    <w:next w:val="a6"/>
    <w:uiPriority w:val="59"/>
    <w:rsid w:val="00177C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0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33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7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1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8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3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3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8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chart" Target="charts/chart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gks.ru/region/ind1122/IssWWW.exe/Stg/givotn.htm" TargetMode="External"/><Relationship Id="rId11" Type="http://schemas.openxmlformats.org/officeDocument/2006/relationships/hyperlink" Target="mailto:terehoff.t@yandex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terehoff.t@yandex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juliakovaleva2016@yandex.ru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7.1738591269841265E-2"/>
          <c:y val="4.5533980223821317E-2"/>
          <c:w val="0.90552662037037035"/>
          <c:h val="0.36303292000523396"/>
        </c:manualLayout>
      </c:layou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Произведено молока, тыс. тонн</c:v>
                </c:pt>
              </c:strCache>
            </c:strRef>
          </c:tx>
          <c:spPr>
            <a:ln cmpd="dbl">
              <a:solidFill>
                <a:schemeClr val="tx1"/>
              </a:solidFill>
              <a:prstDash val="dash"/>
            </a:ln>
          </c:spPr>
          <c:marker>
            <c:symbol val="none"/>
          </c:marker>
          <c:cat>
            <c:strRef>
              <c:f>Лист1!$A$2:$A$18</c:f>
              <c:strCache>
                <c:ptCount val="17"/>
                <c:pt idx="0">
                  <c:v>2019 кв 1</c:v>
                </c:pt>
                <c:pt idx="1">
                  <c:v>2019 кв 2</c:v>
                </c:pt>
                <c:pt idx="2">
                  <c:v>2019 кв 3</c:v>
                </c:pt>
                <c:pt idx="3">
                  <c:v>2019 кв 4</c:v>
                </c:pt>
                <c:pt idx="4">
                  <c:v>2020 кв 1</c:v>
                </c:pt>
                <c:pt idx="5">
                  <c:v>2020 кв 2</c:v>
                </c:pt>
                <c:pt idx="6">
                  <c:v>2020 кв 3</c:v>
                </c:pt>
                <c:pt idx="7">
                  <c:v>2020 кв 4</c:v>
                </c:pt>
                <c:pt idx="8">
                  <c:v>2021 кв 1</c:v>
                </c:pt>
                <c:pt idx="9">
                  <c:v>2021 кв 2</c:v>
                </c:pt>
                <c:pt idx="10">
                  <c:v>2021 кв 3</c:v>
                </c:pt>
                <c:pt idx="11">
                  <c:v>2021 кв 4</c:v>
                </c:pt>
                <c:pt idx="12">
                  <c:v>2022 кв 1</c:v>
                </c:pt>
                <c:pt idx="13">
                  <c:v>2022 кв 2</c:v>
                </c:pt>
                <c:pt idx="14">
                  <c:v>2022 кв 3</c:v>
                </c:pt>
                <c:pt idx="15">
                  <c:v>2022 кв 4</c:v>
                </c:pt>
                <c:pt idx="16">
                  <c:v>2023 кв 1</c:v>
                </c:pt>
              </c:strCache>
            </c:strRef>
          </c:cat>
          <c:val>
            <c:numRef>
              <c:f>Лист1!$B$2:$B$18</c:f>
              <c:numCache>
                <c:formatCode>General</c:formatCode>
                <c:ptCount val="17"/>
                <c:pt idx="0">
                  <c:v>149.69999999999999</c:v>
                </c:pt>
                <c:pt idx="1">
                  <c:v>172</c:v>
                </c:pt>
                <c:pt idx="2">
                  <c:v>159.1</c:v>
                </c:pt>
                <c:pt idx="3">
                  <c:v>142.6</c:v>
                </c:pt>
                <c:pt idx="4">
                  <c:v>156.30000000000001</c:v>
                </c:pt>
                <c:pt idx="5">
                  <c:v>176.1</c:v>
                </c:pt>
                <c:pt idx="6">
                  <c:v>162.69999999999999</c:v>
                </c:pt>
                <c:pt idx="7">
                  <c:v>146.80000000000001</c:v>
                </c:pt>
                <c:pt idx="8">
                  <c:v>160.4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Рассчитанные значения AD модели и прогноз</c:v>
                </c:pt>
              </c:strCache>
            </c:strRef>
          </c:tx>
          <c:spPr>
            <a:ln cap="flat" cmpd="dbl">
              <a:solidFill>
                <a:schemeClr val="tx1"/>
              </a:solidFill>
              <a:prstDash val="sysDot"/>
            </a:ln>
          </c:spPr>
          <c:marker>
            <c:symbol val="none"/>
          </c:marker>
          <c:cat>
            <c:strRef>
              <c:f>Лист1!$A$2:$A$18</c:f>
              <c:strCache>
                <c:ptCount val="17"/>
                <c:pt idx="0">
                  <c:v>2019 кв 1</c:v>
                </c:pt>
                <c:pt idx="1">
                  <c:v>2019 кв 2</c:v>
                </c:pt>
                <c:pt idx="2">
                  <c:v>2019 кв 3</c:v>
                </c:pt>
                <c:pt idx="3">
                  <c:v>2019 кв 4</c:v>
                </c:pt>
                <c:pt idx="4">
                  <c:v>2020 кв 1</c:v>
                </c:pt>
                <c:pt idx="5">
                  <c:v>2020 кв 2</c:v>
                </c:pt>
                <c:pt idx="6">
                  <c:v>2020 кв 3</c:v>
                </c:pt>
                <c:pt idx="7">
                  <c:v>2020 кв 4</c:v>
                </c:pt>
                <c:pt idx="8">
                  <c:v>2021 кв 1</c:v>
                </c:pt>
                <c:pt idx="9">
                  <c:v>2021 кв 2</c:v>
                </c:pt>
                <c:pt idx="10">
                  <c:v>2021 кв 3</c:v>
                </c:pt>
                <c:pt idx="11">
                  <c:v>2021 кв 4</c:v>
                </c:pt>
                <c:pt idx="12">
                  <c:v>2022 кв 1</c:v>
                </c:pt>
                <c:pt idx="13">
                  <c:v>2022 кв 2</c:v>
                </c:pt>
                <c:pt idx="14">
                  <c:v>2022 кв 3</c:v>
                </c:pt>
                <c:pt idx="15">
                  <c:v>2022 кв 4</c:v>
                </c:pt>
                <c:pt idx="16">
                  <c:v>2023 кв 1</c:v>
                </c:pt>
              </c:strCache>
            </c:strRef>
          </c:cat>
          <c:val>
            <c:numRef>
              <c:f>Лист1!$C$2:$C$18</c:f>
              <c:numCache>
                <c:formatCode>General</c:formatCode>
                <c:ptCount val="17"/>
                <c:pt idx="0">
                  <c:v>150.76900000000001</c:v>
                </c:pt>
                <c:pt idx="1">
                  <c:v>178.441</c:v>
                </c:pt>
                <c:pt idx="2">
                  <c:v>161.23099999999999</c:v>
                </c:pt>
                <c:pt idx="3">
                  <c:v>134.13800000000001</c:v>
                </c:pt>
                <c:pt idx="4">
                  <c:v>151.547</c:v>
                </c:pt>
                <c:pt idx="5">
                  <c:v>179.21899999999999</c:v>
                </c:pt>
                <c:pt idx="6">
                  <c:v>162.00800000000001</c:v>
                </c:pt>
                <c:pt idx="7">
                  <c:v>134.91499999999999</c:v>
                </c:pt>
                <c:pt idx="8">
                  <c:v>152.32499999999999</c:v>
                </c:pt>
                <c:pt idx="9">
                  <c:v>179.99700000000001</c:v>
                </c:pt>
                <c:pt idx="10">
                  <c:v>162.786</c:v>
                </c:pt>
                <c:pt idx="11">
                  <c:v>135.69300000000001</c:v>
                </c:pt>
                <c:pt idx="12">
                  <c:v>153.10300000000001</c:v>
                </c:pt>
                <c:pt idx="13">
                  <c:v>180.75</c:v>
                </c:pt>
                <c:pt idx="14">
                  <c:v>163.52199999999999</c:v>
                </c:pt>
                <c:pt idx="15">
                  <c:v>136.44800000000001</c:v>
                </c:pt>
                <c:pt idx="16">
                  <c:v>153.857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Рассчитанные значения MULT модели и прогноз</c:v>
                </c:pt>
              </c:strCache>
            </c:strRef>
          </c:tx>
          <c:spPr>
            <a:ln w="19050">
              <a:solidFill>
                <a:schemeClr val="tx1"/>
              </a:solidFill>
              <a:prstDash val="sysDash"/>
            </a:ln>
          </c:spPr>
          <c:marker>
            <c:symbol val="none"/>
          </c:marker>
          <c:cat>
            <c:strRef>
              <c:f>Лист1!$A$2:$A$18</c:f>
              <c:strCache>
                <c:ptCount val="17"/>
                <c:pt idx="0">
                  <c:v>2019 кв 1</c:v>
                </c:pt>
                <c:pt idx="1">
                  <c:v>2019 кв 2</c:v>
                </c:pt>
                <c:pt idx="2">
                  <c:v>2019 кв 3</c:v>
                </c:pt>
                <c:pt idx="3">
                  <c:v>2019 кв 4</c:v>
                </c:pt>
                <c:pt idx="4">
                  <c:v>2020 кв 1</c:v>
                </c:pt>
                <c:pt idx="5">
                  <c:v>2020 кв 2</c:v>
                </c:pt>
                <c:pt idx="6">
                  <c:v>2020 кв 3</c:v>
                </c:pt>
                <c:pt idx="7">
                  <c:v>2020 кв 4</c:v>
                </c:pt>
                <c:pt idx="8">
                  <c:v>2021 кв 1</c:v>
                </c:pt>
                <c:pt idx="9">
                  <c:v>2021 кв 2</c:v>
                </c:pt>
                <c:pt idx="10">
                  <c:v>2021 кв 3</c:v>
                </c:pt>
                <c:pt idx="11">
                  <c:v>2021 кв 4</c:v>
                </c:pt>
                <c:pt idx="12">
                  <c:v>2022 кв 1</c:v>
                </c:pt>
                <c:pt idx="13">
                  <c:v>2022 кв 2</c:v>
                </c:pt>
                <c:pt idx="14">
                  <c:v>2022 кв 3</c:v>
                </c:pt>
                <c:pt idx="15">
                  <c:v>2022 кв 4</c:v>
                </c:pt>
                <c:pt idx="16">
                  <c:v>2023 кв 1</c:v>
                </c:pt>
              </c:strCache>
            </c:strRef>
          </c:cat>
          <c:val>
            <c:numRef>
              <c:f>Лист1!$D$2:$D$18</c:f>
              <c:numCache>
                <c:formatCode>General</c:formatCode>
                <c:ptCount val="17"/>
                <c:pt idx="0">
                  <c:v>151.16800000000001</c:v>
                </c:pt>
                <c:pt idx="1">
                  <c:v>179.66300000000001</c:v>
                </c:pt>
                <c:pt idx="2">
                  <c:v>162</c:v>
                </c:pt>
                <c:pt idx="3">
                  <c:v>134.00800000000001</c:v>
                </c:pt>
                <c:pt idx="4">
                  <c:v>152.05799999999999</c:v>
                </c:pt>
                <c:pt idx="5">
                  <c:v>180.72</c:v>
                </c:pt>
                <c:pt idx="6">
                  <c:v>162.95099999999999</c:v>
                </c:pt>
                <c:pt idx="7">
                  <c:v>134.79400000000001</c:v>
                </c:pt>
                <c:pt idx="8">
                  <c:v>152.94900000000001</c:v>
                </c:pt>
                <c:pt idx="9">
                  <c:v>181.77699999999999</c:v>
                </c:pt>
                <c:pt idx="10">
                  <c:v>163.90299999999999</c:v>
                </c:pt>
                <c:pt idx="11">
                  <c:v>135.58000000000001</c:v>
                </c:pt>
                <c:pt idx="12">
                  <c:v>153.839</c:v>
                </c:pt>
                <c:pt idx="13">
                  <c:v>182.78</c:v>
                </c:pt>
                <c:pt idx="14">
                  <c:v>164.851</c:v>
                </c:pt>
                <c:pt idx="15">
                  <c:v>136.322</c:v>
                </c:pt>
                <c:pt idx="16">
                  <c:v>154.76300000000001</c:v>
                </c:pt>
              </c:numCache>
            </c:numRef>
          </c:val>
          <c:smooth val="0"/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Рассчитанные значения ARIMA модели и прогноз</c:v>
                </c:pt>
              </c:strCache>
            </c:strRef>
          </c:tx>
          <c:spPr>
            <a:ln cmpd="dbl">
              <a:solidFill>
                <a:schemeClr val="tx1"/>
              </a:solidFill>
              <a:prstDash val="solid"/>
            </a:ln>
          </c:spPr>
          <c:marker>
            <c:symbol val="none"/>
          </c:marker>
          <c:cat>
            <c:strRef>
              <c:f>Лист1!$A$2:$A$18</c:f>
              <c:strCache>
                <c:ptCount val="17"/>
                <c:pt idx="0">
                  <c:v>2019 кв 1</c:v>
                </c:pt>
                <c:pt idx="1">
                  <c:v>2019 кв 2</c:v>
                </c:pt>
                <c:pt idx="2">
                  <c:v>2019 кв 3</c:v>
                </c:pt>
                <c:pt idx="3">
                  <c:v>2019 кв 4</c:v>
                </c:pt>
                <c:pt idx="4">
                  <c:v>2020 кв 1</c:v>
                </c:pt>
                <c:pt idx="5">
                  <c:v>2020 кв 2</c:v>
                </c:pt>
                <c:pt idx="6">
                  <c:v>2020 кв 3</c:v>
                </c:pt>
                <c:pt idx="7">
                  <c:v>2020 кв 4</c:v>
                </c:pt>
                <c:pt idx="8">
                  <c:v>2021 кв 1</c:v>
                </c:pt>
                <c:pt idx="9">
                  <c:v>2021 кв 2</c:v>
                </c:pt>
                <c:pt idx="10">
                  <c:v>2021 кв 3</c:v>
                </c:pt>
                <c:pt idx="11">
                  <c:v>2021 кв 4</c:v>
                </c:pt>
                <c:pt idx="12">
                  <c:v>2022 кв 1</c:v>
                </c:pt>
                <c:pt idx="13">
                  <c:v>2022 кв 2</c:v>
                </c:pt>
                <c:pt idx="14">
                  <c:v>2022 кв 3</c:v>
                </c:pt>
                <c:pt idx="15">
                  <c:v>2022 кв 4</c:v>
                </c:pt>
                <c:pt idx="16">
                  <c:v>2023 кв 1</c:v>
                </c:pt>
              </c:strCache>
            </c:strRef>
          </c:cat>
          <c:val>
            <c:numRef>
              <c:f>Лист1!$E$2:$E$18</c:f>
              <c:numCache>
                <c:formatCode>General</c:formatCode>
                <c:ptCount val="17"/>
                <c:pt idx="0">
                  <c:v>148.9</c:v>
                </c:pt>
                <c:pt idx="1">
                  <c:v>171.4</c:v>
                </c:pt>
                <c:pt idx="2">
                  <c:v>156.6</c:v>
                </c:pt>
                <c:pt idx="3">
                  <c:v>139.6</c:v>
                </c:pt>
                <c:pt idx="4">
                  <c:v>153.80000000000001</c:v>
                </c:pt>
                <c:pt idx="5">
                  <c:v>175.6</c:v>
                </c:pt>
                <c:pt idx="6">
                  <c:v>162.19999999999999</c:v>
                </c:pt>
                <c:pt idx="7">
                  <c:v>144.9</c:v>
                </c:pt>
                <c:pt idx="8">
                  <c:v>159.30000000000001</c:v>
                </c:pt>
                <c:pt idx="9">
                  <c:v>178.54900000000001</c:v>
                </c:pt>
                <c:pt idx="10">
                  <c:v>164.934</c:v>
                </c:pt>
                <c:pt idx="11">
                  <c:v>148.494</c:v>
                </c:pt>
                <c:pt idx="12">
                  <c:v>161.95099999999999</c:v>
                </c:pt>
                <c:pt idx="13">
                  <c:v>179.833</c:v>
                </c:pt>
                <c:pt idx="14">
                  <c:v>166.535</c:v>
                </c:pt>
                <c:pt idx="15">
                  <c:v>149.941</c:v>
                </c:pt>
                <c:pt idx="16">
                  <c:v>163.32900000000001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81641984"/>
        <c:axId val="78583424"/>
      </c:lineChart>
      <c:catAx>
        <c:axId val="81641984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78583424"/>
        <c:crosses val="autoZero"/>
        <c:auto val="0"/>
        <c:lblAlgn val="ctr"/>
        <c:lblOffset val="100"/>
        <c:noMultiLvlLbl val="0"/>
      </c:catAx>
      <c:valAx>
        <c:axId val="78583424"/>
        <c:scaling>
          <c:orientation val="minMax"/>
          <c:max val="185"/>
          <c:min val="130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81641984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.20783209390492854"/>
          <c:y val="0.64365822307402187"/>
          <c:w val="0.5926520036586993"/>
          <c:h val="0.32051342345005507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Пессимистичный прогноз производства молока, тыс. тонн</c:v>
                </c:pt>
              </c:strCache>
            </c:strRef>
          </c:tx>
          <c:spPr>
            <a:ln cmpd="dbl">
              <a:solidFill>
                <a:sysClr val="windowText" lastClr="000000"/>
              </a:solidFill>
              <a:prstDash val="dash"/>
            </a:ln>
          </c:spPr>
          <c:marker>
            <c:symbol val="diamond"/>
            <c:size val="5"/>
            <c:spPr>
              <a:solidFill>
                <a:sysClr val="windowText" lastClr="000000"/>
              </a:solidFill>
              <a:ln>
                <a:solidFill>
                  <a:sysClr val="windowText" lastClr="000000"/>
                </a:solidFill>
              </a:ln>
            </c:spPr>
          </c:marker>
          <c:dLbls>
            <c:dLbl>
              <c:idx val="0"/>
              <c:layout>
                <c:manualLayout>
                  <c:x val="-7.407407407407407E-2"/>
                  <c:y val="6.698692720294077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0.11342592592592593"/>
                  <c:y val="5.509575669354296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0.10648148148148148"/>
                  <c:y val="2.73496921716148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2.7777777777777776E-2"/>
                  <c:y val="7.491437420920595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5.3240740740740741E-2"/>
                  <c:y val="0.11851533274366444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0.11342592592592585"/>
                  <c:y val="5.9059480196675555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6"/>
              <c:layout>
                <c:manualLayout>
                  <c:x val="-6.4814814814814811E-2"/>
                  <c:y val="4.3204586184145161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-1.4887722368039026E-3"/>
                  <c:y val="5.509575669354292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b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Лист1!$A$2:$A$9</c:f>
              <c:strCache>
                <c:ptCount val="8"/>
                <c:pt idx="0">
                  <c:v>2021 кв 2</c:v>
                </c:pt>
                <c:pt idx="1">
                  <c:v>2021 кв 3</c:v>
                </c:pt>
                <c:pt idx="2">
                  <c:v>2021 кв 4</c:v>
                </c:pt>
                <c:pt idx="3">
                  <c:v>2022 кв 1</c:v>
                </c:pt>
                <c:pt idx="4">
                  <c:v>2022 кв 2</c:v>
                </c:pt>
                <c:pt idx="5">
                  <c:v>2022 кв 3</c:v>
                </c:pt>
                <c:pt idx="6">
                  <c:v>2022 кв 4</c:v>
                </c:pt>
                <c:pt idx="7">
                  <c:v>2023 кв 1</c:v>
                </c:pt>
              </c:strCache>
            </c:strRef>
          </c:cat>
          <c:val>
            <c:numRef>
              <c:f>Лист1!$B$2:$B$9</c:f>
              <c:numCache>
                <c:formatCode>General</c:formatCode>
                <c:ptCount val="8"/>
                <c:pt idx="0">
                  <c:v>178.54900000000001</c:v>
                </c:pt>
                <c:pt idx="1">
                  <c:v>162.786</c:v>
                </c:pt>
                <c:pt idx="2">
                  <c:v>135.58000000000001</c:v>
                </c:pt>
                <c:pt idx="3">
                  <c:v>153.10300000000001</c:v>
                </c:pt>
                <c:pt idx="4">
                  <c:v>179.833</c:v>
                </c:pt>
                <c:pt idx="5">
                  <c:v>163.52199999999999</c:v>
                </c:pt>
                <c:pt idx="6">
                  <c:v>136.322</c:v>
                </c:pt>
                <c:pt idx="7">
                  <c:v>153.857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Оптимистичный прогноз производства молока, тыс. тонн</c:v>
                </c:pt>
              </c:strCache>
            </c:strRef>
          </c:tx>
          <c:spPr>
            <a:ln w="31750">
              <a:solidFill>
                <a:sysClr val="windowText" lastClr="000000"/>
              </a:solidFill>
              <a:prstDash val="sysDot"/>
            </a:ln>
          </c:spPr>
          <c:marker>
            <c:symbol val="circle"/>
            <c:size val="5"/>
            <c:spPr>
              <a:solidFill>
                <a:sysClr val="windowText" lastClr="000000"/>
              </a:solidFill>
              <a:ln w="9525">
                <a:solidFill>
                  <a:sysClr val="windowText" lastClr="000000"/>
                </a:solidFill>
              </a:ln>
            </c:spPr>
          </c:marker>
          <c:dLbls>
            <c:dLbl>
              <c:idx val="1"/>
              <c:layout>
                <c:manualLayout>
                  <c:x val="-1.3888888888888888E-2"/>
                  <c:y val="-5.509575669354300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5.7870370370370371E-2"/>
                  <c:y val="-0.1026604387311341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9.2592592592592587E-2"/>
                  <c:y val="-6.302320369980818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1.6203703703703703E-2"/>
                  <c:y val="-6.302320369980819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6"/>
              <c:layout>
                <c:manualLayout>
                  <c:x val="-5.7870370370370537E-2"/>
                  <c:y val="-9.076926822173635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-1.0748031496062993E-2"/>
                  <c:y val="-5.113203319041041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Лист1!$A$2:$A$9</c:f>
              <c:strCache>
                <c:ptCount val="8"/>
                <c:pt idx="0">
                  <c:v>2021 кв 2</c:v>
                </c:pt>
                <c:pt idx="1">
                  <c:v>2021 кв 3</c:v>
                </c:pt>
                <c:pt idx="2">
                  <c:v>2021 кв 4</c:v>
                </c:pt>
                <c:pt idx="3">
                  <c:v>2022 кв 1</c:v>
                </c:pt>
                <c:pt idx="4">
                  <c:v>2022 кв 2</c:v>
                </c:pt>
                <c:pt idx="5">
                  <c:v>2022 кв 3</c:v>
                </c:pt>
                <c:pt idx="6">
                  <c:v>2022 кв 4</c:v>
                </c:pt>
                <c:pt idx="7">
                  <c:v>2023 кв 1</c:v>
                </c:pt>
              </c:strCache>
            </c:strRef>
          </c:cat>
          <c:val>
            <c:numRef>
              <c:f>Лист1!$C$2:$C$9</c:f>
              <c:numCache>
                <c:formatCode>General</c:formatCode>
                <c:ptCount val="8"/>
                <c:pt idx="0">
                  <c:v>181.77699999999999</c:v>
                </c:pt>
                <c:pt idx="1">
                  <c:v>164.934</c:v>
                </c:pt>
                <c:pt idx="2">
                  <c:v>148.494</c:v>
                </c:pt>
                <c:pt idx="3">
                  <c:v>161.95099999999999</c:v>
                </c:pt>
                <c:pt idx="4">
                  <c:v>182.78</c:v>
                </c:pt>
                <c:pt idx="5">
                  <c:v>166.535</c:v>
                </c:pt>
                <c:pt idx="6">
                  <c:v>149.941</c:v>
                </c:pt>
                <c:pt idx="7">
                  <c:v>163.32900000000001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9344128"/>
        <c:axId val="78585152"/>
      </c:lineChart>
      <c:catAx>
        <c:axId val="79344128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78585152"/>
        <c:crosses val="autoZero"/>
        <c:auto val="1"/>
        <c:lblAlgn val="ctr"/>
        <c:lblOffset val="100"/>
        <c:noMultiLvlLbl val="0"/>
      </c:catAx>
      <c:valAx>
        <c:axId val="78585152"/>
        <c:scaling>
          <c:orientation val="minMax"/>
          <c:max val="185"/>
          <c:min val="130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79344128"/>
        <c:crosses val="autoZero"/>
        <c:crossBetween val="between"/>
      </c:valAx>
    </c:plotArea>
    <c:legend>
      <c:legendPos val="b"/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DAE76E-0C22-4572-9D90-48F64902FC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630</TotalTime>
  <Pages>5</Pages>
  <Words>1837</Words>
  <Characters>10473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Андрей</dc:creator>
  <cp:keywords/>
  <dc:description/>
  <cp:lastModifiedBy>Андрей</cp:lastModifiedBy>
  <cp:revision>81</cp:revision>
  <dcterms:created xsi:type="dcterms:W3CDTF">2021-04-29T08:14:00Z</dcterms:created>
  <dcterms:modified xsi:type="dcterms:W3CDTF">2022-05-26T08:15:00Z</dcterms:modified>
</cp:coreProperties>
</file>