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013B" w:rsidRDefault="00567BDF">
      <w:pPr>
        <w:rPr>
          <w:b/>
        </w:rPr>
      </w:pPr>
      <w:r w:rsidRPr="00567BDF">
        <w:rPr>
          <w:b/>
        </w:rPr>
        <w:t>УДК</w:t>
      </w:r>
      <w:r w:rsidR="00E60A06">
        <w:rPr>
          <w:b/>
          <w:lang w:val="en-US"/>
        </w:rPr>
        <w:t xml:space="preserve"> 332</w:t>
      </w:r>
      <w:r w:rsidR="00E60A06">
        <w:rPr>
          <w:b/>
        </w:rPr>
        <w:t>.</w:t>
      </w:r>
      <w:r w:rsidR="00E60A06">
        <w:rPr>
          <w:b/>
          <w:lang w:val="en-US"/>
        </w:rPr>
        <w:t>1</w:t>
      </w:r>
      <w:r w:rsidRPr="00567BDF">
        <w:rPr>
          <w:b/>
        </w:rPr>
        <w:t>/ББК</w:t>
      </w:r>
      <w:r w:rsidR="00E60A06">
        <w:rPr>
          <w:b/>
        </w:rPr>
        <w:t xml:space="preserve"> </w:t>
      </w:r>
      <w:r w:rsidR="00E60A06" w:rsidRPr="00E60A06">
        <w:rPr>
          <w:b/>
        </w:rPr>
        <w:t>65.9(2Рос…)</w:t>
      </w:r>
    </w:p>
    <w:p w:rsidR="00567BDF" w:rsidRDefault="00567BDF" w:rsidP="00567BDF">
      <w:pPr>
        <w:jc w:val="right"/>
        <w:rPr>
          <w:b/>
        </w:rPr>
      </w:pPr>
      <w:r>
        <w:rPr>
          <w:b/>
        </w:rPr>
        <w:t>Широкова Е.Ю.</w:t>
      </w:r>
    </w:p>
    <w:p w:rsidR="00E60A06" w:rsidRDefault="00E60A06" w:rsidP="00567BDF">
      <w:pPr>
        <w:jc w:val="center"/>
        <w:rPr>
          <w:b/>
        </w:rPr>
      </w:pPr>
      <w:r>
        <w:rPr>
          <w:b/>
        </w:rPr>
        <w:t>АНАЛИЗ СОСТОЯНИЯ НАУЧНО-ИННОВАЦИОННОЙ</w:t>
      </w:r>
      <w:r w:rsidRPr="009E7802">
        <w:rPr>
          <w:b/>
        </w:rPr>
        <w:t xml:space="preserve"> </w:t>
      </w:r>
      <w:r>
        <w:rPr>
          <w:b/>
        </w:rPr>
        <w:t>СФЕРЫ</w:t>
      </w:r>
    </w:p>
    <w:p w:rsidR="00567BDF" w:rsidRDefault="00E60A06" w:rsidP="00567BDF">
      <w:pPr>
        <w:jc w:val="center"/>
        <w:rPr>
          <w:b/>
        </w:rPr>
      </w:pPr>
      <w:r>
        <w:rPr>
          <w:b/>
        </w:rPr>
        <w:t xml:space="preserve"> В МАКРОРЕГИОНЕ</w:t>
      </w:r>
    </w:p>
    <w:p w:rsidR="00567BDF" w:rsidRDefault="00567BDF" w:rsidP="00567BDF">
      <w:pPr>
        <w:jc w:val="center"/>
        <w:rPr>
          <w:b/>
        </w:rPr>
      </w:pPr>
    </w:p>
    <w:p w:rsidR="00567BDF" w:rsidRPr="0052145C" w:rsidRDefault="00567BDF" w:rsidP="00567BDF">
      <w:pPr>
        <w:rPr>
          <w:i/>
        </w:rPr>
      </w:pPr>
      <w:r w:rsidRPr="0052145C">
        <w:rPr>
          <w:b/>
          <w:i/>
        </w:rPr>
        <w:t>Аннотация</w:t>
      </w:r>
      <w:r w:rsidR="0052145C">
        <w:rPr>
          <w:i/>
        </w:rPr>
        <w:t>.</w:t>
      </w:r>
      <w:r w:rsidR="0052145C" w:rsidRPr="0052145C">
        <w:rPr>
          <w:i/>
        </w:rPr>
        <w:t xml:space="preserve"> В исследовании проведен анализ динамики показателей научной сферы и инновационной деятельности предприятий Северо-Западного макрорегиона</w:t>
      </w:r>
      <w:r w:rsidR="00E60A06">
        <w:rPr>
          <w:i/>
        </w:rPr>
        <w:t xml:space="preserve"> на протяжении 2015-2020 гг</w:t>
      </w:r>
      <w:r w:rsidR="0052145C" w:rsidRPr="0052145C">
        <w:rPr>
          <w:i/>
        </w:rPr>
        <w:t xml:space="preserve">. В результате анализа сделан вывод о </w:t>
      </w:r>
      <w:r w:rsidR="0052145C">
        <w:rPr>
          <w:i/>
        </w:rPr>
        <w:t>снижении научного и инновационного потенциала</w:t>
      </w:r>
      <w:r w:rsidR="00DC1A51" w:rsidRPr="00DC1A51">
        <w:rPr>
          <w:i/>
        </w:rPr>
        <w:t xml:space="preserve"> </w:t>
      </w:r>
      <w:r w:rsidR="00DC1A51">
        <w:rPr>
          <w:i/>
        </w:rPr>
        <w:t>СЗФО.</w:t>
      </w:r>
    </w:p>
    <w:p w:rsidR="00567BDF" w:rsidRPr="0052145C" w:rsidRDefault="00567BDF" w:rsidP="00567BDF">
      <w:pPr>
        <w:rPr>
          <w:i/>
        </w:rPr>
      </w:pPr>
      <w:r w:rsidRPr="0052145C">
        <w:rPr>
          <w:b/>
          <w:i/>
        </w:rPr>
        <w:t>Ключевые слова</w:t>
      </w:r>
      <w:r w:rsidR="006C7AAA" w:rsidRPr="0052145C">
        <w:rPr>
          <w:i/>
        </w:rPr>
        <w:t>: СЗФО, регион, наука</w:t>
      </w:r>
      <w:r w:rsidR="009E7802" w:rsidRPr="0052145C">
        <w:rPr>
          <w:i/>
        </w:rPr>
        <w:t>, инновации</w:t>
      </w:r>
      <w:r w:rsidR="00DC1A51">
        <w:rPr>
          <w:i/>
        </w:rPr>
        <w:t>.</w:t>
      </w:r>
    </w:p>
    <w:p w:rsidR="00567BDF" w:rsidRDefault="00567BDF" w:rsidP="00567BDF"/>
    <w:p w:rsidR="00472529" w:rsidRDefault="00300580" w:rsidP="00567BDF">
      <w:pPr>
        <w:ind w:firstLine="709"/>
      </w:pPr>
      <w:r>
        <w:t>На национальном уровне значимость развития науки и технологий подтверждалась не только наличием соответствующих целей в стратегических документах страны (</w:t>
      </w:r>
      <w:r w:rsidR="00DC1A51">
        <w:t>с</w:t>
      </w:r>
      <w:r>
        <w:t>тратеги</w:t>
      </w:r>
      <w:r w:rsidR="00DC1A51">
        <w:t>и</w:t>
      </w:r>
      <w:r>
        <w:t xml:space="preserve"> социально-экономического, научно-технологического</w:t>
      </w:r>
      <w:r w:rsidR="00DC1A51">
        <w:t xml:space="preserve"> развития РФ и т.д.</w:t>
      </w:r>
      <w:r>
        <w:t>)</w:t>
      </w:r>
      <w:r w:rsidR="002D008C">
        <w:t>. В течение 2021 года, объявленного «годом науки»</w:t>
      </w:r>
      <w:r w:rsidR="002D008C">
        <w:rPr>
          <w:rStyle w:val="a5"/>
        </w:rPr>
        <w:footnoteReference w:id="1"/>
      </w:r>
      <w:r w:rsidR="002D008C">
        <w:t>,</w:t>
      </w:r>
      <w:r>
        <w:t xml:space="preserve"> </w:t>
      </w:r>
      <w:r w:rsidR="002D008C">
        <w:t>проводились мероприятий для популяризации науки и привлечению молодежи к исследовательской деятельности.</w:t>
      </w:r>
      <w:r w:rsidR="00456A22">
        <w:t xml:space="preserve"> На протяжении всего года про</w:t>
      </w:r>
      <w:r w:rsidR="00DC1A51">
        <w:t>ведены</w:t>
      </w:r>
      <w:r w:rsidR="00456A22">
        <w:t xml:space="preserve"> </w:t>
      </w:r>
      <w:r w:rsidR="00DC1A51">
        <w:t>5500</w:t>
      </w:r>
      <w:r w:rsidR="00DC1A51">
        <w:t xml:space="preserve"> </w:t>
      </w:r>
      <w:r w:rsidR="00456A22">
        <w:t>мероприяти</w:t>
      </w:r>
      <w:r w:rsidR="00DC1A51">
        <w:t>й</w:t>
      </w:r>
      <w:r w:rsidR="00456A22">
        <w:t>, связанные с наукой (</w:t>
      </w:r>
      <w:r w:rsidR="00472529">
        <w:t>в них приняли участие более 11000 человек</w:t>
      </w:r>
      <w:r w:rsidR="00DC1A51">
        <w:t>)</w:t>
      </w:r>
      <w:r w:rsidR="00472529">
        <w:rPr>
          <w:rStyle w:val="a5"/>
        </w:rPr>
        <w:footnoteReference w:id="2"/>
      </w:r>
      <w:r w:rsidR="00472529">
        <w:t xml:space="preserve">. </w:t>
      </w:r>
      <w:r w:rsidR="00472529" w:rsidRPr="00472529">
        <w:t xml:space="preserve">Для каждого месяца была определена своя тематика: новая медицина, освоение космоса, климат и экология, искусственный интеллект, энергетика будущего </w:t>
      </w:r>
      <w:r w:rsidR="00472529">
        <w:t>– активное обсуждение проводилось также на специальном сайте (</w:t>
      </w:r>
      <w:proofErr w:type="spellStart"/>
      <w:r w:rsidR="00472529">
        <w:t>годнауки</w:t>
      </w:r>
      <w:proofErr w:type="gramStart"/>
      <w:r w:rsidR="00472529">
        <w:t>.р</w:t>
      </w:r>
      <w:proofErr w:type="gramEnd"/>
      <w:r w:rsidR="00472529">
        <w:t>ф</w:t>
      </w:r>
      <w:proofErr w:type="spellEnd"/>
      <w:r w:rsidR="00472529">
        <w:t>).</w:t>
      </w:r>
    </w:p>
    <w:p w:rsidR="00567BDF" w:rsidRDefault="00456A22" w:rsidP="00567BDF">
      <w:pPr>
        <w:ind w:firstLine="709"/>
      </w:pPr>
      <w:r>
        <w:t>С учетом достигнутых за это время результатов Президент России подписал указ</w:t>
      </w:r>
      <w:r>
        <w:rPr>
          <w:rStyle w:val="a5"/>
        </w:rPr>
        <w:footnoteReference w:id="3"/>
      </w:r>
      <w:r>
        <w:t xml:space="preserve"> об объявлении десятилетия 2022–2031 </w:t>
      </w:r>
      <w:r w:rsidRPr="00456A22">
        <w:t>Десятилетием науки и технологий</w:t>
      </w:r>
      <w:r>
        <w:t>.</w:t>
      </w:r>
      <w:r w:rsidR="00460F19">
        <w:t xml:space="preserve"> Основными задачами десятилетия являются: </w:t>
      </w:r>
      <w:r w:rsidR="00460F19" w:rsidRPr="00460F19">
        <w:t>привлечение талантливой молодежи в сферу исследований и разработок, содействие вовлечению исследователей и разработчиков в решение важнейших задач развития общества и страны, повышение доступности информации о достижениях и перспективах российской науки для граждан Российской Федерации</w:t>
      </w:r>
      <w:r w:rsidR="00460F19">
        <w:t>.</w:t>
      </w:r>
    </w:p>
    <w:p w:rsidR="00D8219B" w:rsidRDefault="00D8219B" w:rsidP="00567BDF">
      <w:pPr>
        <w:ind w:firstLine="709"/>
      </w:pPr>
      <w:r>
        <w:t xml:space="preserve">В советское время власть также ставила в приоритет усиление технологической и научной составляющей в решении важных задач социалистического строительства. Меры, предпринимаемые в это время, позволили увеличить число научных работников и нарастить долю расходов на науку из бюджета. Для сравнения: </w:t>
      </w:r>
      <w:r w:rsidRPr="00D8219B">
        <w:t xml:space="preserve">в 2020 году в России было 346 тыс. научных работников </w:t>
      </w:r>
      <w:r w:rsidR="005A5F70">
        <w:t>–</w:t>
      </w:r>
      <w:r w:rsidRPr="00D8219B">
        <w:t xml:space="preserve"> почти столько же, сколько на территории РСФСР в 1962-м. Только за 10 лет после 1962-го их число в РСФСР удвоилось, а за 20 лет перед 2020-м </w:t>
      </w:r>
      <w:r w:rsidR="00DC1A51">
        <w:t xml:space="preserve">сократилось почти на четверть. </w:t>
      </w:r>
      <w:r w:rsidR="00DC1A51" w:rsidRPr="00D8219B">
        <w:t xml:space="preserve">Доля </w:t>
      </w:r>
      <w:r w:rsidRPr="00D8219B">
        <w:t xml:space="preserve">расходов на науку из госбюджета и других источников в валовом национальном доходе выросла за «те» десять лет с 3% до 4,6%, и Советский Союз опережал тогда по этому показателю все другие страны. А сейчас, по данным Всемирного банка, по доле расходов на науку в ВВП Россия с 1,1% </w:t>
      </w:r>
      <w:r w:rsidR="00DC1A51">
        <w:t xml:space="preserve">находится </w:t>
      </w:r>
      <w:r w:rsidRPr="00D8219B">
        <w:t xml:space="preserve">на 30-м месте </w:t>
      </w:r>
      <w:r w:rsidR="005A5F70">
        <w:t>–</w:t>
      </w:r>
      <w:r w:rsidRPr="00D8219B">
        <w:t xml:space="preserve"> отстает вдвое от Китая и Франции, в два с половиной раза от США и Финляндии, вчетверо от Южной Кореи и Израиля</w:t>
      </w:r>
      <w:r w:rsidR="005A5F70">
        <w:t xml:space="preserve"> </w:t>
      </w:r>
      <w:r w:rsidR="005A5F70" w:rsidRPr="005A5F70">
        <w:t>[1]</w:t>
      </w:r>
      <w:r w:rsidRPr="00D8219B">
        <w:t>. В абсолютном же выражении мы тратим на науку примерно в 40 раз меньше США, лидера по этому показателю. И даже в Год науки и технологий, по данным Интерфакса, число закупок НИОКР для нужд государства и госкомпаний и их общий объем сократились на 11% по сравнению с 2020 годом</w:t>
      </w:r>
      <w:r>
        <w:rPr>
          <w:rStyle w:val="a5"/>
        </w:rPr>
        <w:footnoteReference w:id="4"/>
      </w:r>
      <w:r>
        <w:t>.</w:t>
      </w:r>
    </w:p>
    <w:p w:rsidR="00556986" w:rsidRDefault="00120967" w:rsidP="00567BDF">
      <w:pPr>
        <w:ind w:firstLine="709"/>
      </w:pPr>
      <w:r>
        <w:t>На сайте, посвященном</w:t>
      </w:r>
      <w:r w:rsidR="00DC1A51">
        <w:t xml:space="preserve"> году науки</w:t>
      </w:r>
      <w:r>
        <w:t xml:space="preserve">, приведены </w:t>
      </w:r>
      <w:r w:rsidR="00DC1A51">
        <w:t xml:space="preserve">двадцать </w:t>
      </w:r>
      <w:r>
        <w:t>наиболее значимы</w:t>
      </w:r>
      <w:r w:rsidR="00DC1A51">
        <w:t>х</w:t>
      </w:r>
      <w:r>
        <w:t xml:space="preserve"> </w:t>
      </w:r>
      <w:proofErr w:type="spellStart"/>
      <w:r w:rsidR="00DC1A51">
        <w:t>достижен</w:t>
      </w:r>
      <w:r w:rsidR="00DC1A51">
        <w:t>й</w:t>
      </w:r>
      <w:proofErr w:type="spellEnd"/>
      <w:r w:rsidR="00DC1A51">
        <w:t xml:space="preserve"> российских ученых</w:t>
      </w:r>
      <w:r w:rsidR="00DC1A51">
        <w:t>:</w:t>
      </w:r>
      <w:r>
        <w:t xml:space="preserve"> четырнадцать достижений относятся к фундаментальной науке, десять из которых получены в составе международных коллективов или в ходе сотрудничества с зарубежными специалистами.</w:t>
      </w:r>
      <w:r w:rsidR="00B066EC">
        <w:t xml:space="preserve"> </w:t>
      </w:r>
      <w:r w:rsidR="00B066EC" w:rsidRPr="00B066EC">
        <w:t xml:space="preserve">Только шесть представляют новые продукты или методы, из которых четыре относятся к медицине (вакцины от </w:t>
      </w:r>
      <w:proofErr w:type="spellStart"/>
      <w:r w:rsidR="00B066EC" w:rsidRPr="00B066EC">
        <w:t>коронавируса</w:t>
      </w:r>
      <w:proofErr w:type="spellEnd"/>
      <w:r w:rsidR="00B066EC" w:rsidRPr="00B066EC">
        <w:t xml:space="preserve">, препарат от эпилепсии, </w:t>
      </w:r>
      <w:r w:rsidR="00B066EC" w:rsidRPr="00B066EC">
        <w:lastRenderedPageBreak/>
        <w:t xml:space="preserve">комбинированный диагностический тест и защита для </w:t>
      </w:r>
      <w:proofErr w:type="spellStart"/>
      <w:r w:rsidR="00B066EC" w:rsidRPr="00B066EC">
        <w:t>биочипов</w:t>
      </w:r>
      <w:proofErr w:type="spellEnd"/>
      <w:r w:rsidR="00B066EC" w:rsidRPr="00B066EC">
        <w:t>) плюс детектор нейтрино для защиты АЭС и модель для предсказания погоды</w:t>
      </w:r>
      <w:r w:rsidR="00B066EC">
        <w:t>.</w:t>
      </w:r>
      <w:r w:rsidR="00DB7B8C">
        <w:t xml:space="preserve"> Соотношение науки и технологий, выявленное из анализа наиболее значимых достижений, не позволяет экономически обосновать</w:t>
      </w:r>
      <w:r w:rsidR="00E436C2">
        <w:t xml:space="preserve"> понесенные бюджетные расходы и рассчитывать</w:t>
      </w:r>
      <w:r w:rsidR="00FC3329">
        <w:t xml:space="preserve"> на инвестиции в эту сферу за счет доходов от коммерциализации разработок.</w:t>
      </w:r>
      <w:r w:rsidR="00305688">
        <w:t xml:space="preserve"> Помимо акцента на фундаментальных исследованиях еще одним ограничением для развития науки является доминирующее финансирование со стороны государства.</w:t>
      </w:r>
      <w:r w:rsidR="001B37D0">
        <w:t xml:space="preserve"> Участие частных инвесторов </w:t>
      </w:r>
      <w:r w:rsidR="00072966">
        <w:t>смогло бы больше</w:t>
      </w:r>
      <w:r w:rsidR="001B37D0">
        <w:t xml:space="preserve"> мотивирова</w:t>
      </w:r>
      <w:r w:rsidR="00072966">
        <w:t>ть исследователей</w:t>
      </w:r>
      <w:r w:rsidR="001B37D0">
        <w:t xml:space="preserve"> на </w:t>
      </w:r>
      <w:r w:rsidR="00072966">
        <w:t>коммерциализацию</w:t>
      </w:r>
      <w:r w:rsidR="00072966">
        <w:t xml:space="preserve"> </w:t>
      </w:r>
      <w:r w:rsidR="001B37D0">
        <w:t>новых разработок.</w:t>
      </w:r>
      <w:r w:rsidR="00556986">
        <w:t xml:space="preserve"> </w:t>
      </w:r>
    </w:p>
    <w:p w:rsidR="002A7AF2" w:rsidRDefault="00556986" w:rsidP="00567BDF">
      <w:pPr>
        <w:ind w:firstLine="709"/>
      </w:pPr>
      <w:r>
        <w:t xml:space="preserve">Участие частных </w:t>
      </w:r>
      <w:proofErr w:type="gramStart"/>
      <w:r>
        <w:t>инвестиций</w:t>
      </w:r>
      <w:proofErr w:type="gramEnd"/>
      <w:r>
        <w:t xml:space="preserve"> возможно могло бы нивелировать часть проблем, возникших на разных этапах создания отечественных достижений. Так, созданная </w:t>
      </w:r>
      <w:r w:rsidR="002A7AF2">
        <w:t xml:space="preserve">вакцина от </w:t>
      </w:r>
      <w:proofErr w:type="spellStart"/>
      <w:r w:rsidR="002A7AF2">
        <w:t>коронавируса</w:t>
      </w:r>
      <w:proofErr w:type="spellEnd"/>
      <w:r w:rsidR="002A7AF2">
        <w:t>, доказавшая свою эффективность в России, была ограничена в экспорте из-за того, что документы на одобрение ВОЗ были переданы только в январе 2022, а одно из предприятий, производящих лекарство, не прошло инспекционную проверку. Вакцины, произведенные в Китае, были оперативно одобрены ВОЗ, прошли все необходимые ступени для распространения на рынках стран ЕС и США.</w:t>
      </w:r>
    </w:p>
    <w:p w:rsidR="002A7AF2" w:rsidRDefault="00B6724E" w:rsidP="00567BDF">
      <w:pPr>
        <w:ind w:firstLine="709"/>
      </w:pPr>
      <w:r>
        <w:t xml:space="preserve">Первый за десять лет отечественный препарат от эпилепсии – </w:t>
      </w:r>
      <w:proofErr w:type="spellStart"/>
      <w:r>
        <w:t>дибуфелон</w:t>
      </w:r>
      <w:proofErr w:type="spellEnd"/>
      <w:r>
        <w:t xml:space="preserve"> </w:t>
      </w:r>
      <w:r>
        <w:softHyphen/>
        <w:t xml:space="preserve"> от стадии разработки до аптечных прилавков дошел лишь за 23 года, в то время как стандартный срок создания лекарственного препарата по разным источникам составляет около 12 лет. Затягивание процесса коммерциализации препарата у</w:t>
      </w:r>
      <w:r w:rsidR="00556986">
        <w:t xml:space="preserve">величивает риски того, что </w:t>
      </w:r>
      <w:r w:rsidR="00556986">
        <w:t>чужая разработка</w:t>
      </w:r>
      <w:r w:rsidR="00556986">
        <w:t xml:space="preserve"> </w:t>
      </w:r>
      <w:r w:rsidR="00556986">
        <w:t xml:space="preserve">выйдет </w:t>
      </w:r>
      <w:r w:rsidR="00556986">
        <w:t>на</w:t>
      </w:r>
      <w:r>
        <w:t xml:space="preserve"> рынки раньше.</w:t>
      </w:r>
    </w:p>
    <w:p w:rsidR="008168F6" w:rsidRDefault="008168F6" w:rsidP="00567BDF">
      <w:pPr>
        <w:ind w:firstLine="709"/>
      </w:pPr>
      <w:r w:rsidRPr="008168F6">
        <w:t xml:space="preserve">Вклад негосударственной науки в топ-20 достижений Года науки и технологий ограничивается двумя биотехнологическими компаниями. Одна была создана в новосибирском Академгородке десять лет назад, а в прошлом году впервые в мире вывела на рынок комбинированный тест для одновременной диагностики «госпитальной четверки» самых массовых инфекций </w:t>
      </w:r>
      <w:r>
        <w:t>–</w:t>
      </w:r>
      <w:r w:rsidRPr="008168F6">
        <w:t xml:space="preserve"> гепатитов</w:t>
      </w:r>
      <w:proofErr w:type="gramStart"/>
      <w:r w:rsidRPr="008168F6">
        <w:t xml:space="preserve"> В</w:t>
      </w:r>
      <w:proofErr w:type="gramEnd"/>
      <w:r w:rsidRPr="008168F6">
        <w:t xml:space="preserve"> и С, ВИЧ и сифилиса. Вторая </w:t>
      </w:r>
      <w:r>
        <w:t>–</w:t>
      </w:r>
      <w:r w:rsidRPr="008168F6">
        <w:t xml:space="preserve"> </w:t>
      </w:r>
      <w:proofErr w:type="spellStart"/>
      <w:r w:rsidRPr="008168F6">
        <w:t>стартап</w:t>
      </w:r>
      <w:proofErr w:type="spellEnd"/>
      <w:r w:rsidRPr="008168F6">
        <w:t xml:space="preserve"> из подмосковного Пущина, </w:t>
      </w:r>
      <w:proofErr w:type="gramStart"/>
      <w:r w:rsidRPr="008168F6">
        <w:t>учрежденный</w:t>
      </w:r>
      <w:proofErr w:type="gramEnd"/>
      <w:r w:rsidRPr="008168F6">
        <w:t xml:space="preserve"> в 2017 году. Созданные им растения способны самостоятельно светиться в темноте. У исследователей появляется новый метод наблюдения за внутренними процессами в растениях. Кроме того, светящиеся цветки имеют хорошую перспективу украсить наши жилища и общественные пространства, когда их можно будет купить в магазинах </w:t>
      </w:r>
      <w:r>
        <w:t>–</w:t>
      </w:r>
      <w:r w:rsidRPr="008168F6">
        <w:t xml:space="preserve"> что тоже входит в планы разработчиков.</w:t>
      </w:r>
    </w:p>
    <w:p w:rsidR="000B2974" w:rsidRDefault="000B2974" w:rsidP="00567BDF">
      <w:pPr>
        <w:ind w:firstLine="709"/>
      </w:pPr>
      <w:r>
        <w:t>К сожалению</w:t>
      </w:r>
      <w:r w:rsidR="004D415C">
        <w:t>,</w:t>
      </w:r>
      <w:r>
        <w:t xml:space="preserve"> сфера науки в настоящее время не обещает молодым исследователям такие же привилегии, которые были доступны в Советском Союзе. Даже материальные вознаграждения в государственных учреждениях науки проигрывают другим сферам деятельности – </w:t>
      </w:r>
      <w:r w:rsidR="001572C4">
        <w:t>рассчитанным на получение прибыли.</w:t>
      </w:r>
      <w:r w:rsidR="004D415C">
        <w:t xml:space="preserve"> В условиях рыночной экономики основным двигателем науки и технологий является конкурентоспособность создаваемых продуктов, технологий, их</w:t>
      </w:r>
      <w:r w:rsidR="00980821">
        <w:t xml:space="preserve"> </w:t>
      </w:r>
      <w:proofErr w:type="spellStart"/>
      <w:r w:rsidR="00980821">
        <w:t>практикоориентированность</w:t>
      </w:r>
      <w:proofErr w:type="spellEnd"/>
      <w:r w:rsidR="004D415C">
        <w:t>.</w:t>
      </w:r>
    </w:p>
    <w:p w:rsidR="00C63DE0" w:rsidRDefault="00105A07" w:rsidP="00567BDF">
      <w:pPr>
        <w:ind w:firstLine="709"/>
      </w:pPr>
      <w:r>
        <w:t>Для определения состояния и перспектив развития науки проведем анализ затрат на научные разработки и численности исследователей для регионов СЗФО.</w:t>
      </w:r>
      <w:r w:rsidR="002A6851">
        <w:t xml:space="preserve"> </w:t>
      </w:r>
      <w:r w:rsidR="00C63DE0">
        <w:t>Рассматривая внутренние текущие затраты на научные исследования и разработки можно отметить, что доля оплаты труда за рассматриваемый промежуток времени колебалась в диапазоне 45-49% от общей суммы финансирования</w:t>
      </w:r>
      <w:r w:rsidR="00381B06">
        <w:t xml:space="preserve"> (рис. 1)</w:t>
      </w:r>
      <w:r w:rsidR="00C63DE0">
        <w:t>. В это же время затраты на оборудование не превышали 10% (2,5–8,8%).</w:t>
      </w:r>
      <w:r w:rsidR="00861FD3">
        <w:t xml:space="preserve"> При этом, учитывая инфляцию, уровень финансирования научных исследований с 2015 по 2020 гг. остался без изменений.</w:t>
      </w:r>
    </w:p>
    <w:p w:rsidR="00253FC3" w:rsidRPr="0085115E" w:rsidRDefault="00253FC3" w:rsidP="00567BDF">
      <w:pPr>
        <w:ind w:firstLine="709"/>
      </w:pPr>
      <w:r>
        <w:t>Для активного инновационного развития экономики регионов с учетом промышленной направленности большинства субъектов макрорегиона необходимо увеличение финансирования</w:t>
      </w:r>
      <w:r w:rsidR="0085115E">
        <w:t xml:space="preserve"> научных исследований и разработок </w:t>
      </w:r>
      <w:r w:rsidR="0085115E" w:rsidRPr="0085115E">
        <w:t>[</w:t>
      </w:r>
      <w:r w:rsidR="005A5F70" w:rsidRPr="005A5F70">
        <w:t>2</w:t>
      </w:r>
      <w:r w:rsidR="0085115E" w:rsidRPr="0085115E">
        <w:t>]</w:t>
      </w:r>
      <w:r w:rsidR="0085115E">
        <w:t>.</w:t>
      </w:r>
    </w:p>
    <w:p w:rsidR="00C63DE0" w:rsidRDefault="00C63DE0" w:rsidP="00814399">
      <w:pPr>
        <w:jc w:val="center"/>
      </w:pPr>
      <w:r>
        <w:rPr>
          <w:noProof/>
          <w:lang w:eastAsia="ru-RU"/>
        </w:rPr>
        <w:lastRenderedPageBreak/>
        <w:drawing>
          <wp:inline distT="0" distB="0" distL="0" distR="0">
            <wp:extent cx="4913906" cy="2965836"/>
            <wp:effectExtent l="0" t="0" r="1270" b="635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D4142E" w:rsidRDefault="002A2987" w:rsidP="00D4142E">
      <w:pPr>
        <w:jc w:val="center"/>
      </w:pPr>
      <w:r>
        <w:t>Рисунок</w:t>
      </w:r>
      <w:r w:rsidR="00D4142E">
        <w:t xml:space="preserve"> 1.</w:t>
      </w:r>
      <w:r w:rsidR="00381B06">
        <w:t xml:space="preserve"> Внутренние текущие затраты на научные исследования и разработки в СЗФО (текущие цены, млн. руб., 2015–2020 гг.)</w:t>
      </w:r>
    </w:p>
    <w:p w:rsidR="002A2987" w:rsidRDefault="002A2987" w:rsidP="00D4142E">
      <w:pPr>
        <w:jc w:val="center"/>
      </w:pPr>
      <w:r>
        <w:t>Источник: Росстат.</w:t>
      </w:r>
    </w:p>
    <w:p w:rsidR="00567BDF" w:rsidRDefault="00567BDF" w:rsidP="00567BDF"/>
    <w:p w:rsidR="00567BDF" w:rsidRDefault="00C46E7B" w:rsidP="00381B06">
      <w:pPr>
        <w:ind w:firstLine="709"/>
      </w:pPr>
      <w:r>
        <w:t>Отметим также, что</w:t>
      </w:r>
      <w:r w:rsidR="000678BE">
        <w:t xml:space="preserve"> рост количества организаций, выполнявших научные исследования,</w:t>
      </w:r>
      <w:r>
        <w:t xml:space="preserve"> не привел к увеличению</w:t>
      </w:r>
      <w:r w:rsidR="000678BE">
        <w:t xml:space="preserve"> числ</w:t>
      </w:r>
      <w:r w:rsidR="009E4F9D">
        <w:t>а</w:t>
      </w:r>
      <w:r w:rsidR="000678BE">
        <w:t xml:space="preserve"> исследователей (рис. 2).</w:t>
      </w:r>
    </w:p>
    <w:p w:rsidR="000678BE" w:rsidRDefault="000678BE" w:rsidP="00381B06">
      <w:pPr>
        <w:ind w:firstLine="709"/>
      </w:pPr>
    </w:p>
    <w:p w:rsidR="000678BE" w:rsidRDefault="00372F02" w:rsidP="00381B06">
      <w:pPr>
        <w:ind w:firstLine="709"/>
      </w:pPr>
      <w:r>
        <w:rPr>
          <w:noProof/>
          <w:lang w:eastAsia="ru-RU"/>
        </w:rPr>
        <w:drawing>
          <wp:inline distT="0" distB="0" distL="0" distR="0">
            <wp:extent cx="5271714" cy="2918129"/>
            <wp:effectExtent l="0" t="0" r="5715" b="0"/>
            <wp:docPr id="2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381B06" w:rsidRDefault="009E4F9D" w:rsidP="009E4F9D">
      <w:pPr>
        <w:jc w:val="center"/>
      </w:pPr>
      <w:r>
        <w:t>Рис. 2. Число организаций и исследователей в сфере науки (СЗФО, 2015–2020 гг.)</w:t>
      </w:r>
    </w:p>
    <w:p w:rsidR="002A2987" w:rsidRDefault="002A2987" w:rsidP="002A2987">
      <w:pPr>
        <w:jc w:val="center"/>
      </w:pPr>
      <w:r>
        <w:t>Источник: Росстат.</w:t>
      </w:r>
    </w:p>
    <w:p w:rsidR="009E4F9D" w:rsidRDefault="009E4F9D" w:rsidP="009E4F9D">
      <w:pPr>
        <w:jc w:val="center"/>
      </w:pPr>
    </w:p>
    <w:p w:rsidR="002B73F9" w:rsidRDefault="002B73F9" w:rsidP="002B73F9">
      <w:pPr>
        <w:ind w:firstLine="709"/>
      </w:pPr>
      <w:r>
        <w:t>Соответственно, уменьшилось и количество остепененных научных работников: число кандидатов наук снизилось на 1,5 тыс. человек, докторов – на 500 человек.</w:t>
      </w:r>
      <w:r w:rsidR="00FE3078">
        <w:t xml:space="preserve"> В целом эти данные коррелируют с информацией о движении персонала, занятого научными исследованиями в России в целом: по данным наблюдений с 2001 года</w:t>
      </w:r>
      <w:r w:rsidR="002A6851">
        <w:t xml:space="preserve"> в большинстве случаев,</w:t>
      </w:r>
      <w:r w:rsidR="00FE3078">
        <w:t xml:space="preserve"> за исключением двух лет (2013,2015 гг.)</w:t>
      </w:r>
      <w:r w:rsidR="002A6851">
        <w:t>,</w:t>
      </w:r>
      <w:r w:rsidR="00FE3078">
        <w:t xml:space="preserve"> число уволившихся работников перекрывает число принятых в этом же году. </w:t>
      </w:r>
      <w:r w:rsidR="002A6851">
        <w:t>Из этого можно сделать вывод о том</w:t>
      </w:r>
      <w:r w:rsidR="00FE3078">
        <w:t>,</w:t>
      </w:r>
      <w:r w:rsidR="002A6851">
        <w:t xml:space="preserve"> что</w:t>
      </w:r>
      <w:r w:rsidR="00FE3078">
        <w:t xml:space="preserve"> сферу науки в России</w:t>
      </w:r>
      <w:r w:rsidR="009B4C8F">
        <w:t>,</w:t>
      </w:r>
      <w:r w:rsidR="00FE3078">
        <w:t xml:space="preserve"> </w:t>
      </w:r>
      <w:r w:rsidR="009B4C8F">
        <w:t xml:space="preserve">и в СЗФО в частности, </w:t>
      </w:r>
      <w:r w:rsidR="00FE3078">
        <w:t>нельзя назвать привлекательной.</w:t>
      </w:r>
    </w:p>
    <w:p w:rsidR="002B73F9" w:rsidRDefault="006E64A3" w:rsidP="002B73F9">
      <w:pPr>
        <w:ind w:firstLine="709"/>
      </w:pPr>
      <w:proofErr w:type="gramStart"/>
      <w:r>
        <w:lastRenderedPageBreak/>
        <w:t xml:space="preserve">Усиление </w:t>
      </w:r>
      <w:proofErr w:type="spellStart"/>
      <w:r w:rsidR="00894AC4">
        <w:t>санкционного</w:t>
      </w:r>
      <w:proofErr w:type="spellEnd"/>
      <w:r w:rsidR="00894AC4">
        <w:t xml:space="preserve"> давления на страну </w:t>
      </w:r>
      <w:r>
        <w:t>затрону</w:t>
      </w:r>
      <w:r>
        <w:t>ло и</w:t>
      </w:r>
      <w:r>
        <w:t xml:space="preserve"> </w:t>
      </w:r>
      <w:r w:rsidR="00894AC4">
        <w:t>наук</w:t>
      </w:r>
      <w:r>
        <w:t xml:space="preserve">у </w:t>
      </w:r>
      <w:r w:rsidR="00894AC4">
        <w:t>– некоторые международные институты и организации прекратили сотрудничество с российскими, совместные исследования были прекращены или приостановлены.</w:t>
      </w:r>
      <w:proofErr w:type="gramEnd"/>
      <w:r w:rsidR="00894AC4">
        <w:t xml:space="preserve"> В связи с создавшейся ситуацией некоторые эксперты увидели возможность войны между Россией и США из-за угроз международной безопасности</w:t>
      </w:r>
      <w:r w:rsidR="00894AC4">
        <w:rPr>
          <w:rStyle w:val="a5"/>
        </w:rPr>
        <w:footnoteReference w:id="5"/>
      </w:r>
      <w:r w:rsidR="00894AC4">
        <w:t>.</w:t>
      </w:r>
      <w:r w:rsidR="006C3DA3">
        <w:t xml:space="preserve"> Отечественные ученые вносили значимый вклад в борьбу с изменением климата, особую значимость имеют их работы по вопросу потепления в Арктике.</w:t>
      </w:r>
    </w:p>
    <w:p w:rsidR="006C3DA3" w:rsidRDefault="00FD20BE" w:rsidP="002B73F9">
      <w:pPr>
        <w:ind w:firstLine="709"/>
      </w:pPr>
      <w:r>
        <w:t xml:space="preserve">Северо-Западный федеральный округ представляет собой промышленно развитый макрорегион, однако особенности его внешнеторговой структуры с преобладающей долей машин и оборудования в импорте создают проблемы </w:t>
      </w:r>
      <w:r w:rsidR="008024C6">
        <w:t xml:space="preserve">для его экономики </w:t>
      </w:r>
      <w:r>
        <w:t xml:space="preserve">с учетом введения санкций. Текущая ситуация позволяет определить политику </w:t>
      </w:r>
      <w:proofErr w:type="spellStart"/>
      <w:r>
        <w:t>импортозамещения</w:t>
      </w:r>
      <w:proofErr w:type="spellEnd"/>
      <w:r>
        <w:t xml:space="preserve"> как приоритет для развития макрорегиона, однако потребности в сложном технически и технологически обор</w:t>
      </w:r>
      <w:r w:rsidR="001A6150">
        <w:t>у</w:t>
      </w:r>
      <w:r>
        <w:t>довании невозможно преодолеть в краткие сроки.</w:t>
      </w:r>
      <w:r w:rsidR="006F1992">
        <w:t xml:space="preserve"> Поэтому преоблада</w:t>
      </w:r>
      <w:r w:rsidR="003E4BFA">
        <w:t>ние</w:t>
      </w:r>
      <w:r w:rsidR="006F1992">
        <w:t xml:space="preserve"> </w:t>
      </w:r>
      <w:r w:rsidR="003E4BFA">
        <w:t>в</w:t>
      </w:r>
      <w:r w:rsidR="006F1992">
        <w:t xml:space="preserve"> затрат</w:t>
      </w:r>
      <w:r w:rsidR="003E4BFA">
        <w:t>ах</w:t>
      </w:r>
      <w:r w:rsidR="006F1992">
        <w:t xml:space="preserve"> на </w:t>
      </w:r>
      <w:r w:rsidR="003E4BFA">
        <w:t xml:space="preserve">научные исследования </w:t>
      </w:r>
      <w:r w:rsidR="006F1992">
        <w:t>разработ</w:t>
      </w:r>
      <w:r w:rsidR="003E4BFA">
        <w:t>о</w:t>
      </w:r>
      <w:r w:rsidR="006F1992">
        <w:t>к довольно логичн</w:t>
      </w:r>
      <w:r w:rsidR="003E4BFA">
        <w:t>о</w:t>
      </w:r>
      <w:r w:rsidR="006F1992">
        <w:t xml:space="preserve"> (рис. 3).</w:t>
      </w:r>
    </w:p>
    <w:p w:rsidR="00FD20BE" w:rsidRDefault="00FD20BE" w:rsidP="002B73F9">
      <w:pPr>
        <w:ind w:firstLine="709"/>
      </w:pPr>
    </w:p>
    <w:p w:rsidR="001E1A67" w:rsidRDefault="001E1A67" w:rsidP="001E1A67">
      <w:pPr>
        <w:jc w:val="center"/>
      </w:pPr>
      <w:r>
        <w:rPr>
          <w:noProof/>
          <w:lang w:eastAsia="ru-RU"/>
        </w:rPr>
        <w:drawing>
          <wp:inline distT="0" distB="0" distL="0" distR="0">
            <wp:extent cx="5247860" cy="3029447"/>
            <wp:effectExtent l="0" t="0" r="0" b="0"/>
            <wp:docPr id="3" name="Диаграмма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2B73F9" w:rsidRDefault="001E1A67" w:rsidP="001E1A67">
      <w:pPr>
        <w:ind w:firstLine="709"/>
        <w:jc w:val="center"/>
      </w:pPr>
      <w:r>
        <w:t>Рис. 3. Доля затрат на разные виды исследований в СЗФО (% к итогу, 2015–2020 гг.)</w:t>
      </w:r>
    </w:p>
    <w:p w:rsidR="001E1A67" w:rsidRDefault="001E1A67" w:rsidP="002B73F9">
      <w:pPr>
        <w:ind w:firstLine="709"/>
      </w:pPr>
    </w:p>
    <w:p w:rsidR="004248E5" w:rsidRDefault="004248E5" w:rsidP="002B73F9">
      <w:pPr>
        <w:ind w:firstLine="709"/>
      </w:pPr>
      <w:r>
        <w:t xml:space="preserve">Однако подавляющее финансирование разработок не привело к снижению доли машин и оборудования в импорте. По данным Северо-Западного таможенного управления, удельный вес </w:t>
      </w:r>
      <w:r w:rsidR="003E4BFA">
        <w:t xml:space="preserve">в импортных поставках </w:t>
      </w:r>
      <w:r>
        <w:t>товарной группы «</w:t>
      </w:r>
      <w:r w:rsidRPr="004248E5">
        <w:t>Машины,</w:t>
      </w:r>
      <w:r>
        <w:t xml:space="preserve"> </w:t>
      </w:r>
      <w:r w:rsidRPr="004248E5">
        <w:t>оборудование и транспортные средства</w:t>
      </w:r>
      <w:r>
        <w:t>»</w:t>
      </w:r>
      <w:r w:rsidRPr="004248E5">
        <w:t xml:space="preserve"> </w:t>
      </w:r>
      <w:r>
        <w:t>вырос с 46,7% в 2015 году до 46,8% в 2020 г.</w:t>
      </w:r>
    </w:p>
    <w:p w:rsidR="00980821" w:rsidRDefault="007C0FA8" w:rsidP="002B73F9">
      <w:pPr>
        <w:ind w:firstLine="709"/>
      </w:pPr>
      <w:r>
        <w:t>Проведем анализ инновационной деятельности предприятий СЗФО. Для этого рассмотрим объемы затрат в текущих ценах и удельный вес в общем объеме выпущенных товаров и оказанных услуг (рис. 4).</w:t>
      </w:r>
    </w:p>
    <w:p w:rsidR="007C0FA8" w:rsidRDefault="007C0FA8" w:rsidP="002B73F9">
      <w:pPr>
        <w:ind w:firstLine="709"/>
      </w:pPr>
    </w:p>
    <w:p w:rsidR="007C0FA8" w:rsidRDefault="000211EB" w:rsidP="003670CD">
      <w:pPr>
        <w:jc w:val="center"/>
      </w:pPr>
      <w:r>
        <w:rPr>
          <w:noProof/>
          <w:lang w:eastAsia="ru-RU"/>
        </w:rPr>
        <w:lastRenderedPageBreak/>
        <w:drawing>
          <wp:inline distT="0" distB="0" distL="0" distR="0">
            <wp:extent cx="5287617" cy="2926080"/>
            <wp:effectExtent l="0" t="0" r="8890" b="7620"/>
            <wp:docPr id="4" name="Диаграмма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4248E5" w:rsidRDefault="0038560A" w:rsidP="0038560A">
      <w:pPr>
        <w:ind w:firstLine="709"/>
        <w:jc w:val="center"/>
      </w:pPr>
      <w:r>
        <w:t>Рис. 4. Затраты на инновационную деятельность организаций СЗФО (2015–2020 гг.)</w:t>
      </w:r>
    </w:p>
    <w:p w:rsidR="0038560A" w:rsidRDefault="0038560A" w:rsidP="002B73F9">
      <w:pPr>
        <w:ind w:firstLine="709"/>
      </w:pPr>
    </w:p>
    <w:p w:rsidR="0038560A" w:rsidRDefault="0038560A" w:rsidP="002B73F9">
      <w:pPr>
        <w:ind w:firstLine="709"/>
      </w:pPr>
      <w:r>
        <w:t>С учетом инфляции затраты на инновационную деятельность организаций выросли менее чем в 1,7 раза, но по доле затрат от общего объема отгруженных товаров, выполненных работ и оказанных услуг инновационная деятельность стал</w:t>
      </w:r>
      <w:r w:rsidR="006802ED">
        <w:t>а</w:t>
      </w:r>
      <w:r>
        <w:t xml:space="preserve"> финансироваться больше всего на 0,2 </w:t>
      </w:r>
      <w:proofErr w:type="spellStart"/>
      <w:r>
        <w:t>п.п</w:t>
      </w:r>
      <w:proofErr w:type="spellEnd"/>
      <w:r>
        <w:t>.</w:t>
      </w:r>
      <w:r w:rsidR="003670CD">
        <w:t xml:space="preserve"> Объем же инновационных товаров, работ и услуг, несмотря на рост </w:t>
      </w:r>
      <w:r w:rsidR="006802ED">
        <w:t>в текущих ценах</w:t>
      </w:r>
      <w:r w:rsidR="006802ED">
        <w:t xml:space="preserve"> </w:t>
      </w:r>
      <w:r w:rsidR="003670CD">
        <w:t xml:space="preserve">(в 1,5 раза с учетом инфляции) в процентном соотношении </w:t>
      </w:r>
      <w:r w:rsidR="006802ED">
        <w:t>от общего объема услуг</w:t>
      </w:r>
      <w:proofErr w:type="gramStart"/>
      <w:r w:rsidR="006802ED">
        <w:t xml:space="preserve"> ,</w:t>
      </w:r>
      <w:proofErr w:type="gramEnd"/>
      <w:r w:rsidR="006802ED">
        <w:t xml:space="preserve"> работ и товаров </w:t>
      </w:r>
      <w:r w:rsidR="003670CD">
        <w:t>не изменился (рис. 5).</w:t>
      </w:r>
    </w:p>
    <w:p w:rsidR="003670CD" w:rsidRDefault="003670CD" w:rsidP="002B73F9">
      <w:pPr>
        <w:ind w:firstLine="709"/>
      </w:pPr>
    </w:p>
    <w:p w:rsidR="003670CD" w:rsidRDefault="003670CD" w:rsidP="003670CD">
      <w:pPr>
        <w:jc w:val="center"/>
      </w:pPr>
      <w:r>
        <w:rPr>
          <w:noProof/>
          <w:lang w:eastAsia="ru-RU"/>
        </w:rPr>
        <w:drawing>
          <wp:inline distT="0" distB="0" distL="0" distR="0" wp14:anchorId="0600B4DD" wp14:editId="642743FF">
            <wp:extent cx="5152446" cy="3069203"/>
            <wp:effectExtent l="0" t="0" r="0" b="0"/>
            <wp:docPr id="5" name="Диаграмма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3670CD" w:rsidRDefault="003670CD" w:rsidP="003670CD">
      <w:pPr>
        <w:ind w:firstLine="709"/>
        <w:jc w:val="center"/>
      </w:pPr>
      <w:r>
        <w:t>Рис. 5. Объем инновационных товаров, работ, услуг в СЗФО (2015–2020 гг.)</w:t>
      </w:r>
    </w:p>
    <w:p w:rsidR="003670CD" w:rsidRDefault="003670CD" w:rsidP="002B73F9">
      <w:pPr>
        <w:ind w:firstLine="709"/>
      </w:pPr>
    </w:p>
    <w:p w:rsidR="00F211A7" w:rsidRDefault="00F211A7" w:rsidP="002B73F9">
      <w:pPr>
        <w:ind w:firstLine="709"/>
      </w:pPr>
      <w:r>
        <w:t>В результате анализа научной</w:t>
      </w:r>
      <w:r w:rsidR="00040D98">
        <w:t xml:space="preserve"> сферы</w:t>
      </w:r>
      <w:r>
        <w:t xml:space="preserve"> и инновационной деятельности </w:t>
      </w:r>
      <w:r w:rsidR="00040D98">
        <w:t xml:space="preserve">предприятий </w:t>
      </w:r>
      <w:r>
        <w:t>Северо-Западного федерального округа можно отметить, что</w:t>
      </w:r>
      <w:r w:rsidR="00543328">
        <w:t xml:space="preserve"> с ростом количества научных организаций на его территории объем финансирования исследований и разработок не изменился. Возможно, это стало одной из причин того, что на протяжени</w:t>
      </w:r>
      <w:r w:rsidR="00040D98">
        <w:t>и</w:t>
      </w:r>
      <w:r w:rsidR="00543328">
        <w:t xml:space="preserve"> рассматриваемого периода количество исследователей в целом, а также работников, имеющих степень кандидата и доктора наук, последовательно снижалось. С учетом преобладания финансирования разработок</w:t>
      </w:r>
      <w:r w:rsidR="00040D98">
        <w:t>, в</w:t>
      </w:r>
      <w:r w:rsidR="00543328">
        <w:t xml:space="preserve"> </w:t>
      </w:r>
      <w:r w:rsidR="00040D98">
        <w:t>импорте</w:t>
      </w:r>
      <w:r w:rsidR="00543328">
        <w:t xml:space="preserve"> макрорегиона не прослеживается тенденции снижения доли высокотехнологичного </w:t>
      </w:r>
      <w:r w:rsidR="00543328">
        <w:lastRenderedPageBreak/>
        <w:t xml:space="preserve">оборудования, из чего следует, что данные разработки имеют слабое применение на практике конкретно для решения проблемы </w:t>
      </w:r>
      <w:proofErr w:type="spellStart"/>
      <w:r w:rsidR="00543328">
        <w:t>импортозависимости</w:t>
      </w:r>
      <w:proofErr w:type="spellEnd"/>
      <w:r w:rsidR="00543328">
        <w:t xml:space="preserve"> СЗФО.</w:t>
      </w:r>
      <w:r w:rsidR="00D65495">
        <w:t xml:space="preserve"> </w:t>
      </w:r>
      <w:r w:rsidR="00040D98">
        <w:t>Практически незаметный</w:t>
      </w:r>
      <w:r w:rsidR="00D65495">
        <w:t xml:space="preserve"> рост финансирования инновационных разработок коррелирует с </w:t>
      </w:r>
      <w:r w:rsidR="00040D98">
        <w:t>минимальным</w:t>
      </w:r>
      <w:r w:rsidR="00D65495">
        <w:t xml:space="preserve"> рост</w:t>
      </w:r>
      <w:r w:rsidR="00040D98">
        <w:t>ом</w:t>
      </w:r>
      <w:r w:rsidR="00D65495">
        <w:t xml:space="preserve"> доли инновационных товаров в общем объеме отгруженной продукции, оказанных услуг и выполненных работ.</w:t>
      </w:r>
      <w:r w:rsidR="0071217B">
        <w:t xml:space="preserve"> Таким образом, для нивелирования </w:t>
      </w:r>
      <w:proofErr w:type="spellStart"/>
      <w:r w:rsidR="0071217B">
        <w:t>санкционного</w:t>
      </w:r>
      <w:proofErr w:type="spellEnd"/>
      <w:r w:rsidR="0071217B">
        <w:t xml:space="preserve"> давления в макрорегионе выявлен довольно слабый потенциал</w:t>
      </w:r>
      <w:r w:rsidR="005A5F70">
        <w:t>, который, возможно, может быть усилен «параллельным импортом» техники и технологий.</w:t>
      </w:r>
      <w:bookmarkStart w:id="0" w:name="_GoBack"/>
      <w:bookmarkEnd w:id="0"/>
    </w:p>
    <w:p w:rsidR="00F211A7" w:rsidRDefault="00F211A7" w:rsidP="002B73F9">
      <w:pPr>
        <w:ind w:firstLine="709"/>
      </w:pPr>
    </w:p>
    <w:p w:rsidR="00567BDF" w:rsidRPr="00567BDF" w:rsidRDefault="00567BDF" w:rsidP="00567BDF">
      <w:r>
        <w:t>Исследование</w:t>
      </w:r>
      <w:r w:rsidRPr="00567BDF">
        <w:t xml:space="preserve"> подготовлен</w:t>
      </w:r>
      <w:r>
        <w:t>о</w:t>
      </w:r>
      <w:r w:rsidRPr="00567BDF">
        <w:t xml:space="preserve"> в соответствии с государственным заданием для ФГБУН «Вологодский научный центр РАН» по теме НИР № FMGZ-2022-0012 «Факторы и методы устойчивого социально-экономического развития территориальных систем в изменяющихся условиях внешней и внутренней среды».</w:t>
      </w:r>
    </w:p>
    <w:p w:rsidR="00567BDF" w:rsidRDefault="00567BDF"/>
    <w:p w:rsidR="006514DE" w:rsidRPr="006514DE" w:rsidRDefault="006514DE" w:rsidP="006514DE">
      <w:pPr>
        <w:jc w:val="center"/>
        <w:rPr>
          <w:b/>
        </w:rPr>
      </w:pPr>
      <w:r w:rsidRPr="006514DE">
        <w:rPr>
          <w:b/>
        </w:rPr>
        <w:t>Библиографический список</w:t>
      </w:r>
    </w:p>
    <w:p w:rsidR="005A5F70" w:rsidRDefault="0085115E" w:rsidP="006514DE">
      <w:pPr>
        <w:ind w:firstLine="709"/>
        <w:rPr>
          <w:lang w:val="en-US"/>
        </w:rPr>
      </w:pPr>
      <w:r>
        <w:t xml:space="preserve">1. </w:t>
      </w:r>
      <w:proofErr w:type="spellStart"/>
      <w:r w:rsidR="005A5F70">
        <w:t>Ракин</w:t>
      </w:r>
      <w:proofErr w:type="spellEnd"/>
      <w:r w:rsidR="005A5F70">
        <w:t xml:space="preserve"> В. И. Ключевые проблемы развития научно-технологической сферы России // Управление наукой: теория и практика. 2021. Т. 3, № 4. С. 88–95. DOI: 10.19181/smtp.2021.3.4.11</w:t>
      </w:r>
    </w:p>
    <w:p w:rsidR="0085115E" w:rsidRDefault="005A5F70" w:rsidP="006514DE">
      <w:pPr>
        <w:ind w:firstLine="709"/>
      </w:pPr>
      <w:r>
        <w:t xml:space="preserve">2. </w:t>
      </w:r>
      <w:proofErr w:type="spellStart"/>
      <w:r w:rsidR="0085115E" w:rsidRPr="0085115E">
        <w:t>Кумакова</w:t>
      </w:r>
      <w:proofErr w:type="spellEnd"/>
      <w:r w:rsidR="0085115E" w:rsidRPr="0085115E">
        <w:t xml:space="preserve"> С. В. Увеличение финансирования научных исследований и разработок как условие инновационного развития России // Россия: тенденции и перспективы развития. 2018. №</w:t>
      </w:r>
      <w:r w:rsidR="0085115E">
        <w:t xml:space="preserve"> </w:t>
      </w:r>
      <w:r w:rsidR="0085115E" w:rsidRPr="0085115E">
        <w:t>13-1. URL: https://cyberleninka.ru/article/n/uvelichenie-finansirovaniya-nauchnyh-issledovaniy-i-razrabotok-kak-uslovie-innovatsionnogo-razvitiya-rossii (дата обращения: 01.06.2022).</w:t>
      </w:r>
    </w:p>
    <w:p w:rsidR="005A5F70" w:rsidRDefault="005A5F70"/>
    <w:p w:rsidR="006514DE" w:rsidRDefault="006514DE" w:rsidP="006514DE">
      <w:pPr>
        <w:pStyle w:val="3"/>
        <w:spacing w:line="274" w:lineRule="exact"/>
        <w:ind w:left="3682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Информация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</w:rPr>
        <w:t>об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</w:rPr>
        <w:t>авторе</w:t>
      </w:r>
    </w:p>
    <w:p w:rsidR="006514DE" w:rsidRDefault="0070260B" w:rsidP="00924111">
      <w:pPr>
        <w:ind w:firstLine="709"/>
      </w:pPr>
      <w:r>
        <w:t xml:space="preserve">Широкова Елена Юрьевна </w:t>
      </w:r>
      <w:r>
        <w:t>(Россия,</w:t>
      </w:r>
      <w:r>
        <w:rPr>
          <w:spacing w:val="1"/>
        </w:rPr>
        <w:t xml:space="preserve"> </w:t>
      </w:r>
      <w:r>
        <w:t>Вологда)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rPr>
          <w:spacing w:val="1"/>
        </w:rPr>
        <w:t xml:space="preserve">младший </w:t>
      </w:r>
      <w:r>
        <w:t>научный</w:t>
      </w:r>
      <w:r>
        <w:rPr>
          <w:spacing w:val="1"/>
        </w:rPr>
        <w:t xml:space="preserve"> </w:t>
      </w:r>
      <w:r>
        <w:t>сотрудник,</w:t>
      </w:r>
      <w:r>
        <w:rPr>
          <w:spacing w:val="1"/>
        </w:rPr>
        <w:t xml:space="preserve"> </w:t>
      </w:r>
      <w:r>
        <w:t>Федеральное</w:t>
      </w:r>
      <w:r>
        <w:rPr>
          <w:spacing w:val="1"/>
        </w:rPr>
        <w:t xml:space="preserve"> </w:t>
      </w:r>
      <w:r>
        <w:t>государственное</w:t>
      </w:r>
      <w:r>
        <w:rPr>
          <w:spacing w:val="1"/>
        </w:rPr>
        <w:t xml:space="preserve"> </w:t>
      </w:r>
      <w:r>
        <w:t>бюджетное</w:t>
      </w:r>
      <w:r>
        <w:rPr>
          <w:spacing w:val="1"/>
        </w:rPr>
        <w:t xml:space="preserve"> </w:t>
      </w:r>
      <w:r>
        <w:t>учреждение</w:t>
      </w:r>
      <w:r>
        <w:rPr>
          <w:spacing w:val="1"/>
        </w:rPr>
        <w:t xml:space="preserve"> </w:t>
      </w:r>
      <w:r>
        <w:t>науки</w:t>
      </w:r>
      <w:r>
        <w:rPr>
          <w:spacing w:val="1"/>
        </w:rPr>
        <w:t xml:space="preserve"> </w:t>
      </w:r>
      <w:r>
        <w:t>Вологодский</w:t>
      </w:r>
      <w:r>
        <w:rPr>
          <w:spacing w:val="1"/>
        </w:rPr>
        <w:t xml:space="preserve"> </w:t>
      </w:r>
      <w:r>
        <w:t>научный</w:t>
      </w:r>
      <w:r>
        <w:rPr>
          <w:spacing w:val="1"/>
        </w:rPr>
        <w:t xml:space="preserve"> </w:t>
      </w:r>
      <w:r>
        <w:t>центр</w:t>
      </w:r>
      <w:r>
        <w:rPr>
          <w:spacing w:val="1"/>
        </w:rPr>
        <w:t xml:space="preserve"> </w:t>
      </w:r>
      <w:r>
        <w:t>Российской</w:t>
      </w:r>
      <w:r>
        <w:rPr>
          <w:spacing w:val="1"/>
        </w:rPr>
        <w:t xml:space="preserve"> </w:t>
      </w:r>
      <w:r>
        <w:t>академии</w:t>
      </w:r>
      <w:r>
        <w:rPr>
          <w:spacing w:val="-5"/>
        </w:rPr>
        <w:t xml:space="preserve"> </w:t>
      </w:r>
      <w:r>
        <w:t>наук</w:t>
      </w:r>
      <w:r>
        <w:rPr>
          <w:spacing w:val="-4"/>
        </w:rPr>
        <w:t xml:space="preserve"> </w:t>
      </w:r>
      <w:r>
        <w:t>(Россия,</w:t>
      </w:r>
      <w:r>
        <w:rPr>
          <w:spacing w:val="-6"/>
        </w:rPr>
        <w:t xml:space="preserve"> </w:t>
      </w:r>
      <w:r>
        <w:t>160014,</w:t>
      </w:r>
      <w:r>
        <w:rPr>
          <w:spacing w:val="-5"/>
        </w:rPr>
        <w:t xml:space="preserve"> </w:t>
      </w:r>
      <w:r>
        <w:t>г.</w:t>
      </w:r>
      <w:r>
        <w:rPr>
          <w:spacing w:val="-5"/>
        </w:rPr>
        <w:t xml:space="preserve"> </w:t>
      </w:r>
      <w:r>
        <w:t>Вологда,</w:t>
      </w:r>
      <w:r>
        <w:rPr>
          <w:spacing w:val="-4"/>
        </w:rPr>
        <w:t xml:space="preserve"> </w:t>
      </w:r>
      <w:r>
        <w:t>ул.</w:t>
      </w:r>
      <w:r>
        <w:rPr>
          <w:spacing w:val="-5"/>
        </w:rPr>
        <w:t xml:space="preserve"> </w:t>
      </w:r>
      <w:r>
        <w:t>Горького,</w:t>
      </w:r>
      <w:r>
        <w:rPr>
          <w:spacing w:val="-5"/>
        </w:rPr>
        <w:t xml:space="preserve"> </w:t>
      </w:r>
      <w:r>
        <w:t>д.</w:t>
      </w:r>
      <w:r>
        <w:rPr>
          <w:spacing w:val="-6"/>
        </w:rPr>
        <w:t xml:space="preserve"> </w:t>
      </w:r>
      <w:r>
        <w:t>56а,</w:t>
      </w:r>
      <w:r>
        <w:t xml:space="preserve"> </w:t>
      </w:r>
      <w:hyperlink r:id="rId13" w:history="1">
        <w:r w:rsidR="00AE1BFD" w:rsidRPr="00993465">
          <w:rPr>
            <w:rStyle w:val="ac"/>
            <w:lang w:val="en-US"/>
          </w:rPr>
          <w:t>shir11@bk.ru</w:t>
        </w:r>
      </w:hyperlink>
      <w:r>
        <w:rPr>
          <w:lang w:val="en-US"/>
        </w:rPr>
        <w:t>)</w:t>
      </w:r>
      <w:r>
        <w:t>.</w:t>
      </w:r>
    </w:p>
    <w:p w:rsidR="00AE1BFD" w:rsidRDefault="00AE1BFD"/>
    <w:p w:rsidR="00AE1BFD" w:rsidRDefault="00AE1BFD" w:rsidP="00AE1BFD">
      <w:pPr>
        <w:jc w:val="right"/>
        <w:rPr>
          <w:b/>
          <w:lang w:val="en-US"/>
        </w:rPr>
      </w:pPr>
      <w:proofErr w:type="spellStart"/>
      <w:r>
        <w:rPr>
          <w:b/>
          <w:lang w:val="en-US"/>
        </w:rPr>
        <w:t>Shirokova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E.Yu</w:t>
      </w:r>
      <w:proofErr w:type="spellEnd"/>
      <w:r>
        <w:rPr>
          <w:b/>
          <w:lang w:val="en-US"/>
        </w:rPr>
        <w:t>.</w:t>
      </w:r>
    </w:p>
    <w:p w:rsidR="00AE1BFD" w:rsidRDefault="00AE1BFD" w:rsidP="00AE1BFD">
      <w:pPr>
        <w:jc w:val="center"/>
        <w:rPr>
          <w:b/>
          <w:lang w:val="en-US"/>
        </w:rPr>
      </w:pPr>
      <w:r w:rsidRPr="00AE1BFD">
        <w:rPr>
          <w:b/>
          <w:lang w:val="en-US"/>
        </w:rPr>
        <w:t>ANALYSIS OF THE SCIENTIFIC AND INNOVATIVE SPHERE STATE</w:t>
      </w:r>
    </w:p>
    <w:p w:rsidR="00AE1BFD" w:rsidRDefault="00AE1BFD" w:rsidP="00AE1BFD">
      <w:pPr>
        <w:jc w:val="center"/>
        <w:rPr>
          <w:b/>
          <w:lang w:val="en-US"/>
        </w:rPr>
      </w:pPr>
      <w:r w:rsidRPr="00AE1BFD">
        <w:rPr>
          <w:b/>
          <w:lang w:val="en-US"/>
        </w:rPr>
        <w:t>IN THE MACROREGION</w:t>
      </w:r>
    </w:p>
    <w:p w:rsidR="00AE1BFD" w:rsidRDefault="00AE1BFD" w:rsidP="00AE1BFD">
      <w:pPr>
        <w:jc w:val="center"/>
        <w:rPr>
          <w:b/>
          <w:lang w:val="en-US"/>
        </w:rPr>
      </w:pPr>
    </w:p>
    <w:p w:rsidR="00AE1BFD" w:rsidRPr="00AE1BFD" w:rsidRDefault="00AE1BFD" w:rsidP="00AE1BFD">
      <w:pPr>
        <w:rPr>
          <w:b/>
          <w:i/>
          <w:lang w:val="en-US"/>
        </w:rPr>
      </w:pPr>
      <w:r w:rsidRPr="003F721C">
        <w:rPr>
          <w:b/>
          <w:i/>
          <w:lang w:val="en-US"/>
        </w:rPr>
        <w:t>Abstract.</w:t>
      </w:r>
      <w:r>
        <w:rPr>
          <w:b/>
          <w:i/>
          <w:lang w:val="en-US"/>
        </w:rPr>
        <w:t xml:space="preserve"> </w:t>
      </w:r>
      <w:r w:rsidRPr="00AE1BFD">
        <w:rPr>
          <w:i/>
          <w:lang w:val="en-US"/>
        </w:rPr>
        <w:t xml:space="preserve">The study analyzes the dynamics of indicators of the scientific sphere and innovative activity of enterprises of the North-Western </w:t>
      </w:r>
      <w:proofErr w:type="spellStart"/>
      <w:r w:rsidRPr="00AE1BFD">
        <w:rPr>
          <w:i/>
          <w:lang w:val="en-US"/>
        </w:rPr>
        <w:t>macroregion</w:t>
      </w:r>
      <w:proofErr w:type="spellEnd"/>
      <w:r w:rsidRPr="00AE1BFD">
        <w:rPr>
          <w:i/>
          <w:lang w:val="en-US"/>
        </w:rPr>
        <w:t xml:space="preserve"> during 2015-2020. As a result of the analysis, it is concluded that its scientific and innovative potential is decreasing.</w:t>
      </w:r>
    </w:p>
    <w:p w:rsidR="00AE1BFD" w:rsidRDefault="00AE1BFD" w:rsidP="00AE1BFD">
      <w:pPr>
        <w:rPr>
          <w:i/>
          <w:lang w:val="en-US"/>
        </w:rPr>
      </w:pPr>
      <w:r w:rsidRPr="00AE1BFD">
        <w:rPr>
          <w:b/>
          <w:i/>
          <w:lang w:val="en-US"/>
        </w:rPr>
        <w:t xml:space="preserve">Keywords: </w:t>
      </w:r>
      <w:r w:rsidRPr="00AE1BFD">
        <w:rPr>
          <w:i/>
          <w:lang w:val="en-US"/>
        </w:rPr>
        <w:t>NWFD, region, science, innovation</w:t>
      </w:r>
      <w:r w:rsidR="00924111">
        <w:rPr>
          <w:i/>
          <w:lang w:val="en-US"/>
        </w:rPr>
        <w:t>.</w:t>
      </w:r>
    </w:p>
    <w:p w:rsidR="00924111" w:rsidRDefault="00924111" w:rsidP="00AE1BFD">
      <w:pPr>
        <w:rPr>
          <w:i/>
          <w:lang w:val="en-US"/>
        </w:rPr>
      </w:pPr>
    </w:p>
    <w:p w:rsidR="00924111" w:rsidRPr="003F721C" w:rsidRDefault="00924111" w:rsidP="00924111">
      <w:pPr>
        <w:pStyle w:val="3"/>
        <w:spacing w:line="274" w:lineRule="exact"/>
        <w:ind w:left="3418"/>
        <w:jc w:val="both"/>
        <w:rPr>
          <w:rFonts w:ascii="Times New Roman"/>
          <w:lang w:val="en-US"/>
        </w:rPr>
      </w:pPr>
      <w:r w:rsidRPr="003F721C">
        <w:rPr>
          <w:rFonts w:ascii="Times New Roman"/>
          <w:lang w:val="en-US"/>
        </w:rPr>
        <w:t>Information</w:t>
      </w:r>
      <w:r w:rsidRPr="003F721C">
        <w:rPr>
          <w:rFonts w:ascii="Times New Roman"/>
          <w:spacing w:val="-2"/>
          <w:lang w:val="en-US"/>
        </w:rPr>
        <w:t xml:space="preserve"> </w:t>
      </w:r>
      <w:r w:rsidRPr="003F721C">
        <w:rPr>
          <w:rFonts w:ascii="Times New Roman"/>
          <w:lang w:val="en-US"/>
        </w:rPr>
        <w:t>about</w:t>
      </w:r>
      <w:r w:rsidRPr="003F721C">
        <w:rPr>
          <w:rFonts w:ascii="Times New Roman"/>
          <w:spacing w:val="-3"/>
          <w:lang w:val="en-US"/>
        </w:rPr>
        <w:t xml:space="preserve"> </w:t>
      </w:r>
      <w:r w:rsidRPr="003F721C">
        <w:rPr>
          <w:rFonts w:ascii="Times New Roman"/>
          <w:lang w:val="en-US"/>
        </w:rPr>
        <w:t>the</w:t>
      </w:r>
      <w:r w:rsidRPr="003F721C">
        <w:rPr>
          <w:rFonts w:ascii="Times New Roman"/>
          <w:spacing w:val="-3"/>
          <w:lang w:val="en-US"/>
        </w:rPr>
        <w:t xml:space="preserve"> </w:t>
      </w:r>
      <w:r w:rsidRPr="003F721C">
        <w:rPr>
          <w:rFonts w:ascii="Times New Roman"/>
          <w:lang w:val="en-US"/>
        </w:rPr>
        <w:t>author</w:t>
      </w:r>
    </w:p>
    <w:p w:rsidR="00924111" w:rsidRDefault="00924111" w:rsidP="00924111">
      <w:pPr>
        <w:ind w:firstLine="709"/>
        <w:rPr>
          <w:lang w:val="en-US"/>
        </w:rPr>
      </w:pPr>
      <w:proofErr w:type="spellStart"/>
      <w:r>
        <w:rPr>
          <w:lang w:val="en-US"/>
        </w:rPr>
        <w:t>Shirokova</w:t>
      </w:r>
      <w:proofErr w:type="spellEnd"/>
      <w:r>
        <w:rPr>
          <w:lang w:val="en-US"/>
        </w:rPr>
        <w:t xml:space="preserve"> Elena </w:t>
      </w:r>
      <w:proofErr w:type="spellStart"/>
      <w:r>
        <w:rPr>
          <w:lang w:val="en-US"/>
        </w:rPr>
        <w:t>Yurievna</w:t>
      </w:r>
      <w:proofErr w:type="spellEnd"/>
      <w:r>
        <w:rPr>
          <w:lang w:val="en-US"/>
        </w:rPr>
        <w:t xml:space="preserve"> </w:t>
      </w:r>
      <w:r w:rsidRPr="003F721C">
        <w:rPr>
          <w:lang w:val="en-US"/>
        </w:rPr>
        <w:t>(Russia,</w:t>
      </w:r>
      <w:r w:rsidRPr="003F721C">
        <w:rPr>
          <w:spacing w:val="-15"/>
          <w:lang w:val="en-US"/>
        </w:rPr>
        <w:t xml:space="preserve"> </w:t>
      </w:r>
      <w:r w:rsidRPr="003F721C">
        <w:rPr>
          <w:lang w:val="en-US"/>
        </w:rPr>
        <w:t>Vologda)</w:t>
      </w:r>
      <w:r w:rsidRPr="003F721C">
        <w:rPr>
          <w:spacing w:val="-11"/>
          <w:lang w:val="en-US"/>
        </w:rPr>
        <w:t xml:space="preserve"> </w:t>
      </w:r>
      <w:r w:rsidRPr="003F721C">
        <w:rPr>
          <w:lang w:val="en-US"/>
        </w:rPr>
        <w:t>–</w:t>
      </w:r>
      <w:r w:rsidRPr="003F721C">
        <w:rPr>
          <w:spacing w:val="-10"/>
          <w:lang w:val="en-US"/>
        </w:rPr>
        <w:t xml:space="preserve"> </w:t>
      </w:r>
      <w:r>
        <w:rPr>
          <w:spacing w:val="-10"/>
          <w:lang w:val="en-US"/>
        </w:rPr>
        <w:t xml:space="preserve">junior </w:t>
      </w:r>
      <w:r w:rsidRPr="003F721C">
        <w:rPr>
          <w:lang w:val="en-US"/>
        </w:rPr>
        <w:t>research</w:t>
      </w:r>
      <w:r>
        <w:rPr>
          <w:lang w:val="en-US"/>
        </w:rPr>
        <w:t xml:space="preserve"> associate</w:t>
      </w:r>
      <w:r w:rsidRPr="003F721C">
        <w:rPr>
          <w:lang w:val="en-US"/>
        </w:rPr>
        <w:t>,</w:t>
      </w:r>
      <w:r w:rsidRPr="003F721C">
        <w:rPr>
          <w:spacing w:val="-15"/>
          <w:lang w:val="en-US"/>
        </w:rPr>
        <w:t xml:space="preserve"> </w:t>
      </w:r>
      <w:r w:rsidRPr="003F721C">
        <w:rPr>
          <w:lang w:val="en-US"/>
        </w:rPr>
        <w:t>Vologda</w:t>
      </w:r>
      <w:r w:rsidRPr="003F721C">
        <w:rPr>
          <w:spacing w:val="-11"/>
          <w:lang w:val="en-US"/>
        </w:rPr>
        <w:t xml:space="preserve"> </w:t>
      </w:r>
      <w:r w:rsidRPr="003F721C">
        <w:rPr>
          <w:lang w:val="en-US"/>
        </w:rPr>
        <w:t>Research</w:t>
      </w:r>
      <w:r w:rsidRPr="003F721C">
        <w:rPr>
          <w:spacing w:val="-10"/>
          <w:lang w:val="en-US"/>
        </w:rPr>
        <w:t xml:space="preserve"> </w:t>
      </w:r>
      <w:r w:rsidRPr="003F721C">
        <w:rPr>
          <w:lang w:val="en-US"/>
        </w:rPr>
        <w:t>Center</w:t>
      </w:r>
      <w:r w:rsidRPr="003F721C">
        <w:rPr>
          <w:spacing w:val="-11"/>
          <w:lang w:val="en-US"/>
        </w:rPr>
        <w:t xml:space="preserve"> </w:t>
      </w:r>
      <w:r w:rsidRPr="003F721C">
        <w:rPr>
          <w:lang w:val="en-US"/>
        </w:rPr>
        <w:t>of</w:t>
      </w:r>
      <w:r w:rsidRPr="003F721C">
        <w:rPr>
          <w:spacing w:val="-11"/>
          <w:lang w:val="en-US"/>
        </w:rPr>
        <w:t xml:space="preserve"> </w:t>
      </w:r>
      <w:r w:rsidRPr="003F721C">
        <w:rPr>
          <w:lang w:val="en-US"/>
        </w:rPr>
        <w:t>the</w:t>
      </w:r>
      <w:r w:rsidRPr="003F721C">
        <w:rPr>
          <w:spacing w:val="-11"/>
          <w:lang w:val="en-US"/>
        </w:rPr>
        <w:t xml:space="preserve"> </w:t>
      </w:r>
      <w:r w:rsidRPr="003F721C">
        <w:rPr>
          <w:lang w:val="en-US"/>
        </w:rPr>
        <w:t>Russian</w:t>
      </w:r>
      <w:r w:rsidRPr="003F721C">
        <w:rPr>
          <w:spacing w:val="-58"/>
          <w:lang w:val="en-US"/>
        </w:rPr>
        <w:t xml:space="preserve"> </w:t>
      </w:r>
      <w:r w:rsidRPr="003F721C">
        <w:rPr>
          <w:lang w:val="en-US"/>
        </w:rPr>
        <w:t>Academy</w:t>
      </w:r>
      <w:r w:rsidRPr="003F721C">
        <w:rPr>
          <w:spacing w:val="1"/>
          <w:lang w:val="en-US"/>
        </w:rPr>
        <w:t xml:space="preserve"> </w:t>
      </w:r>
      <w:r w:rsidRPr="003F721C">
        <w:rPr>
          <w:lang w:val="en-US"/>
        </w:rPr>
        <w:t>of</w:t>
      </w:r>
      <w:r w:rsidRPr="003F721C">
        <w:rPr>
          <w:spacing w:val="1"/>
          <w:lang w:val="en-US"/>
        </w:rPr>
        <w:t xml:space="preserve"> </w:t>
      </w:r>
      <w:r w:rsidRPr="003F721C">
        <w:rPr>
          <w:lang w:val="en-US"/>
        </w:rPr>
        <w:t>Sciences</w:t>
      </w:r>
      <w:r w:rsidRPr="003F721C">
        <w:rPr>
          <w:spacing w:val="1"/>
          <w:lang w:val="en-US"/>
        </w:rPr>
        <w:t xml:space="preserve"> </w:t>
      </w:r>
      <w:r w:rsidRPr="003F721C">
        <w:rPr>
          <w:lang w:val="en-US"/>
        </w:rPr>
        <w:t>(56A,</w:t>
      </w:r>
      <w:r w:rsidRPr="003F721C">
        <w:rPr>
          <w:spacing w:val="1"/>
          <w:lang w:val="en-US"/>
        </w:rPr>
        <w:t xml:space="preserve"> </w:t>
      </w:r>
      <w:r w:rsidRPr="003F721C">
        <w:rPr>
          <w:lang w:val="en-US"/>
        </w:rPr>
        <w:t>Gorky</w:t>
      </w:r>
      <w:r w:rsidRPr="003F721C">
        <w:rPr>
          <w:spacing w:val="1"/>
          <w:lang w:val="en-US"/>
        </w:rPr>
        <w:t xml:space="preserve"> </w:t>
      </w:r>
      <w:r w:rsidRPr="003F721C">
        <w:rPr>
          <w:lang w:val="en-US"/>
        </w:rPr>
        <w:t>Street,</w:t>
      </w:r>
      <w:r w:rsidRPr="003F721C">
        <w:rPr>
          <w:spacing w:val="1"/>
          <w:lang w:val="en-US"/>
        </w:rPr>
        <w:t xml:space="preserve"> </w:t>
      </w:r>
      <w:r w:rsidRPr="003F721C">
        <w:rPr>
          <w:lang w:val="en-US"/>
        </w:rPr>
        <w:t>Vologda,</w:t>
      </w:r>
      <w:r w:rsidRPr="003F721C">
        <w:rPr>
          <w:spacing w:val="1"/>
          <w:lang w:val="en-US"/>
        </w:rPr>
        <w:t xml:space="preserve"> </w:t>
      </w:r>
      <w:r w:rsidRPr="003F721C">
        <w:rPr>
          <w:lang w:val="en-US"/>
        </w:rPr>
        <w:t>Russian</w:t>
      </w:r>
      <w:r w:rsidRPr="003F721C">
        <w:rPr>
          <w:spacing w:val="1"/>
          <w:lang w:val="en-US"/>
        </w:rPr>
        <w:t xml:space="preserve"> </w:t>
      </w:r>
      <w:r w:rsidRPr="003F721C">
        <w:rPr>
          <w:lang w:val="en-US"/>
        </w:rPr>
        <w:t>Federation,</w:t>
      </w:r>
      <w:r w:rsidRPr="003F721C">
        <w:rPr>
          <w:spacing w:val="1"/>
          <w:lang w:val="en-US"/>
        </w:rPr>
        <w:t xml:space="preserve"> </w:t>
      </w:r>
      <w:r w:rsidRPr="003F721C">
        <w:rPr>
          <w:lang w:val="en-US"/>
        </w:rPr>
        <w:t>160014</w:t>
      </w:r>
      <w:r w:rsidR="00987CDD">
        <w:rPr>
          <w:lang w:val="en-US"/>
        </w:rPr>
        <w:t xml:space="preserve">, </w:t>
      </w:r>
      <w:hyperlink r:id="rId14" w:history="1">
        <w:r w:rsidR="00987CDD" w:rsidRPr="00993465">
          <w:rPr>
            <w:rStyle w:val="ac"/>
            <w:lang w:val="en-US"/>
          </w:rPr>
          <w:t>shir11@bk.ru</w:t>
        </w:r>
      </w:hyperlink>
      <w:r w:rsidR="00987CDD">
        <w:rPr>
          <w:lang w:val="en-US"/>
        </w:rPr>
        <w:t>).</w:t>
      </w:r>
    </w:p>
    <w:p w:rsidR="00987CDD" w:rsidRDefault="00987CDD" w:rsidP="00924111">
      <w:pPr>
        <w:ind w:firstLine="709"/>
        <w:rPr>
          <w:b/>
          <w:i/>
          <w:lang w:val="en-US"/>
        </w:rPr>
      </w:pPr>
    </w:p>
    <w:p w:rsidR="00987CDD" w:rsidRDefault="00987CDD" w:rsidP="00987CDD">
      <w:pPr>
        <w:pStyle w:val="3"/>
        <w:spacing w:line="274" w:lineRule="exact"/>
        <w:ind w:left="99" w:right="94"/>
        <w:jc w:val="center"/>
        <w:rPr>
          <w:rFonts w:ascii="Times New Roman"/>
        </w:rPr>
      </w:pPr>
      <w:proofErr w:type="spellStart"/>
      <w:r>
        <w:rPr>
          <w:rFonts w:ascii="Times New Roman"/>
        </w:rPr>
        <w:t>References</w:t>
      </w:r>
      <w:proofErr w:type="spellEnd"/>
    </w:p>
    <w:p w:rsidR="00987CDD" w:rsidRDefault="00987CDD" w:rsidP="00987CDD">
      <w:pPr>
        <w:ind w:firstLine="709"/>
        <w:rPr>
          <w:lang w:val="en-US"/>
        </w:rPr>
      </w:pPr>
    </w:p>
    <w:p w:rsidR="00987CDD" w:rsidRPr="00987CDD" w:rsidRDefault="00987CDD" w:rsidP="00987CDD">
      <w:pPr>
        <w:ind w:firstLine="709"/>
        <w:rPr>
          <w:lang w:val="en-US"/>
        </w:rPr>
      </w:pPr>
      <w:r w:rsidRPr="00987CDD">
        <w:rPr>
          <w:lang w:val="en-US"/>
        </w:rPr>
        <w:t xml:space="preserve">1. </w:t>
      </w:r>
      <w:proofErr w:type="spellStart"/>
      <w:r w:rsidRPr="00987CDD">
        <w:rPr>
          <w:lang w:val="en-US"/>
        </w:rPr>
        <w:t>Rakin</w:t>
      </w:r>
      <w:proofErr w:type="spellEnd"/>
      <w:r w:rsidRPr="00987CDD">
        <w:rPr>
          <w:lang w:val="en-US"/>
        </w:rPr>
        <w:t xml:space="preserve"> V. I. Key problems of the development of the scientific and technological sphere of Russia // Management of science: theory and practice. 2021. Vol. 3, No. 4. pp. 88</w:t>
      </w:r>
      <w:r>
        <w:rPr>
          <w:lang w:val="en-US"/>
        </w:rPr>
        <w:t>–</w:t>
      </w:r>
      <w:r w:rsidRPr="00987CDD">
        <w:rPr>
          <w:lang w:val="en-US"/>
        </w:rPr>
        <w:t>95. DOI: 10.19181/smtp.2021.3.4.11</w:t>
      </w:r>
    </w:p>
    <w:p w:rsidR="00987CDD" w:rsidRPr="00987CDD" w:rsidRDefault="00987CDD" w:rsidP="00987CDD">
      <w:pPr>
        <w:ind w:firstLine="709"/>
        <w:rPr>
          <w:lang w:val="en-US"/>
        </w:rPr>
      </w:pPr>
      <w:r w:rsidRPr="00987CDD">
        <w:rPr>
          <w:lang w:val="en-US"/>
        </w:rPr>
        <w:t xml:space="preserve">2. </w:t>
      </w:r>
      <w:proofErr w:type="spellStart"/>
      <w:r w:rsidRPr="00987CDD">
        <w:rPr>
          <w:lang w:val="en-US"/>
        </w:rPr>
        <w:t>Kumakova</w:t>
      </w:r>
      <w:proofErr w:type="spellEnd"/>
      <w:r w:rsidRPr="00987CDD">
        <w:rPr>
          <w:lang w:val="en-US"/>
        </w:rPr>
        <w:t xml:space="preserve"> S. V. Increased funding of research and development as a condition for innovative development of Russia // Russia: trends and prospects of development. </w:t>
      </w:r>
      <w:proofErr w:type="gramStart"/>
      <w:r w:rsidRPr="00987CDD">
        <w:rPr>
          <w:lang w:val="en-US"/>
        </w:rPr>
        <w:t>2018. No. 13</w:t>
      </w:r>
      <w:r>
        <w:rPr>
          <w:lang w:val="en-US"/>
        </w:rPr>
        <w:t>–</w:t>
      </w:r>
      <w:r w:rsidRPr="00987CDD">
        <w:rPr>
          <w:lang w:val="en-US"/>
        </w:rPr>
        <w:t>1.</w:t>
      </w:r>
      <w:proofErr w:type="gramEnd"/>
      <w:r w:rsidRPr="00987CDD">
        <w:rPr>
          <w:lang w:val="en-US"/>
        </w:rPr>
        <w:t xml:space="preserve"> URL: https://cyberleninka.ru/article/n/uvelichenie-finansirovaniya-nauchnyh-issledovaniy-i-razrabotok-kak-uslovie-innovatsionnogo-razvitiya-rossii (</w:t>
      </w:r>
      <w:r>
        <w:rPr>
          <w:lang w:val="en-US"/>
        </w:rPr>
        <w:t xml:space="preserve">date </w:t>
      </w:r>
      <w:r w:rsidRPr="00987CDD">
        <w:rPr>
          <w:lang w:val="en-US"/>
        </w:rPr>
        <w:t>accessed: 01.06.2022).</w:t>
      </w:r>
    </w:p>
    <w:p w:rsidR="00AE1BFD" w:rsidRPr="00AE1BFD" w:rsidRDefault="00AE1BFD" w:rsidP="00AE1BFD">
      <w:pPr>
        <w:rPr>
          <w:lang w:val="en-US"/>
        </w:rPr>
      </w:pPr>
    </w:p>
    <w:sectPr w:rsidR="00AE1BFD" w:rsidRPr="00AE1BFD" w:rsidSect="00814399">
      <w:footerReference w:type="default" r:id="rId15"/>
      <w:pgSz w:w="11906" w:h="16838"/>
      <w:pgMar w:top="1134" w:right="566" w:bottom="1134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D008C" w:rsidRDefault="002D008C" w:rsidP="002D008C">
      <w:r>
        <w:separator/>
      </w:r>
    </w:p>
  </w:endnote>
  <w:endnote w:type="continuationSeparator" w:id="0">
    <w:p w:rsidR="002D008C" w:rsidRDefault="002D008C" w:rsidP="002D00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Georgia">
    <w:altName w:val="Georgia"/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782409588"/>
      <w:docPartObj>
        <w:docPartGallery w:val="Page Numbers (Bottom of Page)"/>
        <w:docPartUnique/>
      </w:docPartObj>
    </w:sdtPr>
    <w:sdtEndPr/>
    <w:sdtContent>
      <w:p w:rsidR="006C7AAA" w:rsidRDefault="006C7AAA">
        <w:pPr>
          <w:pStyle w:val="a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40D98">
          <w:rPr>
            <w:noProof/>
          </w:rPr>
          <w:t>6</w:t>
        </w:r>
        <w:r>
          <w:fldChar w:fldCharType="end"/>
        </w:r>
      </w:p>
    </w:sdtContent>
  </w:sdt>
  <w:p w:rsidR="006C7AAA" w:rsidRDefault="006C7AAA">
    <w:pPr>
      <w:pStyle w:val="a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D008C" w:rsidRDefault="002D008C" w:rsidP="002D008C">
      <w:r>
        <w:separator/>
      </w:r>
    </w:p>
  </w:footnote>
  <w:footnote w:type="continuationSeparator" w:id="0">
    <w:p w:rsidR="002D008C" w:rsidRDefault="002D008C" w:rsidP="002D008C">
      <w:r>
        <w:continuationSeparator/>
      </w:r>
    </w:p>
  </w:footnote>
  <w:footnote w:id="1">
    <w:p w:rsidR="002D008C" w:rsidRPr="002D008C" w:rsidRDefault="002D008C">
      <w:pPr>
        <w:pStyle w:val="a3"/>
      </w:pPr>
      <w:r>
        <w:rPr>
          <w:rStyle w:val="a5"/>
        </w:rPr>
        <w:footnoteRef/>
      </w:r>
      <w:r>
        <w:t xml:space="preserve"> </w:t>
      </w:r>
      <w:r w:rsidRPr="002D008C">
        <w:t>Указ о проведении Года науки и технологий</w:t>
      </w:r>
      <w:r>
        <w:t xml:space="preserve"> / Официальный сайт Президента России. </w:t>
      </w:r>
      <w:r>
        <w:rPr>
          <w:lang w:val="en-US"/>
        </w:rPr>
        <w:t>URL</w:t>
      </w:r>
      <w:r>
        <w:t xml:space="preserve">: </w:t>
      </w:r>
      <w:r w:rsidRPr="002D008C">
        <w:t>http://kremlin.ru/acts/news/64749</w:t>
      </w:r>
    </w:p>
  </w:footnote>
  <w:footnote w:id="2">
    <w:p w:rsidR="00472529" w:rsidRDefault="00472529">
      <w:pPr>
        <w:pStyle w:val="a3"/>
      </w:pPr>
      <w:r>
        <w:rPr>
          <w:rStyle w:val="a5"/>
        </w:rPr>
        <w:footnoteRef/>
      </w:r>
      <w:r>
        <w:t xml:space="preserve"> </w:t>
      </w:r>
      <w:r w:rsidRPr="00472529">
        <w:t xml:space="preserve">Итоги года науки и технологий в России </w:t>
      </w:r>
      <w:r>
        <w:t xml:space="preserve">/ </w:t>
      </w:r>
      <w:r w:rsidRPr="00472529">
        <w:t>Портал «Научная Россия»</w:t>
      </w:r>
      <w:r>
        <w:t>.</w:t>
      </w:r>
      <w:r w:rsidRPr="00472529">
        <w:t xml:space="preserve"> </w:t>
      </w:r>
      <w:r>
        <w:rPr>
          <w:lang w:val="en-US"/>
        </w:rPr>
        <w:t>URL</w:t>
      </w:r>
      <w:r>
        <w:t>: https://scientificrussia.ru/</w:t>
      </w:r>
    </w:p>
  </w:footnote>
  <w:footnote w:id="3">
    <w:p w:rsidR="00456A22" w:rsidRPr="00460F19" w:rsidRDefault="00456A22">
      <w:pPr>
        <w:pStyle w:val="a3"/>
        <w:rPr>
          <w:lang w:val="en-US"/>
        </w:rPr>
      </w:pPr>
      <w:r>
        <w:rPr>
          <w:rStyle w:val="a5"/>
        </w:rPr>
        <w:footnoteRef/>
      </w:r>
      <w:r>
        <w:t xml:space="preserve"> </w:t>
      </w:r>
      <w:r w:rsidR="00460F19">
        <w:t xml:space="preserve">Указ об объявлении в РФ Десятилетия науки и технологий / Официальный интернет-портал правовой информации. </w:t>
      </w:r>
      <w:r w:rsidR="00460F19">
        <w:rPr>
          <w:lang w:val="en-US"/>
        </w:rPr>
        <w:t>URL</w:t>
      </w:r>
      <w:r w:rsidR="00460F19" w:rsidRPr="00460F19">
        <w:rPr>
          <w:lang w:val="en-US"/>
        </w:rPr>
        <w:t>: http://publication.pravo.gov.ru/Document/View/0001202204250022?index=0&amp;rangeSize=1</w:t>
      </w:r>
    </w:p>
  </w:footnote>
  <w:footnote w:id="4">
    <w:p w:rsidR="00D8219B" w:rsidRPr="00980821" w:rsidRDefault="00D8219B">
      <w:pPr>
        <w:pStyle w:val="a3"/>
        <w:rPr>
          <w:lang w:val="en-US"/>
        </w:rPr>
      </w:pPr>
      <w:r>
        <w:rPr>
          <w:rStyle w:val="a5"/>
        </w:rPr>
        <w:footnoteRef/>
      </w:r>
      <w:r>
        <w:t xml:space="preserve"> </w:t>
      </w:r>
      <w:r w:rsidRPr="00D8219B">
        <w:t>Санкции против России выявили слабости российской науки</w:t>
      </w:r>
      <w:r>
        <w:t xml:space="preserve"> / Московский комсомолец. </w:t>
      </w:r>
      <w:r>
        <w:rPr>
          <w:lang w:val="en-US"/>
        </w:rPr>
        <w:t>URL</w:t>
      </w:r>
      <w:r w:rsidRPr="00980821">
        <w:rPr>
          <w:lang w:val="en-US"/>
        </w:rPr>
        <w:t>: https://www.mk.ru/science/2022/05/16/sankcii-protiv-rossii-vyyavili-slabosti-rossiyskoy-nauki.html</w:t>
      </w:r>
    </w:p>
  </w:footnote>
  <w:footnote w:id="5">
    <w:p w:rsidR="00894AC4" w:rsidRPr="00894AC4" w:rsidRDefault="00894AC4">
      <w:pPr>
        <w:pStyle w:val="a3"/>
        <w:rPr>
          <w:lang w:val="en-US"/>
        </w:rPr>
      </w:pPr>
      <w:r>
        <w:rPr>
          <w:rStyle w:val="a5"/>
        </w:rPr>
        <w:footnoteRef/>
      </w:r>
      <w:r>
        <w:t xml:space="preserve"> </w:t>
      </w:r>
      <w:r w:rsidRPr="00894AC4">
        <w:t>В США увидели риск войны между РФ и Западом из-за санкций в сфере науки</w:t>
      </w:r>
      <w:r>
        <w:t xml:space="preserve"> / известия. </w:t>
      </w:r>
      <w:r>
        <w:rPr>
          <w:lang w:val="en-US"/>
        </w:rPr>
        <w:t>URL</w:t>
      </w:r>
      <w:r w:rsidRPr="00894AC4">
        <w:rPr>
          <w:lang w:val="en-US"/>
        </w:rPr>
        <w:t>: https://iz.ru/1333816/2022-05-13/v-ssha-uvideli-risk-voiny-mezhdu-rf-i-zapadom-iz-za-sanktcii-v-sfere-nauki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30CB"/>
    <w:rsid w:val="000211EB"/>
    <w:rsid w:val="00040D98"/>
    <w:rsid w:val="000678BE"/>
    <w:rsid w:val="00072966"/>
    <w:rsid w:val="000B2974"/>
    <w:rsid w:val="000E1F33"/>
    <w:rsid w:val="00105A07"/>
    <w:rsid w:val="00120967"/>
    <w:rsid w:val="001572C4"/>
    <w:rsid w:val="001A6150"/>
    <w:rsid w:val="001B37D0"/>
    <w:rsid w:val="001D1CBB"/>
    <w:rsid w:val="001E1A67"/>
    <w:rsid w:val="00253FC3"/>
    <w:rsid w:val="002A2987"/>
    <w:rsid w:val="002A6851"/>
    <w:rsid w:val="002A7AF2"/>
    <w:rsid w:val="002B73F9"/>
    <w:rsid w:val="002D008C"/>
    <w:rsid w:val="002E63A1"/>
    <w:rsid w:val="00300580"/>
    <w:rsid w:val="00305688"/>
    <w:rsid w:val="003670CD"/>
    <w:rsid w:val="00372F02"/>
    <w:rsid w:val="00381B06"/>
    <w:rsid w:val="0038560A"/>
    <w:rsid w:val="003E4BFA"/>
    <w:rsid w:val="004248E5"/>
    <w:rsid w:val="00456A22"/>
    <w:rsid w:val="00460F19"/>
    <w:rsid w:val="00472529"/>
    <w:rsid w:val="004D415C"/>
    <w:rsid w:val="0052145C"/>
    <w:rsid w:val="00543328"/>
    <w:rsid w:val="00556986"/>
    <w:rsid w:val="00561F81"/>
    <w:rsid w:val="00567BDF"/>
    <w:rsid w:val="005A5F70"/>
    <w:rsid w:val="0060513E"/>
    <w:rsid w:val="006514DE"/>
    <w:rsid w:val="006802ED"/>
    <w:rsid w:val="006C3DA3"/>
    <w:rsid w:val="006C7AAA"/>
    <w:rsid w:val="006E64A3"/>
    <w:rsid w:val="006F1992"/>
    <w:rsid w:val="0070260B"/>
    <w:rsid w:val="0071217B"/>
    <w:rsid w:val="00796287"/>
    <w:rsid w:val="007C0FA8"/>
    <w:rsid w:val="007D27BA"/>
    <w:rsid w:val="008024C6"/>
    <w:rsid w:val="00814399"/>
    <w:rsid w:val="008168F6"/>
    <w:rsid w:val="0085115E"/>
    <w:rsid w:val="00861FD3"/>
    <w:rsid w:val="00883FD9"/>
    <w:rsid w:val="00894AC4"/>
    <w:rsid w:val="00924111"/>
    <w:rsid w:val="00954368"/>
    <w:rsid w:val="00980821"/>
    <w:rsid w:val="00987CDD"/>
    <w:rsid w:val="009B4C8F"/>
    <w:rsid w:val="009C30CB"/>
    <w:rsid w:val="009E4F9D"/>
    <w:rsid w:val="009E7802"/>
    <w:rsid w:val="00A56B37"/>
    <w:rsid w:val="00AE1BFD"/>
    <w:rsid w:val="00B066EC"/>
    <w:rsid w:val="00B6724E"/>
    <w:rsid w:val="00C25550"/>
    <w:rsid w:val="00C46E7B"/>
    <w:rsid w:val="00C63DE0"/>
    <w:rsid w:val="00CF166A"/>
    <w:rsid w:val="00D4142E"/>
    <w:rsid w:val="00D65495"/>
    <w:rsid w:val="00D8219B"/>
    <w:rsid w:val="00DB7B8C"/>
    <w:rsid w:val="00DC1A51"/>
    <w:rsid w:val="00E11FC5"/>
    <w:rsid w:val="00E436C2"/>
    <w:rsid w:val="00E60A06"/>
    <w:rsid w:val="00F211A7"/>
    <w:rsid w:val="00F71284"/>
    <w:rsid w:val="00FC3329"/>
    <w:rsid w:val="00FD20BE"/>
    <w:rsid w:val="00FE30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54368"/>
    <w:pPr>
      <w:spacing w:after="0" w:line="240" w:lineRule="auto"/>
      <w:jc w:val="both"/>
    </w:pPr>
    <w:rPr>
      <w:rFonts w:ascii="Times New Roman" w:hAnsi="Times New Roman"/>
      <w:sz w:val="24"/>
    </w:rPr>
  </w:style>
  <w:style w:type="paragraph" w:styleId="3">
    <w:name w:val="heading 3"/>
    <w:basedOn w:val="a"/>
    <w:link w:val="30"/>
    <w:uiPriority w:val="9"/>
    <w:unhideWhenUsed/>
    <w:qFormat/>
    <w:rsid w:val="006514DE"/>
    <w:pPr>
      <w:widowControl w:val="0"/>
      <w:autoSpaceDE w:val="0"/>
      <w:autoSpaceDN w:val="0"/>
      <w:ind w:left="120"/>
      <w:jc w:val="left"/>
      <w:outlineLvl w:val="2"/>
    </w:pPr>
    <w:rPr>
      <w:rFonts w:ascii="Georgia" w:eastAsia="Georgia" w:hAnsi="Georgia" w:cs="Georgia"/>
      <w:b/>
      <w:bCs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2D008C"/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2D008C"/>
    <w:rPr>
      <w:rFonts w:ascii="Times New Roman" w:hAnsi="Times New Roman"/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2D008C"/>
    <w:rPr>
      <w:vertAlign w:val="superscript"/>
    </w:rPr>
  </w:style>
  <w:style w:type="paragraph" w:styleId="a6">
    <w:name w:val="Balloon Text"/>
    <w:basedOn w:val="a"/>
    <w:link w:val="a7"/>
    <w:uiPriority w:val="99"/>
    <w:semiHidden/>
    <w:unhideWhenUsed/>
    <w:rsid w:val="00C63DE0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C63DE0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unhideWhenUsed/>
    <w:rsid w:val="006C7AAA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6C7AAA"/>
    <w:rPr>
      <w:rFonts w:ascii="Times New Roman" w:hAnsi="Times New Roman"/>
      <w:sz w:val="24"/>
    </w:rPr>
  </w:style>
  <w:style w:type="paragraph" w:styleId="aa">
    <w:name w:val="footer"/>
    <w:basedOn w:val="a"/>
    <w:link w:val="ab"/>
    <w:uiPriority w:val="99"/>
    <w:unhideWhenUsed/>
    <w:rsid w:val="006C7AAA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6C7AAA"/>
    <w:rPr>
      <w:rFonts w:ascii="Times New Roman" w:hAnsi="Times New Roman"/>
      <w:sz w:val="24"/>
    </w:rPr>
  </w:style>
  <w:style w:type="character" w:customStyle="1" w:styleId="30">
    <w:name w:val="Заголовок 3 Знак"/>
    <w:basedOn w:val="a0"/>
    <w:link w:val="3"/>
    <w:uiPriority w:val="9"/>
    <w:rsid w:val="006514DE"/>
    <w:rPr>
      <w:rFonts w:ascii="Georgia" w:eastAsia="Georgia" w:hAnsi="Georgia" w:cs="Georgia"/>
      <w:b/>
      <w:bCs/>
      <w:sz w:val="24"/>
      <w:szCs w:val="24"/>
    </w:rPr>
  </w:style>
  <w:style w:type="character" w:styleId="ac">
    <w:name w:val="Hyperlink"/>
    <w:basedOn w:val="a0"/>
    <w:uiPriority w:val="99"/>
    <w:unhideWhenUsed/>
    <w:rsid w:val="00AE1BF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54368"/>
    <w:pPr>
      <w:spacing w:after="0" w:line="240" w:lineRule="auto"/>
      <w:jc w:val="both"/>
    </w:pPr>
    <w:rPr>
      <w:rFonts w:ascii="Times New Roman" w:hAnsi="Times New Roman"/>
      <w:sz w:val="24"/>
    </w:rPr>
  </w:style>
  <w:style w:type="paragraph" w:styleId="3">
    <w:name w:val="heading 3"/>
    <w:basedOn w:val="a"/>
    <w:link w:val="30"/>
    <w:uiPriority w:val="9"/>
    <w:unhideWhenUsed/>
    <w:qFormat/>
    <w:rsid w:val="006514DE"/>
    <w:pPr>
      <w:widowControl w:val="0"/>
      <w:autoSpaceDE w:val="0"/>
      <w:autoSpaceDN w:val="0"/>
      <w:ind w:left="120"/>
      <w:jc w:val="left"/>
      <w:outlineLvl w:val="2"/>
    </w:pPr>
    <w:rPr>
      <w:rFonts w:ascii="Georgia" w:eastAsia="Georgia" w:hAnsi="Georgia" w:cs="Georgia"/>
      <w:b/>
      <w:bCs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2D008C"/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2D008C"/>
    <w:rPr>
      <w:rFonts w:ascii="Times New Roman" w:hAnsi="Times New Roman"/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2D008C"/>
    <w:rPr>
      <w:vertAlign w:val="superscript"/>
    </w:rPr>
  </w:style>
  <w:style w:type="paragraph" w:styleId="a6">
    <w:name w:val="Balloon Text"/>
    <w:basedOn w:val="a"/>
    <w:link w:val="a7"/>
    <w:uiPriority w:val="99"/>
    <w:semiHidden/>
    <w:unhideWhenUsed/>
    <w:rsid w:val="00C63DE0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C63DE0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unhideWhenUsed/>
    <w:rsid w:val="006C7AAA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6C7AAA"/>
    <w:rPr>
      <w:rFonts w:ascii="Times New Roman" w:hAnsi="Times New Roman"/>
      <w:sz w:val="24"/>
    </w:rPr>
  </w:style>
  <w:style w:type="paragraph" w:styleId="aa">
    <w:name w:val="footer"/>
    <w:basedOn w:val="a"/>
    <w:link w:val="ab"/>
    <w:uiPriority w:val="99"/>
    <w:unhideWhenUsed/>
    <w:rsid w:val="006C7AAA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6C7AAA"/>
    <w:rPr>
      <w:rFonts w:ascii="Times New Roman" w:hAnsi="Times New Roman"/>
      <w:sz w:val="24"/>
    </w:rPr>
  </w:style>
  <w:style w:type="character" w:customStyle="1" w:styleId="30">
    <w:name w:val="Заголовок 3 Знак"/>
    <w:basedOn w:val="a0"/>
    <w:link w:val="3"/>
    <w:uiPriority w:val="9"/>
    <w:rsid w:val="006514DE"/>
    <w:rPr>
      <w:rFonts w:ascii="Georgia" w:eastAsia="Georgia" w:hAnsi="Georgia" w:cs="Georgia"/>
      <w:b/>
      <w:bCs/>
      <w:sz w:val="24"/>
      <w:szCs w:val="24"/>
    </w:rPr>
  </w:style>
  <w:style w:type="character" w:styleId="ac">
    <w:name w:val="Hyperlink"/>
    <w:basedOn w:val="a0"/>
    <w:uiPriority w:val="99"/>
    <w:unhideWhenUsed/>
    <w:rsid w:val="00AE1BF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hyperlink" Target="mailto:shir11@bk.ru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chart" Target="charts/chart5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4.xm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chart" Target="charts/chart3.xm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hyperlink" Target="mailto:shir11@bk.ru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2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3.xlsx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4.xlsx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5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0"/>
    <c:plotArea>
      <c:layout/>
      <c:barChart>
        <c:barDir val="col"/>
        <c:grouping val="clustered"/>
        <c:varyColors val="0"/>
        <c:ser>
          <c:idx val="1"/>
          <c:order val="1"/>
          <c:tx>
            <c:strRef>
              <c:f>Лист1!$C$1</c:f>
              <c:strCache>
                <c:ptCount val="1"/>
                <c:pt idx="0">
                  <c:v>Оплата труда</c:v>
                </c:pt>
              </c:strCache>
            </c:strRef>
          </c:tx>
          <c:invertIfNegative val="0"/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Лист1!$A$2:$A$7</c:f>
              <c:strCache>
                <c:ptCount val="6"/>
                <c:pt idx="0">
                  <c:v>2015 г.</c:v>
                </c:pt>
                <c:pt idx="1">
                  <c:v>2016 г.</c:v>
                </c:pt>
                <c:pt idx="2">
                  <c:v>2017 г.</c:v>
                </c:pt>
                <c:pt idx="3">
                  <c:v>2018 г.</c:v>
                </c:pt>
                <c:pt idx="4">
                  <c:v>2019 г.</c:v>
                </c:pt>
                <c:pt idx="5">
                  <c:v>2020 г.</c:v>
                </c:pt>
              </c:strCache>
            </c:strRef>
          </c:cat>
          <c:val>
            <c:numRef>
              <c:f>Лист1!$C$2:$C$7</c:f>
              <c:numCache>
                <c:formatCode>[=0]"";0.0</c:formatCode>
                <c:ptCount val="6"/>
                <c:pt idx="0">
                  <c:v>57323.199999999997</c:v>
                </c:pt>
                <c:pt idx="1">
                  <c:v>60451.138299999999</c:v>
                </c:pt>
                <c:pt idx="2">
                  <c:v>65801.5</c:v>
                </c:pt>
                <c:pt idx="3">
                  <c:v>66604.882299999997</c:v>
                </c:pt>
                <c:pt idx="4">
                  <c:v>71400.711599999995</c:v>
                </c:pt>
                <c:pt idx="5">
                  <c:v>69716.534799999994</c:v>
                </c:pt>
              </c:numCache>
            </c:numRef>
          </c:val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Приобретение оборудования</c:v>
                </c:pt>
              </c:strCache>
            </c:strRef>
          </c:tx>
          <c:spPr>
            <a:ln>
              <a:noFill/>
            </a:ln>
          </c:spPr>
          <c:invertIfNegative val="0"/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Лист1!$A$2:$A$7</c:f>
              <c:strCache>
                <c:ptCount val="6"/>
                <c:pt idx="0">
                  <c:v>2015 г.</c:v>
                </c:pt>
                <c:pt idx="1">
                  <c:v>2016 г.</c:v>
                </c:pt>
                <c:pt idx="2">
                  <c:v>2017 г.</c:v>
                </c:pt>
                <c:pt idx="3">
                  <c:v>2018 г.</c:v>
                </c:pt>
                <c:pt idx="4">
                  <c:v>2019 г.</c:v>
                </c:pt>
                <c:pt idx="5">
                  <c:v>2020 г.</c:v>
                </c:pt>
              </c:strCache>
            </c:strRef>
          </c:cat>
          <c:val>
            <c:numRef>
              <c:f>Лист1!$D$2:$D$7</c:f>
              <c:numCache>
                <c:formatCode>[=0]"";0.0</c:formatCode>
                <c:ptCount val="6"/>
                <c:pt idx="0">
                  <c:v>6269.3</c:v>
                </c:pt>
                <c:pt idx="1">
                  <c:v>5885.8697000000002</c:v>
                </c:pt>
                <c:pt idx="2">
                  <c:v>4380.3999999999996</c:v>
                </c:pt>
                <c:pt idx="3">
                  <c:v>3323.0210000000002</c:v>
                </c:pt>
                <c:pt idx="4">
                  <c:v>13717.195800000001</c:v>
                </c:pt>
                <c:pt idx="5">
                  <c:v>7580.5027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34442240"/>
        <c:axId val="34468608"/>
      </c:barChart>
      <c:lineChart>
        <c:grouping val="standar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Всего</c:v>
                </c:pt>
              </c:strCache>
            </c:strRef>
          </c:tx>
          <c:marker>
            <c:symbol val="none"/>
          </c:marker>
          <c:dLbls>
            <c:dLblPos val="t"/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Лист1!$A$2:$A$7</c:f>
              <c:strCache>
                <c:ptCount val="6"/>
                <c:pt idx="0">
                  <c:v>2015 г.</c:v>
                </c:pt>
                <c:pt idx="1">
                  <c:v>2016 г.</c:v>
                </c:pt>
                <c:pt idx="2">
                  <c:v>2017 г.</c:v>
                </c:pt>
                <c:pt idx="3">
                  <c:v>2018 г.</c:v>
                </c:pt>
                <c:pt idx="4">
                  <c:v>2019 г.</c:v>
                </c:pt>
                <c:pt idx="5">
                  <c:v>2020 г.</c:v>
                </c:pt>
              </c:strCache>
            </c:strRef>
          </c:cat>
          <c:val>
            <c:numRef>
              <c:f>Лист1!$B$2:$B$7</c:f>
              <c:numCache>
                <c:formatCode>[=0]"";0.0</c:formatCode>
                <c:ptCount val="6"/>
                <c:pt idx="0">
                  <c:v>120665</c:v>
                </c:pt>
                <c:pt idx="1">
                  <c:v>123449.1963</c:v>
                </c:pt>
                <c:pt idx="2">
                  <c:v>132464.4</c:v>
                </c:pt>
                <c:pt idx="3">
                  <c:v>135614.51850000001</c:v>
                </c:pt>
                <c:pt idx="4">
                  <c:v>156665.73440000002</c:v>
                </c:pt>
                <c:pt idx="5">
                  <c:v>147062.71100000001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34442240"/>
        <c:axId val="34468608"/>
      </c:lineChart>
      <c:catAx>
        <c:axId val="34442240"/>
        <c:scaling>
          <c:orientation val="minMax"/>
        </c:scaling>
        <c:delete val="0"/>
        <c:axPos val="b"/>
        <c:majorTickMark val="out"/>
        <c:minorTickMark val="none"/>
        <c:tickLblPos val="nextTo"/>
        <c:crossAx val="34468608"/>
        <c:crosses val="autoZero"/>
        <c:auto val="1"/>
        <c:lblAlgn val="ctr"/>
        <c:lblOffset val="100"/>
        <c:noMultiLvlLbl val="0"/>
      </c:catAx>
      <c:valAx>
        <c:axId val="34468608"/>
        <c:scaling>
          <c:orientation val="minMax"/>
        </c:scaling>
        <c:delete val="0"/>
        <c:axPos val="l"/>
        <c:majorGridlines/>
        <c:numFmt formatCode="[=0]&quot;&quot;;0.0" sourceLinked="1"/>
        <c:majorTickMark val="out"/>
        <c:minorTickMark val="none"/>
        <c:tickLblPos val="nextTo"/>
        <c:crossAx val="34442240"/>
        <c:crosses val="autoZero"/>
        <c:crossBetween val="between"/>
      </c:valAx>
    </c:plotArea>
    <c:legend>
      <c:legendPos val="b"/>
      <c:layout/>
      <c:overlay val="0"/>
    </c:legend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0"/>
    <c:plotArea>
      <c:layout/>
      <c:barChart>
        <c:barDir val="col"/>
        <c:grouping val="clustered"/>
        <c:varyColors val="0"/>
        <c:ser>
          <c:idx val="2"/>
          <c:order val="2"/>
          <c:tx>
            <c:strRef>
              <c:f>Лист1!$D$1</c:f>
              <c:strCache>
                <c:ptCount val="1"/>
                <c:pt idx="0">
                  <c:v>Численность докторов наук, тыс. чел.</c:v>
                </c:pt>
              </c:strCache>
            </c:strRef>
          </c:tx>
          <c:invertIfNegative val="0"/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Лист1!$A$2:$A$7</c:f>
              <c:strCache>
                <c:ptCount val="6"/>
                <c:pt idx="0">
                  <c:v>2015 г.</c:v>
                </c:pt>
                <c:pt idx="1">
                  <c:v>2016 г.</c:v>
                </c:pt>
                <c:pt idx="2">
                  <c:v>2017 г.</c:v>
                </c:pt>
                <c:pt idx="3">
                  <c:v>2018 г.</c:v>
                </c:pt>
                <c:pt idx="4">
                  <c:v>2019 г.</c:v>
                </c:pt>
                <c:pt idx="5">
                  <c:v>2020 г.</c:v>
                </c:pt>
              </c:strCache>
            </c:strRef>
          </c:cat>
          <c:val>
            <c:numRef>
              <c:f>Лист1!$D$2:$D$7</c:f>
              <c:numCache>
                <c:formatCode>General</c:formatCode>
                <c:ptCount val="6"/>
                <c:pt idx="0">
                  <c:v>3.3</c:v>
                </c:pt>
                <c:pt idx="1">
                  <c:v>3.1</c:v>
                </c:pt>
                <c:pt idx="2">
                  <c:v>2.9</c:v>
                </c:pt>
                <c:pt idx="3">
                  <c:v>2.7</c:v>
                </c:pt>
                <c:pt idx="4">
                  <c:v>2.8</c:v>
                </c:pt>
                <c:pt idx="5">
                  <c:v>2.8</c:v>
                </c:pt>
              </c:numCache>
            </c:numRef>
          </c:val>
        </c:ser>
        <c:ser>
          <c:idx val="3"/>
          <c:order val="3"/>
          <c:tx>
            <c:strRef>
              <c:f>Лист1!$E$1</c:f>
              <c:strCache>
                <c:ptCount val="1"/>
                <c:pt idx="0">
                  <c:v>Численность кандидатов наук, тыс. чел.</c:v>
                </c:pt>
              </c:strCache>
            </c:strRef>
          </c:tx>
          <c:invertIfNegative val="0"/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Лист1!$A$2:$A$7</c:f>
              <c:strCache>
                <c:ptCount val="6"/>
                <c:pt idx="0">
                  <c:v>2015 г.</c:v>
                </c:pt>
                <c:pt idx="1">
                  <c:v>2016 г.</c:v>
                </c:pt>
                <c:pt idx="2">
                  <c:v>2017 г.</c:v>
                </c:pt>
                <c:pt idx="3">
                  <c:v>2018 г.</c:v>
                </c:pt>
                <c:pt idx="4">
                  <c:v>2019 г.</c:v>
                </c:pt>
                <c:pt idx="5">
                  <c:v>2020 г.</c:v>
                </c:pt>
              </c:strCache>
            </c:strRef>
          </c:cat>
          <c:val>
            <c:numRef>
              <c:f>Лист1!$E$2:$E$7</c:f>
              <c:numCache>
                <c:formatCode>General</c:formatCode>
                <c:ptCount val="6"/>
                <c:pt idx="0">
                  <c:v>10.5</c:v>
                </c:pt>
                <c:pt idx="1">
                  <c:v>9.6999999999999993</c:v>
                </c:pt>
                <c:pt idx="2">
                  <c:v>9.3000000000000007</c:v>
                </c:pt>
                <c:pt idx="3">
                  <c:v>8.8000000000000007</c:v>
                </c:pt>
                <c:pt idx="4">
                  <c:v>9.1</c:v>
                </c:pt>
                <c:pt idx="5" formatCode="0.0">
                  <c:v>9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93563136"/>
        <c:axId val="93569024"/>
      </c:barChart>
      <c:lineChart>
        <c:grouping val="standard"/>
        <c:varyColors val="0"/>
        <c:ser>
          <c:idx val="1"/>
          <c:order val="1"/>
          <c:tx>
            <c:strRef>
              <c:f>Лист1!$C$1</c:f>
              <c:strCache>
                <c:ptCount val="1"/>
                <c:pt idx="0">
                  <c:v>Численность исследователей, тыс. чел.</c:v>
                </c:pt>
              </c:strCache>
            </c:strRef>
          </c:tx>
          <c:marker>
            <c:symbol val="none"/>
          </c:marker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Лист1!$A$2:$A$7</c:f>
              <c:strCache>
                <c:ptCount val="6"/>
                <c:pt idx="0">
                  <c:v>2015 г.</c:v>
                </c:pt>
                <c:pt idx="1">
                  <c:v>2016 г.</c:v>
                </c:pt>
                <c:pt idx="2">
                  <c:v>2017 г.</c:v>
                </c:pt>
                <c:pt idx="3">
                  <c:v>2018 г.</c:v>
                </c:pt>
                <c:pt idx="4">
                  <c:v>2019 г.</c:v>
                </c:pt>
                <c:pt idx="5">
                  <c:v>2020 г.</c:v>
                </c:pt>
              </c:strCache>
            </c:strRef>
          </c:cat>
          <c:val>
            <c:numRef>
              <c:f>Лист1!$C$2:$C$7</c:f>
              <c:numCache>
                <c:formatCode>0.0</c:formatCode>
                <c:ptCount val="6"/>
                <c:pt idx="0">
                  <c:v>98.061999999999998</c:v>
                </c:pt>
                <c:pt idx="1">
                  <c:v>95.117999999999995</c:v>
                </c:pt>
                <c:pt idx="2">
                  <c:v>94.525000000000006</c:v>
                </c:pt>
                <c:pt idx="3">
                  <c:v>91.658000000000001</c:v>
                </c:pt>
                <c:pt idx="4">
                  <c:v>91.421999999999997</c:v>
                </c:pt>
                <c:pt idx="5">
                  <c:v>87.411000000000001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93563136"/>
        <c:axId val="93569024"/>
      </c:lineChart>
      <c:lineChart>
        <c:grouping val="standar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Число организаций, ед. (правая шкала)</c:v>
                </c:pt>
              </c:strCache>
            </c:strRef>
          </c:tx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Лист1!$A$2:$A$7</c:f>
              <c:strCache>
                <c:ptCount val="6"/>
                <c:pt idx="0">
                  <c:v>2015 г.</c:v>
                </c:pt>
                <c:pt idx="1">
                  <c:v>2016 г.</c:v>
                </c:pt>
                <c:pt idx="2">
                  <c:v>2017 г.</c:v>
                </c:pt>
                <c:pt idx="3">
                  <c:v>2018 г.</c:v>
                </c:pt>
                <c:pt idx="4">
                  <c:v>2019 г.</c:v>
                </c:pt>
                <c:pt idx="5">
                  <c:v>2020 г.</c:v>
                </c:pt>
              </c:strCache>
            </c:strRef>
          </c:cat>
          <c:val>
            <c:numRef>
              <c:f>Лист1!$B$2:$B$7</c:f>
              <c:numCache>
                <c:formatCode>General</c:formatCode>
                <c:ptCount val="6"/>
                <c:pt idx="0">
                  <c:v>493</c:v>
                </c:pt>
                <c:pt idx="1">
                  <c:v>494</c:v>
                </c:pt>
                <c:pt idx="2">
                  <c:v>476</c:v>
                </c:pt>
                <c:pt idx="3">
                  <c:v>483</c:v>
                </c:pt>
                <c:pt idx="4">
                  <c:v>521</c:v>
                </c:pt>
                <c:pt idx="5">
                  <c:v>514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93572096"/>
        <c:axId val="93570560"/>
      </c:lineChart>
      <c:catAx>
        <c:axId val="93563136"/>
        <c:scaling>
          <c:orientation val="minMax"/>
        </c:scaling>
        <c:delete val="0"/>
        <c:axPos val="b"/>
        <c:majorTickMark val="out"/>
        <c:minorTickMark val="none"/>
        <c:tickLblPos val="nextTo"/>
        <c:crossAx val="93569024"/>
        <c:crosses val="autoZero"/>
        <c:auto val="1"/>
        <c:lblAlgn val="ctr"/>
        <c:lblOffset val="100"/>
        <c:noMultiLvlLbl val="0"/>
      </c:catAx>
      <c:valAx>
        <c:axId val="93569024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93563136"/>
        <c:crosses val="autoZero"/>
        <c:crossBetween val="between"/>
      </c:valAx>
      <c:valAx>
        <c:axId val="93570560"/>
        <c:scaling>
          <c:orientation val="minMax"/>
        </c:scaling>
        <c:delete val="0"/>
        <c:axPos val="r"/>
        <c:numFmt formatCode="General" sourceLinked="1"/>
        <c:majorTickMark val="out"/>
        <c:minorTickMark val="none"/>
        <c:tickLblPos val="nextTo"/>
        <c:crossAx val="93572096"/>
        <c:crosses val="max"/>
        <c:crossBetween val="between"/>
      </c:valAx>
      <c:catAx>
        <c:axId val="93572096"/>
        <c:scaling>
          <c:orientation val="minMax"/>
        </c:scaling>
        <c:delete val="1"/>
        <c:axPos val="b"/>
        <c:majorTickMark val="out"/>
        <c:minorTickMark val="none"/>
        <c:tickLblPos val="nextTo"/>
        <c:crossAx val="93570560"/>
        <c:crosses val="autoZero"/>
        <c:auto val="1"/>
        <c:lblAlgn val="ctr"/>
        <c:lblOffset val="100"/>
        <c:noMultiLvlLbl val="0"/>
      </c:catAx>
    </c:plotArea>
    <c:legend>
      <c:legendPos val="b"/>
      <c:layout/>
      <c:overlay val="0"/>
    </c:legend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0"/>
    <c:plotArea>
      <c:layout/>
      <c:barChart>
        <c:barDir val="col"/>
        <c:grouping val="stack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Фундаментальные исследования</c:v>
                </c:pt>
              </c:strCache>
            </c:strRef>
          </c:tx>
          <c:invertIfNegative val="0"/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Лист1!$A$2:$A$7</c:f>
              <c:strCache>
                <c:ptCount val="6"/>
                <c:pt idx="0">
                  <c:v>2015 г.</c:v>
                </c:pt>
                <c:pt idx="1">
                  <c:v>2016 г.</c:v>
                </c:pt>
                <c:pt idx="2">
                  <c:v>2017 г.</c:v>
                </c:pt>
                <c:pt idx="3">
                  <c:v>2018 г.</c:v>
                </c:pt>
                <c:pt idx="4">
                  <c:v>2019 г.</c:v>
                </c:pt>
                <c:pt idx="5">
                  <c:v>2020 г.</c:v>
                </c:pt>
              </c:strCache>
            </c:strRef>
          </c:cat>
          <c:val>
            <c:numRef>
              <c:f>Лист1!$B$2:$B$7</c:f>
              <c:numCache>
                <c:formatCode>0.00</c:formatCode>
                <c:ptCount val="6"/>
                <c:pt idx="0">
                  <c:v>13.368416690838272</c:v>
                </c:pt>
                <c:pt idx="1">
                  <c:v>13.082223295088182</c:v>
                </c:pt>
                <c:pt idx="2">
                  <c:v>11.949550218775762</c:v>
                </c:pt>
                <c:pt idx="3">
                  <c:v>13.177161411372044</c:v>
                </c:pt>
                <c:pt idx="4">
                  <c:v>13.757223162131361</c:v>
                </c:pt>
                <c:pt idx="5">
                  <c:v>15.696978227653918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Прикладные исследования</c:v>
                </c:pt>
              </c:strCache>
            </c:strRef>
          </c:tx>
          <c:invertIfNegative val="0"/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Лист1!$A$2:$A$7</c:f>
              <c:strCache>
                <c:ptCount val="6"/>
                <c:pt idx="0">
                  <c:v>2015 г.</c:v>
                </c:pt>
                <c:pt idx="1">
                  <c:v>2016 г.</c:v>
                </c:pt>
                <c:pt idx="2">
                  <c:v>2017 г.</c:v>
                </c:pt>
                <c:pt idx="3">
                  <c:v>2018 г.</c:v>
                </c:pt>
                <c:pt idx="4">
                  <c:v>2019 г.</c:v>
                </c:pt>
                <c:pt idx="5">
                  <c:v>2020 г.</c:v>
                </c:pt>
              </c:strCache>
            </c:strRef>
          </c:cat>
          <c:val>
            <c:numRef>
              <c:f>Лист1!$C$2:$C$7</c:f>
              <c:numCache>
                <c:formatCode>0.00</c:formatCode>
                <c:ptCount val="6"/>
                <c:pt idx="0">
                  <c:v>15.175983093689139</c:v>
                </c:pt>
                <c:pt idx="1">
                  <c:v>16.571350806647594</c:v>
                </c:pt>
                <c:pt idx="2">
                  <c:v>15.651224026983854</c:v>
                </c:pt>
                <c:pt idx="3">
                  <c:v>16.568000866367417</c:v>
                </c:pt>
                <c:pt idx="4">
                  <c:v>18.746008316672469</c:v>
                </c:pt>
                <c:pt idx="5">
                  <c:v>19.593615512295095</c:v>
                </c:pt>
              </c:numCache>
            </c:numRef>
          </c:val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Разработки</c:v>
                </c:pt>
              </c:strCache>
            </c:strRef>
          </c:tx>
          <c:invertIfNegative val="0"/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Лист1!$A$2:$A$7</c:f>
              <c:strCache>
                <c:ptCount val="6"/>
                <c:pt idx="0">
                  <c:v>2015 г.</c:v>
                </c:pt>
                <c:pt idx="1">
                  <c:v>2016 г.</c:v>
                </c:pt>
                <c:pt idx="2">
                  <c:v>2017 г.</c:v>
                </c:pt>
                <c:pt idx="3">
                  <c:v>2018 г.</c:v>
                </c:pt>
                <c:pt idx="4">
                  <c:v>2019 г.</c:v>
                </c:pt>
                <c:pt idx="5">
                  <c:v>2020 г.</c:v>
                </c:pt>
              </c:strCache>
            </c:strRef>
          </c:cat>
          <c:val>
            <c:numRef>
              <c:f>Лист1!$D$2:$D$7</c:f>
              <c:numCache>
                <c:formatCode>0.00</c:formatCode>
                <c:ptCount val="6"/>
                <c:pt idx="0">
                  <c:v>71.455600215472586</c:v>
                </c:pt>
                <c:pt idx="1">
                  <c:v>70.346425898264229</c:v>
                </c:pt>
                <c:pt idx="2">
                  <c:v>72.399225754240376</c:v>
                </c:pt>
                <c:pt idx="3">
                  <c:v>70.254837722260547</c:v>
                </c:pt>
                <c:pt idx="4">
                  <c:v>67.496768521196159</c:v>
                </c:pt>
                <c:pt idx="5">
                  <c:v>64.709406260050969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94547968"/>
        <c:axId val="94549504"/>
      </c:barChart>
      <c:catAx>
        <c:axId val="94547968"/>
        <c:scaling>
          <c:orientation val="minMax"/>
        </c:scaling>
        <c:delete val="0"/>
        <c:axPos val="b"/>
        <c:majorTickMark val="out"/>
        <c:minorTickMark val="none"/>
        <c:tickLblPos val="nextTo"/>
        <c:crossAx val="94549504"/>
        <c:crosses val="autoZero"/>
        <c:auto val="1"/>
        <c:lblAlgn val="ctr"/>
        <c:lblOffset val="100"/>
        <c:noMultiLvlLbl val="0"/>
      </c:catAx>
      <c:valAx>
        <c:axId val="94549504"/>
        <c:scaling>
          <c:orientation val="minMax"/>
          <c:max val="100"/>
        </c:scaling>
        <c:delete val="0"/>
        <c:axPos val="l"/>
        <c:majorGridlines/>
        <c:numFmt formatCode="0.00" sourceLinked="1"/>
        <c:majorTickMark val="out"/>
        <c:minorTickMark val="none"/>
        <c:tickLblPos val="nextTo"/>
        <c:crossAx val="94547968"/>
        <c:crosses val="autoZero"/>
        <c:crossBetween val="between"/>
      </c:valAx>
    </c:plotArea>
    <c:legend>
      <c:legendPos val="b"/>
      <c:layout/>
      <c:overlay val="0"/>
    </c:legend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0"/>
    <c:plotArea>
      <c:layout/>
      <c:barChart>
        <c:barDir val="col"/>
        <c:grouping val="clustered"/>
        <c:varyColors val="0"/>
        <c:ser>
          <c:idx val="1"/>
          <c:order val="1"/>
          <c:tx>
            <c:strRef>
              <c:f>Лист1!$C$1</c:f>
              <c:strCache>
                <c:ptCount val="1"/>
                <c:pt idx="0">
                  <c:v>Затраты, % от общего объема отгруженных товаров, выполненных работ, оказанных услуг</c:v>
                </c:pt>
              </c:strCache>
            </c:strRef>
          </c:tx>
          <c:invertIfNegative val="0"/>
          <c:dLbls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Лист1!$A$2:$A$7</c:f>
              <c:strCache>
                <c:ptCount val="6"/>
                <c:pt idx="0">
                  <c:v>2015 г.</c:v>
                </c:pt>
                <c:pt idx="1">
                  <c:v>2016 г.</c:v>
                </c:pt>
                <c:pt idx="2">
                  <c:v>2017 г.</c:v>
                </c:pt>
                <c:pt idx="3">
                  <c:v>2018 г.</c:v>
                </c:pt>
                <c:pt idx="4">
                  <c:v>2019 г.</c:v>
                </c:pt>
                <c:pt idx="5">
                  <c:v>2020 г.</c:v>
                </c:pt>
              </c:strCache>
            </c:strRef>
          </c:cat>
          <c:val>
            <c:numRef>
              <c:f>Лист1!$C$2:$C$7</c:f>
              <c:numCache>
                <c:formatCode>0.0</c:formatCode>
                <c:ptCount val="6"/>
                <c:pt idx="0">
                  <c:v>1.5</c:v>
                </c:pt>
                <c:pt idx="1">
                  <c:v>1.7</c:v>
                </c:pt>
                <c:pt idx="2">
                  <c:v>2</c:v>
                </c:pt>
                <c:pt idx="3">
                  <c:v>1.58</c:v>
                </c:pt>
                <c:pt idx="4">
                  <c:v>1.8</c:v>
                </c:pt>
                <c:pt idx="5" formatCode="General">
                  <c:v>1.7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37052544"/>
        <c:axId val="137109504"/>
      </c:barChart>
      <c:lineChart>
        <c:grouping val="standar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Всего в текущих ценах , млрд. руб. (правая шкала)</c:v>
                </c:pt>
              </c:strCache>
            </c:strRef>
          </c:tx>
          <c:marker>
            <c:symbol val="none"/>
          </c:marker>
          <c:dLbls>
            <c:dLblPos val="t"/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Лист1!$A$2:$A$7</c:f>
              <c:strCache>
                <c:ptCount val="6"/>
                <c:pt idx="0">
                  <c:v>2015 г.</c:v>
                </c:pt>
                <c:pt idx="1">
                  <c:v>2016 г.</c:v>
                </c:pt>
                <c:pt idx="2">
                  <c:v>2017 г.</c:v>
                </c:pt>
                <c:pt idx="3">
                  <c:v>2018 г.</c:v>
                </c:pt>
                <c:pt idx="4">
                  <c:v>2019 г.</c:v>
                </c:pt>
                <c:pt idx="5">
                  <c:v>2020 г.</c:v>
                </c:pt>
              </c:strCache>
            </c:strRef>
          </c:cat>
          <c:val>
            <c:numRef>
              <c:f>Лист1!$B$2:$B$7</c:f>
              <c:numCache>
                <c:formatCode>0.0</c:formatCode>
                <c:ptCount val="6"/>
                <c:pt idx="0">
                  <c:v>87.9</c:v>
                </c:pt>
                <c:pt idx="1">
                  <c:v>115.3</c:v>
                </c:pt>
                <c:pt idx="2">
                  <c:v>142.69999999999999</c:v>
                </c:pt>
                <c:pt idx="3">
                  <c:v>133.30000000000001</c:v>
                </c:pt>
                <c:pt idx="4">
                  <c:v>186.9</c:v>
                </c:pt>
                <c:pt idx="5">
                  <c:v>178.4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36159232"/>
        <c:axId val="136152576"/>
      </c:lineChart>
      <c:catAx>
        <c:axId val="137052544"/>
        <c:scaling>
          <c:orientation val="minMax"/>
        </c:scaling>
        <c:delete val="0"/>
        <c:axPos val="b"/>
        <c:majorTickMark val="out"/>
        <c:minorTickMark val="none"/>
        <c:tickLblPos val="nextTo"/>
        <c:crossAx val="137109504"/>
        <c:crosses val="autoZero"/>
        <c:auto val="1"/>
        <c:lblAlgn val="ctr"/>
        <c:lblOffset val="100"/>
        <c:noMultiLvlLbl val="0"/>
      </c:catAx>
      <c:valAx>
        <c:axId val="137109504"/>
        <c:scaling>
          <c:orientation val="minMax"/>
        </c:scaling>
        <c:delete val="0"/>
        <c:axPos val="l"/>
        <c:majorGridlines/>
        <c:numFmt formatCode="0.0" sourceLinked="1"/>
        <c:majorTickMark val="out"/>
        <c:minorTickMark val="none"/>
        <c:tickLblPos val="nextTo"/>
        <c:crossAx val="137052544"/>
        <c:crosses val="autoZero"/>
        <c:crossBetween val="between"/>
      </c:valAx>
      <c:valAx>
        <c:axId val="136152576"/>
        <c:scaling>
          <c:orientation val="minMax"/>
        </c:scaling>
        <c:delete val="0"/>
        <c:axPos val="r"/>
        <c:numFmt formatCode="0.0" sourceLinked="1"/>
        <c:majorTickMark val="out"/>
        <c:minorTickMark val="none"/>
        <c:tickLblPos val="nextTo"/>
        <c:crossAx val="136159232"/>
        <c:crosses val="max"/>
        <c:crossBetween val="between"/>
      </c:valAx>
      <c:catAx>
        <c:axId val="136159232"/>
        <c:scaling>
          <c:orientation val="minMax"/>
        </c:scaling>
        <c:delete val="1"/>
        <c:axPos val="b"/>
        <c:majorTickMark val="out"/>
        <c:minorTickMark val="none"/>
        <c:tickLblPos val="nextTo"/>
        <c:crossAx val="136152576"/>
        <c:auto val="1"/>
        <c:lblAlgn val="ctr"/>
        <c:lblOffset val="100"/>
        <c:noMultiLvlLbl val="0"/>
      </c:catAx>
    </c:plotArea>
    <c:legend>
      <c:legendPos val="b"/>
      <c:layout/>
      <c:overlay val="0"/>
    </c:legend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0"/>
    <c:plotArea>
      <c:layout/>
      <c:barChart>
        <c:barDir val="col"/>
        <c:grouping val="clustered"/>
        <c:varyColors val="0"/>
        <c:ser>
          <c:idx val="1"/>
          <c:order val="1"/>
          <c:tx>
            <c:strRef>
              <c:f>Лист1!$C$1</c:f>
              <c:strCache>
                <c:ptCount val="1"/>
                <c:pt idx="0">
                  <c:v>Объем, % от общего объема отгруженных товаров, выполненных работ, оказанных услуг</c:v>
                </c:pt>
              </c:strCache>
            </c:strRef>
          </c:tx>
          <c:invertIfNegative val="0"/>
          <c:dLbls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Лист1!$A$2:$A$7</c:f>
              <c:strCache>
                <c:ptCount val="6"/>
                <c:pt idx="0">
                  <c:v>2015 г.</c:v>
                </c:pt>
                <c:pt idx="1">
                  <c:v>2016 г.</c:v>
                </c:pt>
                <c:pt idx="2">
                  <c:v>2017 г.</c:v>
                </c:pt>
                <c:pt idx="3">
                  <c:v>2018 г.</c:v>
                </c:pt>
                <c:pt idx="4">
                  <c:v>2019 г.</c:v>
                </c:pt>
                <c:pt idx="5">
                  <c:v>2020 г.</c:v>
                </c:pt>
              </c:strCache>
            </c:strRef>
          </c:cat>
          <c:val>
            <c:numRef>
              <c:f>Лист1!$C$2:$C$7</c:f>
              <c:numCache>
                <c:formatCode>0.0</c:formatCode>
                <c:ptCount val="6"/>
                <c:pt idx="0">
                  <c:v>6.3</c:v>
                </c:pt>
                <c:pt idx="1">
                  <c:v>5.0999999999999996</c:v>
                </c:pt>
                <c:pt idx="2">
                  <c:v>6.3</c:v>
                </c:pt>
                <c:pt idx="3">
                  <c:v>5.8</c:v>
                </c:pt>
                <c:pt idx="4">
                  <c:v>5.5870761371290323</c:v>
                </c:pt>
                <c:pt idx="5">
                  <c:v>6.3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77644544"/>
        <c:axId val="77646080"/>
      </c:barChart>
      <c:lineChart>
        <c:grouping val="standar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Всего в текущих ценах , млрд. руб. (правая шкала)</c:v>
                </c:pt>
              </c:strCache>
            </c:strRef>
          </c:tx>
          <c:marker>
            <c:symbol val="none"/>
          </c:marker>
          <c:dLbls>
            <c:dLblPos val="t"/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Лист1!$A$2:$A$7</c:f>
              <c:strCache>
                <c:ptCount val="6"/>
                <c:pt idx="0">
                  <c:v>2015 г.</c:v>
                </c:pt>
                <c:pt idx="1">
                  <c:v>2016 г.</c:v>
                </c:pt>
                <c:pt idx="2">
                  <c:v>2017 г.</c:v>
                </c:pt>
                <c:pt idx="3">
                  <c:v>2018 г.</c:v>
                </c:pt>
                <c:pt idx="4">
                  <c:v>2019 г.</c:v>
                </c:pt>
                <c:pt idx="5">
                  <c:v>2020 г.</c:v>
                </c:pt>
              </c:strCache>
            </c:strRef>
          </c:cat>
          <c:val>
            <c:numRef>
              <c:f>Лист1!$B$2:$B$7</c:f>
              <c:numCache>
                <c:formatCode>0.0</c:formatCode>
                <c:ptCount val="6"/>
                <c:pt idx="0">
                  <c:v>375.6</c:v>
                </c:pt>
                <c:pt idx="1">
                  <c:v>337.2</c:v>
                </c:pt>
                <c:pt idx="2">
                  <c:v>458.8</c:v>
                </c:pt>
                <c:pt idx="3">
                  <c:v>487.7</c:v>
                </c:pt>
                <c:pt idx="4">
                  <c:v>591.70000000000005</c:v>
                </c:pt>
                <c:pt idx="5">
                  <c:v>676.3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77649408"/>
        <c:axId val="77647872"/>
      </c:lineChart>
      <c:catAx>
        <c:axId val="77644544"/>
        <c:scaling>
          <c:orientation val="minMax"/>
        </c:scaling>
        <c:delete val="0"/>
        <c:axPos val="b"/>
        <c:majorTickMark val="out"/>
        <c:minorTickMark val="none"/>
        <c:tickLblPos val="nextTo"/>
        <c:crossAx val="77646080"/>
        <c:crosses val="autoZero"/>
        <c:auto val="1"/>
        <c:lblAlgn val="ctr"/>
        <c:lblOffset val="100"/>
        <c:noMultiLvlLbl val="0"/>
      </c:catAx>
      <c:valAx>
        <c:axId val="77646080"/>
        <c:scaling>
          <c:orientation val="minMax"/>
        </c:scaling>
        <c:delete val="0"/>
        <c:axPos val="l"/>
        <c:majorGridlines/>
        <c:numFmt formatCode="0.0" sourceLinked="1"/>
        <c:majorTickMark val="out"/>
        <c:minorTickMark val="none"/>
        <c:tickLblPos val="nextTo"/>
        <c:crossAx val="77644544"/>
        <c:crosses val="autoZero"/>
        <c:crossBetween val="between"/>
      </c:valAx>
      <c:valAx>
        <c:axId val="77647872"/>
        <c:scaling>
          <c:orientation val="minMax"/>
        </c:scaling>
        <c:delete val="0"/>
        <c:axPos val="r"/>
        <c:numFmt formatCode="0.0" sourceLinked="1"/>
        <c:majorTickMark val="out"/>
        <c:minorTickMark val="none"/>
        <c:tickLblPos val="nextTo"/>
        <c:crossAx val="77649408"/>
        <c:crosses val="max"/>
        <c:crossBetween val="between"/>
      </c:valAx>
      <c:catAx>
        <c:axId val="77649408"/>
        <c:scaling>
          <c:orientation val="minMax"/>
        </c:scaling>
        <c:delete val="1"/>
        <c:axPos val="b"/>
        <c:majorTickMark val="out"/>
        <c:minorTickMark val="none"/>
        <c:tickLblPos val="nextTo"/>
        <c:crossAx val="77647872"/>
        <c:crosses val="autoZero"/>
        <c:auto val="1"/>
        <c:lblAlgn val="ctr"/>
        <c:lblOffset val="100"/>
        <c:noMultiLvlLbl val="0"/>
      </c:catAx>
    </c:plotArea>
    <c:legend>
      <c:legendPos val="b"/>
      <c:layout/>
      <c:overlay val="0"/>
    </c:legend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D01C7B-A62E-4F49-8E62-987F9E9D94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546</TotalTime>
  <Pages>6</Pages>
  <Words>2017</Words>
  <Characters>11501</Characters>
  <Application>Microsoft Office Word</Application>
  <DocSecurity>0</DocSecurity>
  <Lines>95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Елена Ю. Широкова</dc:creator>
  <cp:keywords/>
  <dc:description/>
  <cp:lastModifiedBy>Елена Ю. Широкова</cp:lastModifiedBy>
  <cp:revision>76</cp:revision>
  <dcterms:created xsi:type="dcterms:W3CDTF">2022-06-01T06:36:00Z</dcterms:created>
  <dcterms:modified xsi:type="dcterms:W3CDTF">2022-06-02T08:02:00Z</dcterms:modified>
</cp:coreProperties>
</file>