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84B" w:rsidRPr="0048084B" w:rsidRDefault="0048084B" w:rsidP="0048084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8084B">
        <w:rPr>
          <w:rFonts w:ascii="Times New Roman" w:eastAsia="Times New Roman" w:hAnsi="Times New Roman" w:cs="Times New Roman"/>
          <w:b/>
          <w:sz w:val="24"/>
          <w:szCs w:val="24"/>
        </w:rPr>
        <w:t>УДК/ББК 336.717/65.262</w:t>
      </w:r>
    </w:p>
    <w:p w:rsidR="0048084B" w:rsidRPr="0048084B" w:rsidRDefault="0048084B" w:rsidP="0048084B">
      <w:pPr>
        <w:spacing w:after="0" w:line="240" w:lineRule="auto"/>
        <w:ind w:leftChars="-1" w:hangingChars="1" w:hanging="2"/>
        <w:jc w:val="right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position w:val="-1"/>
          <w:sz w:val="24"/>
          <w:szCs w:val="24"/>
          <w:lang w:eastAsia="ar-SA"/>
        </w:rPr>
      </w:pPr>
      <w:r w:rsidRPr="0048084B">
        <w:rPr>
          <w:rFonts w:ascii="Times New Roman" w:eastAsia="Times New Roman" w:hAnsi="Times New Roman" w:cs="Times New Roman"/>
          <w:b/>
          <w:position w:val="-1"/>
          <w:sz w:val="24"/>
          <w:szCs w:val="24"/>
          <w:lang w:val="fr-FR" w:eastAsia="ar-SA"/>
        </w:rPr>
        <w:t>Селина М.Н.</w:t>
      </w:r>
    </w:p>
    <w:p w:rsidR="0048084B" w:rsidRPr="0048084B" w:rsidRDefault="0048084B" w:rsidP="0048084B">
      <w:pPr>
        <w:spacing w:after="0" w:line="240" w:lineRule="auto"/>
        <w:ind w:leftChars="-1" w:hangingChars="1" w:hanging="2"/>
        <w:jc w:val="right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position w:val="-1"/>
          <w:sz w:val="24"/>
          <w:szCs w:val="24"/>
          <w:lang w:eastAsia="ar-SA"/>
        </w:rPr>
      </w:pPr>
      <w:r w:rsidRPr="0048084B">
        <w:rPr>
          <w:rFonts w:ascii="Times New Roman" w:eastAsia="Times New Roman" w:hAnsi="Times New Roman" w:cs="Times New Roman"/>
          <w:b/>
          <w:position w:val="-1"/>
          <w:sz w:val="24"/>
          <w:szCs w:val="24"/>
          <w:lang w:eastAsia="ar-SA"/>
        </w:rPr>
        <w:t>Мелентьева М.М.</w:t>
      </w:r>
    </w:p>
    <w:p w:rsidR="0048084B" w:rsidRPr="0048084B" w:rsidRDefault="003D6840" w:rsidP="0048084B">
      <w:pPr>
        <w:spacing w:after="0" w:line="240" w:lineRule="auto"/>
        <w:ind w:leftChars="-1" w:hangingChars="1" w:hanging="2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position w:val="-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position w:val="-1"/>
          <w:sz w:val="24"/>
          <w:szCs w:val="24"/>
          <w:lang w:eastAsia="ar-SA"/>
        </w:rPr>
        <w:t>СРАВНИТЕЛЬНЫЙ АНАЛИЗ НАДЕЖНОСТИ И ФИНАНСОВОЙ УСТОЙЧИВОСТИ ПАО СБЕРБАНК И АО «ТИНЬКОФФ БАНК»</w:t>
      </w:r>
    </w:p>
    <w:p w:rsidR="0048084B" w:rsidRPr="0048084B" w:rsidRDefault="0048084B" w:rsidP="0048084B">
      <w:pPr>
        <w:spacing w:after="0" w:line="240" w:lineRule="auto"/>
        <w:ind w:leftChars="-1" w:hangingChars="1" w:hanging="2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position w:val="-1"/>
          <w:sz w:val="24"/>
          <w:szCs w:val="24"/>
          <w:lang w:val="fr-FR" w:eastAsia="ar-SA"/>
        </w:rPr>
      </w:pPr>
    </w:p>
    <w:p w:rsidR="0048084B" w:rsidRPr="0048084B" w:rsidRDefault="0048084B" w:rsidP="0048084B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48084B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Аннотация.</w:t>
      </w:r>
      <w:r w:rsidRPr="0048084B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В статье представлен</w:t>
      </w:r>
      <w:r w:rsidR="003D6840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сравнительный анализ финансовой устойчивости и надежности двух известных коммерческих банков: ПАО Сбербанк, который является крупнейшим банком России, и АО «Тинькофф Банк», известный своим онлайн-сервисами и являющийся третьим </w:t>
      </w:r>
      <w:r w:rsidR="00094A6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банком страны по количеству активных клиентов.</w:t>
      </w:r>
    </w:p>
    <w:p w:rsidR="0048084B" w:rsidRDefault="0048084B" w:rsidP="0048084B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48084B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Ключевые слова:</w:t>
      </w:r>
      <w:r w:rsidRPr="0048084B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r w:rsidR="00094A6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коммерческий банк, финансовая устойчивость, надежность, сравнительный анализ</w:t>
      </w:r>
      <w:r w:rsidRPr="0048084B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.</w:t>
      </w:r>
    </w:p>
    <w:p w:rsidR="00CE18C9" w:rsidRDefault="00CE18C9" w:rsidP="0048084B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</w:p>
    <w:p w:rsidR="00CE18C9" w:rsidRDefault="00CE18C9" w:rsidP="0048084B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E18C9">
        <w:rPr>
          <w:rFonts w:ascii="Times New Roman" w:eastAsia="Times New Roman" w:hAnsi="Times New Roman" w:cs="Times New Roman"/>
          <w:color w:val="000000"/>
          <w:sz w:val="24"/>
          <w:szCs w:val="24"/>
        </w:rPr>
        <w:t>В условиях нестабильности банковской системы, которая характеризуется сокращением коммерческих банков по причине их финансовой несостоятельности, важным становится анализ и последующая оценка такой характеристики банковской деятельности, как финансовая устойчивость</w:t>
      </w:r>
      <w:r w:rsidR="00DC190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C190A" w:rsidRPr="00DC190A">
        <w:rPr>
          <w:rFonts w:ascii="Times New Roman" w:eastAsia="Times New Roman" w:hAnsi="Times New Roman" w:cs="Times New Roman"/>
          <w:color w:val="000000"/>
          <w:sz w:val="24"/>
          <w:szCs w:val="24"/>
        </w:rPr>
        <w:t>[</w:t>
      </w:r>
      <w:r w:rsidR="00DC190A"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="00DC190A" w:rsidRPr="00DC190A">
        <w:rPr>
          <w:rFonts w:ascii="Times New Roman" w:eastAsia="Times New Roman" w:hAnsi="Times New Roman" w:cs="Times New Roman"/>
          <w:color w:val="000000"/>
          <w:sz w:val="24"/>
          <w:szCs w:val="24"/>
        </w:rPr>
        <w:t>]</w:t>
      </w:r>
      <w:r w:rsidRPr="00CE18C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C190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Также существует такое понятие, как надежность </w:t>
      </w:r>
      <w:r w:rsidR="00DC190A" w:rsidRPr="00DC190A">
        <w:rPr>
          <w:rFonts w:ascii="Times New Roman" w:eastAsia="Times New Roman" w:hAnsi="Times New Roman" w:cs="Times New Roman"/>
          <w:color w:val="000000"/>
          <w:sz w:val="24"/>
          <w:szCs w:val="24"/>
        </w:rPr>
        <w:t>[</w:t>
      </w:r>
      <w:r w:rsidR="00DC190A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DC190A" w:rsidRPr="00DC190A">
        <w:rPr>
          <w:rFonts w:ascii="Times New Roman" w:eastAsia="Times New Roman" w:hAnsi="Times New Roman" w:cs="Times New Roman"/>
          <w:color w:val="000000"/>
          <w:sz w:val="24"/>
          <w:szCs w:val="24"/>
        </w:rPr>
        <w:t>]</w:t>
      </w:r>
      <w:r w:rsidR="00DC190A">
        <w:rPr>
          <w:rFonts w:ascii="Times New Roman" w:eastAsia="Times New Roman" w:hAnsi="Times New Roman" w:cs="Times New Roman"/>
          <w:color w:val="000000"/>
          <w:sz w:val="24"/>
          <w:szCs w:val="24"/>
        </w:rPr>
        <w:t>, которое очень близко к финансовой устойчивости, но является собирательным понятием.</w:t>
      </w:r>
    </w:p>
    <w:p w:rsidR="00DC190A" w:rsidRDefault="0057036E" w:rsidP="0048084B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Цель исследования – сравнить надежность и финансовую устойчивость коммерческих банков и оценить необходимость одновременного исследования этих двух категорий. Задачи исследования: представить и оценить показатели финансовой устойчивости, комплексной оценки надежности банков; выполнить сравнительный анализ надежности коммерческих банков.</w:t>
      </w:r>
    </w:p>
    <w:p w:rsidR="0057036E" w:rsidRPr="00DC190A" w:rsidRDefault="0057036E" w:rsidP="0048084B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Объектами исследования явились крупнейший банк России ПАО Сбербанк и </w:t>
      </w:r>
      <w:r w:rsidRPr="0057036E">
        <w:rPr>
          <w:rFonts w:ascii="Times New Roman" w:eastAsia="Times New Roman" w:hAnsi="Times New Roman" w:cs="Times New Roman"/>
          <w:color w:val="000000"/>
          <w:sz w:val="24"/>
          <w:szCs w:val="24"/>
        </w:rPr>
        <w:t>известный своим онлайн-сервисами и являющийся третьим банком страны по количеству активных клиентов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АО «Тинькофф Банк».</w:t>
      </w:r>
    </w:p>
    <w:p w:rsidR="003D6840" w:rsidRPr="0048084B" w:rsidRDefault="003D6840" w:rsidP="004808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084B" w:rsidRPr="0048084B" w:rsidRDefault="0048084B" w:rsidP="0048084B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48084B">
        <w:rPr>
          <w:rFonts w:ascii="Times New Roman" w:hAnsi="Times New Roman" w:cs="Times New Roman"/>
          <w:i/>
          <w:sz w:val="24"/>
          <w:szCs w:val="24"/>
        </w:rPr>
        <w:t xml:space="preserve">Таблица </w:t>
      </w:r>
      <w:r w:rsidR="00264CCD">
        <w:rPr>
          <w:rFonts w:ascii="Times New Roman" w:hAnsi="Times New Roman" w:cs="Times New Roman"/>
          <w:i/>
          <w:sz w:val="24"/>
          <w:szCs w:val="24"/>
        </w:rPr>
        <w:t>1</w:t>
      </w:r>
    </w:p>
    <w:p w:rsidR="0048084B" w:rsidRPr="0048084B" w:rsidRDefault="0048084B" w:rsidP="0048084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8084B">
        <w:rPr>
          <w:rFonts w:ascii="Times New Roman" w:hAnsi="Times New Roman" w:cs="Times New Roman"/>
          <w:sz w:val="24"/>
          <w:szCs w:val="24"/>
        </w:rPr>
        <w:t xml:space="preserve">Анализ финансовой устойчивости </w:t>
      </w:r>
      <w:r w:rsidR="0057036E">
        <w:rPr>
          <w:rFonts w:ascii="Times New Roman" w:hAnsi="Times New Roman" w:cs="Times New Roman"/>
          <w:sz w:val="24"/>
          <w:szCs w:val="24"/>
        </w:rPr>
        <w:t xml:space="preserve">ПАО Сбербанк и </w:t>
      </w:r>
      <w:r w:rsidRPr="0048084B">
        <w:rPr>
          <w:rFonts w:ascii="Times New Roman" w:hAnsi="Times New Roman" w:cs="Times New Roman"/>
          <w:sz w:val="24"/>
          <w:szCs w:val="24"/>
        </w:rPr>
        <w:t>АО «Тинькофф Банк» за 2019-2020 гг.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7"/>
        <w:gridCol w:w="1277"/>
        <w:gridCol w:w="1275"/>
        <w:gridCol w:w="2092"/>
      </w:tblGrid>
      <w:tr w:rsidR="0048084B" w:rsidRPr="0048084B" w:rsidTr="0057036E">
        <w:trPr>
          <w:trHeight w:val="300"/>
        </w:trPr>
        <w:tc>
          <w:tcPr>
            <w:tcW w:w="2574" w:type="pct"/>
            <w:shd w:val="clear" w:color="auto" w:fill="auto"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Показатель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48084B" w:rsidRPr="0048084B" w:rsidRDefault="0057036E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2019 год</w:t>
            </w:r>
          </w:p>
        </w:tc>
        <w:tc>
          <w:tcPr>
            <w:tcW w:w="666" w:type="pct"/>
            <w:shd w:val="clear" w:color="auto" w:fill="auto"/>
            <w:vAlign w:val="center"/>
            <w:hideMark/>
          </w:tcPr>
          <w:p w:rsidR="0048084B" w:rsidRPr="0048084B" w:rsidRDefault="0057036E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2020 год</w:t>
            </w:r>
          </w:p>
        </w:tc>
        <w:tc>
          <w:tcPr>
            <w:tcW w:w="1093" w:type="pct"/>
            <w:shd w:val="clear" w:color="auto" w:fill="auto"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Отклонение, +-</w:t>
            </w:r>
          </w:p>
        </w:tc>
      </w:tr>
      <w:tr w:rsidR="0057036E" w:rsidRPr="0048084B" w:rsidTr="0057036E">
        <w:trPr>
          <w:trHeight w:val="204"/>
        </w:trPr>
        <w:tc>
          <w:tcPr>
            <w:tcW w:w="5000" w:type="pct"/>
            <w:gridSpan w:val="4"/>
            <w:shd w:val="clear" w:color="auto" w:fill="auto"/>
            <w:vAlign w:val="center"/>
          </w:tcPr>
          <w:p w:rsidR="0057036E" w:rsidRPr="0048084B" w:rsidRDefault="0057036E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70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АО «Тинькофф Банк»</w:t>
            </w:r>
          </w:p>
        </w:tc>
      </w:tr>
      <w:tr w:rsidR="0057036E" w:rsidRPr="0048084B" w:rsidTr="0057036E">
        <w:trPr>
          <w:trHeight w:val="295"/>
        </w:trPr>
        <w:tc>
          <w:tcPr>
            <w:tcW w:w="2574" w:type="pct"/>
            <w:shd w:val="clear" w:color="auto" w:fill="auto"/>
            <w:vAlign w:val="center"/>
          </w:tcPr>
          <w:p w:rsidR="0057036E" w:rsidRPr="0048084B" w:rsidRDefault="0057036E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Коэффициент финансовой устойчивости, %</w:t>
            </w:r>
          </w:p>
        </w:tc>
        <w:tc>
          <w:tcPr>
            <w:tcW w:w="667" w:type="pct"/>
            <w:shd w:val="clear" w:color="auto" w:fill="auto"/>
            <w:vAlign w:val="center"/>
          </w:tcPr>
          <w:p w:rsidR="0057036E" w:rsidRPr="0048084B" w:rsidRDefault="0057036E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14,44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57036E" w:rsidRPr="0048084B" w:rsidRDefault="0057036E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18,14</w:t>
            </w:r>
          </w:p>
        </w:tc>
        <w:tc>
          <w:tcPr>
            <w:tcW w:w="1093" w:type="pct"/>
            <w:shd w:val="clear" w:color="auto" w:fill="auto"/>
            <w:vAlign w:val="center"/>
          </w:tcPr>
          <w:p w:rsidR="0057036E" w:rsidRPr="0048084B" w:rsidRDefault="0057036E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3,7</w:t>
            </w:r>
          </w:p>
        </w:tc>
      </w:tr>
      <w:tr w:rsidR="0057036E" w:rsidRPr="0048084B" w:rsidTr="0057036E">
        <w:trPr>
          <w:trHeight w:val="326"/>
        </w:trPr>
        <w:tc>
          <w:tcPr>
            <w:tcW w:w="2574" w:type="pct"/>
            <w:shd w:val="clear" w:color="auto" w:fill="auto"/>
            <w:vAlign w:val="center"/>
          </w:tcPr>
          <w:p w:rsidR="0057036E" w:rsidRPr="0048084B" w:rsidRDefault="0057036E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Коэффициент независимости, %</w:t>
            </w:r>
          </w:p>
        </w:tc>
        <w:tc>
          <w:tcPr>
            <w:tcW w:w="667" w:type="pct"/>
            <w:shd w:val="clear" w:color="auto" w:fill="auto"/>
            <w:vAlign w:val="center"/>
          </w:tcPr>
          <w:p w:rsidR="0057036E" w:rsidRPr="0048084B" w:rsidRDefault="0057036E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16,88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57036E" w:rsidRPr="0048084B" w:rsidRDefault="0057036E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22,16</w:t>
            </w:r>
          </w:p>
        </w:tc>
        <w:tc>
          <w:tcPr>
            <w:tcW w:w="1093" w:type="pct"/>
            <w:shd w:val="clear" w:color="auto" w:fill="auto"/>
            <w:vAlign w:val="center"/>
            <w:hideMark/>
          </w:tcPr>
          <w:p w:rsidR="0057036E" w:rsidRPr="0048084B" w:rsidRDefault="0057036E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5,28</w:t>
            </w:r>
          </w:p>
        </w:tc>
      </w:tr>
      <w:tr w:rsidR="0057036E" w:rsidRPr="0048084B" w:rsidTr="0057036E">
        <w:trPr>
          <w:trHeight w:val="240"/>
        </w:trPr>
        <w:tc>
          <w:tcPr>
            <w:tcW w:w="5000" w:type="pct"/>
            <w:gridSpan w:val="4"/>
            <w:shd w:val="clear" w:color="auto" w:fill="auto"/>
            <w:vAlign w:val="center"/>
          </w:tcPr>
          <w:p w:rsidR="0057036E" w:rsidRPr="0048084B" w:rsidRDefault="0057036E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ПАО Сбербанк</w:t>
            </w:r>
          </w:p>
        </w:tc>
      </w:tr>
      <w:tr w:rsidR="0057036E" w:rsidRPr="0048084B" w:rsidTr="0057036E">
        <w:trPr>
          <w:trHeight w:val="240"/>
        </w:trPr>
        <w:tc>
          <w:tcPr>
            <w:tcW w:w="2574" w:type="pct"/>
            <w:shd w:val="clear" w:color="auto" w:fill="auto"/>
            <w:vAlign w:val="center"/>
          </w:tcPr>
          <w:p w:rsidR="0057036E" w:rsidRPr="0048084B" w:rsidRDefault="0057036E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Коэффициент финансовой устойчивости, %</w:t>
            </w:r>
          </w:p>
        </w:tc>
        <w:tc>
          <w:tcPr>
            <w:tcW w:w="667" w:type="pct"/>
            <w:shd w:val="clear" w:color="auto" w:fill="auto"/>
            <w:vAlign w:val="center"/>
          </w:tcPr>
          <w:p w:rsidR="0057036E" w:rsidRPr="0048084B" w:rsidRDefault="0057036E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15,06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57036E" w:rsidRPr="0048084B" w:rsidRDefault="0057036E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15,07</w:t>
            </w:r>
          </w:p>
        </w:tc>
        <w:tc>
          <w:tcPr>
            <w:tcW w:w="1093" w:type="pct"/>
            <w:shd w:val="clear" w:color="auto" w:fill="auto"/>
            <w:vAlign w:val="center"/>
          </w:tcPr>
          <w:p w:rsidR="0057036E" w:rsidRPr="0048084B" w:rsidRDefault="0057036E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0,01</w:t>
            </w:r>
          </w:p>
        </w:tc>
      </w:tr>
      <w:tr w:rsidR="0057036E" w:rsidRPr="0048084B" w:rsidTr="0057036E">
        <w:trPr>
          <w:trHeight w:val="240"/>
        </w:trPr>
        <w:tc>
          <w:tcPr>
            <w:tcW w:w="2574" w:type="pct"/>
            <w:shd w:val="clear" w:color="auto" w:fill="auto"/>
            <w:vAlign w:val="center"/>
          </w:tcPr>
          <w:p w:rsidR="0057036E" w:rsidRPr="0048084B" w:rsidRDefault="0057036E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Коэффициент независимости, %</w:t>
            </w:r>
          </w:p>
        </w:tc>
        <w:tc>
          <w:tcPr>
            <w:tcW w:w="667" w:type="pct"/>
            <w:shd w:val="clear" w:color="auto" w:fill="auto"/>
            <w:vAlign w:val="center"/>
          </w:tcPr>
          <w:p w:rsidR="0057036E" w:rsidRPr="0048084B" w:rsidRDefault="0057036E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17,73</w:t>
            </w:r>
          </w:p>
        </w:tc>
        <w:tc>
          <w:tcPr>
            <w:tcW w:w="666" w:type="pct"/>
            <w:shd w:val="clear" w:color="auto" w:fill="auto"/>
            <w:vAlign w:val="center"/>
          </w:tcPr>
          <w:p w:rsidR="0057036E" w:rsidRPr="0048084B" w:rsidRDefault="0057036E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17,75</w:t>
            </w:r>
          </w:p>
        </w:tc>
        <w:tc>
          <w:tcPr>
            <w:tcW w:w="1093" w:type="pct"/>
            <w:shd w:val="clear" w:color="auto" w:fill="auto"/>
            <w:vAlign w:val="center"/>
          </w:tcPr>
          <w:p w:rsidR="0057036E" w:rsidRPr="0048084B" w:rsidRDefault="0057036E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0,02</w:t>
            </w:r>
          </w:p>
        </w:tc>
      </w:tr>
    </w:tbl>
    <w:p w:rsidR="0048084B" w:rsidRDefault="0048084B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B31EA" w:rsidRPr="0048084B" w:rsidRDefault="000B31EA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B31EA">
        <w:rPr>
          <w:rFonts w:ascii="Times New Roman" w:hAnsi="Times New Roman" w:cs="Times New Roman"/>
          <w:sz w:val="24"/>
          <w:szCs w:val="24"/>
        </w:rPr>
        <w:t>АО «Тинькофф Банк»</w:t>
      </w:r>
      <w:r>
        <w:rPr>
          <w:rFonts w:ascii="Times New Roman" w:hAnsi="Times New Roman" w:cs="Times New Roman"/>
          <w:sz w:val="24"/>
          <w:szCs w:val="24"/>
        </w:rPr>
        <w:t xml:space="preserve"> по состоянию на 2020 год </w:t>
      </w:r>
      <w:r w:rsidR="00264CCD">
        <w:rPr>
          <w:rFonts w:ascii="Times New Roman" w:hAnsi="Times New Roman" w:cs="Times New Roman"/>
          <w:sz w:val="24"/>
          <w:szCs w:val="24"/>
        </w:rPr>
        <w:t xml:space="preserve"> (таблица 1) </w:t>
      </w:r>
      <w:r>
        <w:rPr>
          <w:rFonts w:ascii="Times New Roman" w:hAnsi="Times New Roman" w:cs="Times New Roman"/>
          <w:sz w:val="24"/>
          <w:szCs w:val="24"/>
        </w:rPr>
        <w:t>имеет более высокие значения финансовой устойчивости и укрепляет свою независимость по сравнению с ПАО Сбербанк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264CCD">
        <w:rPr>
          <w:rFonts w:ascii="Times New Roman" w:hAnsi="Times New Roman" w:cs="Times New Roman"/>
          <w:sz w:val="24"/>
          <w:szCs w:val="24"/>
        </w:rPr>
        <w:t xml:space="preserve"> Выполним прогнозирование финансовой устойчивости банков исходя из сложившихся тенденций  (таблица 2) составляющих финансовой устойчивости.</w:t>
      </w:r>
    </w:p>
    <w:p w:rsidR="0048084B" w:rsidRPr="0048084B" w:rsidRDefault="0048084B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8084B" w:rsidRPr="0048084B" w:rsidRDefault="0048084B" w:rsidP="0048084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48084B">
        <w:rPr>
          <w:rFonts w:ascii="Times New Roman" w:hAnsi="Times New Roman" w:cs="Times New Roman"/>
          <w:i/>
          <w:sz w:val="24"/>
          <w:szCs w:val="24"/>
        </w:rPr>
        <w:t xml:space="preserve">Таблица </w:t>
      </w:r>
      <w:r w:rsidR="00264CCD">
        <w:rPr>
          <w:rFonts w:ascii="Times New Roman" w:hAnsi="Times New Roman" w:cs="Times New Roman"/>
          <w:i/>
          <w:sz w:val="24"/>
          <w:szCs w:val="24"/>
        </w:rPr>
        <w:t>2</w:t>
      </w:r>
      <w:r w:rsidRPr="004808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84B" w:rsidRPr="0048084B" w:rsidRDefault="0048084B" w:rsidP="0048084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8084B">
        <w:rPr>
          <w:rFonts w:ascii="Times New Roman" w:hAnsi="Times New Roman" w:cs="Times New Roman"/>
          <w:sz w:val="24"/>
          <w:szCs w:val="24"/>
        </w:rPr>
        <w:t>Исходные и расчетные данные АО «Тинькофф Банк» за 2014-2020 гг. для прогноза финансовой устойчивости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068"/>
        <w:gridCol w:w="877"/>
        <w:gridCol w:w="894"/>
        <w:gridCol w:w="961"/>
        <w:gridCol w:w="961"/>
        <w:gridCol w:w="867"/>
        <w:gridCol w:w="993"/>
        <w:gridCol w:w="997"/>
        <w:gridCol w:w="953"/>
      </w:tblGrid>
      <w:tr w:rsidR="00264CCD" w:rsidRPr="0048084B" w:rsidTr="00264CCD">
        <w:trPr>
          <w:trHeight w:val="300"/>
          <w:tblHeader/>
        </w:trPr>
        <w:tc>
          <w:tcPr>
            <w:tcW w:w="108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Показатели</w:t>
            </w:r>
          </w:p>
        </w:tc>
        <w:tc>
          <w:tcPr>
            <w:tcW w:w="342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Годы</w:t>
            </w:r>
          </w:p>
        </w:tc>
        <w:tc>
          <w:tcPr>
            <w:tcW w:w="498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Темп роста, %</w:t>
            </w:r>
          </w:p>
        </w:tc>
      </w:tr>
      <w:tr w:rsidR="00264CCD" w:rsidRPr="0048084B" w:rsidTr="00264CCD">
        <w:trPr>
          <w:trHeight w:val="401"/>
          <w:tblHeader/>
        </w:trPr>
        <w:tc>
          <w:tcPr>
            <w:tcW w:w="108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2015</w:t>
            </w:r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2016</w:t>
            </w:r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2017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2018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2019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2020</w:t>
            </w:r>
          </w:p>
        </w:tc>
        <w:tc>
          <w:tcPr>
            <w:tcW w:w="498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64CCD" w:rsidRPr="0048084B" w:rsidTr="00264CCD">
        <w:trPr>
          <w:trHeight w:val="600"/>
        </w:trPr>
        <w:tc>
          <w:tcPr>
            <w:tcW w:w="10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4CCD" w:rsidRPr="0048084B" w:rsidRDefault="00264CCD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Собственные средства, млрд. руб.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18,02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20,64</w:t>
            </w:r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24,40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42,81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55,34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67,31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131,11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64CCD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7 раз</w:t>
            </w:r>
          </w:p>
          <w:p w:rsidR="00264CCD" w:rsidRPr="00264CCD" w:rsidRDefault="00264CCD" w:rsidP="00264CC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64CCD" w:rsidRPr="0048084B" w:rsidTr="00264CCD">
        <w:trPr>
          <w:trHeight w:val="600"/>
        </w:trPr>
        <w:tc>
          <w:tcPr>
            <w:tcW w:w="10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4CCD" w:rsidRPr="0048084B" w:rsidRDefault="00264CCD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Валюта баланса, млрд. руб.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112,77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139,68</w:t>
            </w:r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171,52</w:t>
            </w:r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268,34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377,6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466,13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722,74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6 раз</w:t>
            </w:r>
          </w:p>
        </w:tc>
      </w:tr>
      <w:tr w:rsidR="00264CCD" w:rsidRPr="0048084B" w:rsidTr="00264CCD">
        <w:trPr>
          <w:trHeight w:val="900"/>
        </w:trPr>
        <w:tc>
          <w:tcPr>
            <w:tcW w:w="10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4CCD" w:rsidRPr="0048084B" w:rsidRDefault="00264CCD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Коэффициент финансовой устойчивости, %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15,98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14,78</w:t>
            </w:r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14,23</w:t>
            </w:r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15,95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14,65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14,44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18,14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4CCD" w:rsidRPr="0048084B" w:rsidRDefault="00264CCD" w:rsidP="00264C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48084B" w:rsidRPr="0048084B" w:rsidRDefault="0048084B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8084B" w:rsidRPr="0048084B" w:rsidRDefault="0048084B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084B">
        <w:rPr>
          <w:rFonts w:ascii="Times New Roman" w:hAnsi="Times New Roman" w:cs="Times New Roman"/>
          <w:sz w:val="24"/>
          <w:szCs w:val="24"/>
        </w:rPr>
        <w:t xml:space="preserve">На основе полученных данных </w:t>
      </w:r>
      <w:r w:rsidR="00124CBF">
        <w:rPr>
          <w:rFonts w:ascii="Times New Roman" w:hAnsi="Times New Roman" w:cs="Times New Roman"/>
          <w:sz w:val="24"/>
          <w:szCs w:val="24"/>
        </w:rPr>
        <w:t xml:space="preserve">с помощью метода экстраполяции тренда </w:t>
      </w:r>
      <w:r w:rsidRPr="0048084B">
        <w:rPr>
          <w:rFonts w:ascii="Times New Roman" w:hAnsi="Times New Roman" w:cs="Times New Roman"/>
          <w:sz w:val="24"/>
          <w:szCs w:val="24"/>
        </w:rPr>
        <w:t>можно построить прогноз на 3 года</w:t>
      </w:r>
      <w:r w:rsidR="00124CBF">
        <w:rPr>
          <w:rFonts w:ascii="Times New Roman" w:hAnsi="Times New Roman" w:cs="Times New Roman"/>
          <w:sz w:val="24"/>
          <w:szCs w:val="24"/>
        </w:rPr>
        <w:t xml:space="preserve"> (таблица 3)</w:t>
      </w:r>
      <w:r w:rsidRPr="0048084B">
        <w:rPr>
          <w:rFonts w:ascii="Times New Roman" w:hAnsi="Times New Roman" w:cs="Times New Roman"/>
          <w:sz w:val="24"/>
          <w:szCs w:val="24"/>
        </w:rPr>
        <w:t>.</w:t>
      </w:r>
    </w:p>
    <w:p w:rsidR="0048084B" w:rsidRPr="0048084B" w:rsidRDefault="0048084B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8084B" w:rsidRPr="0048084B" w:rsidRDefault="0048084B" w:rsidP="0048084B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48084B">
        <w:rPr>
          <w:rFonts w:ascii="Times New Roman" w:hAnsi="Times New Roman" w:cs="Times New Roman"/>
          <w:i/>
          <w:sz w:val="24"/>
          <w:szCs w:val="24"/>
        </w:rPr>
        <w:t xml:space="preserve">Таблица </w:t>
      </w:r>
      <w:r w:rsidR="00264CCD">
        <w:rPr>
          <w:rFonts w:ascii="Times New Roman" w:hAnsi="Times New Roman" w:cs="Times New Roman"/>
          <w:i/>
          <w:sz w:val="24"/>
          <w:szCs w:val="24"/>
        </w:rPr>
        <w:t>3</w:t>
      </w:r>
      <w:r w:rsidRPr="0048084B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48084B" w:rsidRPr="0048084B" w:rsidRDefault="0048084B" w:rsidP="0048084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8084B">
        <w:rPr>
          <w:rFonts w:ascii="Times New Roman" w:hAnsi="Times New Roman" w:cs="Times New Roman"/>
          <w:sz w:val="24"/>
          <w:szCs w:val="24"/>
        </w:rPr>
        <w:t>Прогноз финансовой устойчивости АО «Тинькофф Банк» на 2021-2023 гг.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078"/>
        <w:gridCol w:w="1983"/>
        <w:gridCol w:w="1845"/>
        <w:gridCol w:w="1665"/>
      </w:tblGrid>
      <w:tr w:rsidR="0048084B" w:rsidRPr="0048084B" w:rsidTr="003D6840">
        <w:trPr>
          <w:trHeight w:val="307"/>
        </w:trPr>
        <w:tc>
          <w:tcPr>
            <w:tcW w:w="213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Показатели</w:t>
            </w:r>
          </w:p>
        </w:tc>
        <w:tc>
          <w:tcPr>
            <w:tcW w:w="287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Прогноз</w:t>
            </w:r>
          </w:p>
        </w:tc>
      </w:tr>
      <w:tr w:rsidR="0048084B" w:rsidRPr="0048084B" w:rsidTr="003D6840">
        <w:trPr>
          <w:trHeight w:val="77"/>
        </w:trPr>
        <w:tc>
          <w:tcPr>
            <w:tcW w:w="213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2021 год</w:t>
            </w:r>
          </w:p>
        </w:tc>
        <w:tc>
          <w:tcPr>
            <w:tcW w:w="9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2021 год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2023 год</w:t>
            </w:r>
          </w:p>
        </w:tc>
      </w:tr>
      <w:tr w:rsidR="0048084B" w:rsidRPr="0048084B" w:rsidTr="003D6840">
        <w:trPr>
          <w:trHeight w:val="77"/>
        </w:trPr>
        <w:tc>
          <w:tcPr>
            <w:tcW w:w="213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084B" w:rsidRPr="0048084B" w:rsidRDefault="0048084B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Собственные средства, млрд. руб.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117,56</w:t>
            </w:r>
          </w:p>
        </w:tc>
        <w:tc>
          <w:tcPr>
            <w:tcW w:w="9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134,11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150,66</w:t>
            </w:r>
          </w:p>
        </w:tc>
      </w:tr>
      <w:tr w:rsidR="0048084B" w:rsidRPr="0048084B" w:rsidTr="003D6840">
        <w:trPr>
          <w:trHeight w:val="77"/>
        </w:trPr>
        <w:tc>
          <w:tcPr>
            <w:tcW w:w="213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084B" w:rsidRPr="0048084B" w:rsidRDefault="0048084B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Валюта баланса, млрд. руб.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706,80</w:t>
            </w:r>
          </w:p>
        </w:tc>
        <w:tc>
          <w:tcPr>
            <w:tcW w:w="9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802,83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898,86</w:t>
            </w:r>
          </w:p>
        </w:tc>
      </w:tr>
      <w:tr w:rsidR="0048084B" w:rsidRPr="0048084B" w:rsidTr="003D6840">
        <w:trPr>
          <w:trHeight w:val="131"/>
        </w:trPr>
        <w:tc>
          <w:tcPr>
            <w:tcW w:w="213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084B" w:rsidRPr="0048084B" w:rsidRDefault="0048084B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Коэффициент финансовой устойчивости, 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16,63</w:t>
            </w:r>
          </w:p>
        </w:tc>
        <w:tc>
          <w:tcPr>
            <w:tcW w:w="9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16,70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16,76</w:t>
            </w:r>
          </w:p>
        </w:tc>
      </w:tr>
    </w:tbl>
    <w:p w:rsidR="0048084B" w:rsidRDefault="0048084B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4CCD" w:rsidRPr="0048084B" w:rsidRDefault="00124CBF" w:rsidP="00264C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ПАО Сбербанк ведет более взвешенную политику по управлению финансовой устойчивостью (таблица 4), собственные средства, которые поддерживают финансовую устойчивость банка, у ПАО Сбербанк растут быстрее размеров бизнеса банка., в </w:t>
      </w:r>
      <w:proofErr w:type="gramStart"/>
      <w:r>
        <w:rPr>
          <w:rFonts w:ascii="Times New Roman" w:hAnsi="Times New Roman" w:cs="Times New Roman"/>
          <w:sz w:val="24"/>
          <w:szCs w:val="24"/>
        </w:rPr>
        <w:t>связи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 чем этот показатель имеет более стабильные значения.</w:t>
      </w:r>
    </w:p>
    <w:p w:rsidR="00264CCD" w:rsidRPr="00C515E8" w:rsidRDefault="00264CCD" w:rsidP="00264CCD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Таблица 4</w:t>
      </w:r>
      <w:r w:rsidRPr="00C515E8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64CCD" w:rsidRPr="0048084B" w:rsidRDefault="00264CCD" w:rsidP="00264CC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8084B">
        <w:rPr>
          <w:rFonts w:ascii="Times New Roman" w:hAnsi="Times New Roman" w:cs="Times New Roman"/>
          <w:sz w:val="24"/>
          <w:szCs w:val="24"/>
        </w:rPr>
        <w:t>Исходные и расчетные данные ПАО Сбербанк за 2014-2020 гг. для прогноза финансовой устойчивости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808"/>
        <w:gridCol w:w="852"/>
        <w:gridCol w:w="992"/>
        <w:gridCol w:w="913"/>
        <w:gridCol w:w="948"/>
        <w:gridCol w:w="1083"/>
        <w:gridCol w:w="1024"/>
        <w:gridCol w:w="1005"/>
        <w:gridCol w:w="946"/>
      </w:tblGrid>
      <w:tr w:rsidR="00264CCD" w:rsidRPr="0048084B" w:rsidTr="00124CBF">
        <w:trPr>
          <w:trHeight w:val="300"/>
        </w:trPr>
        <w:tc>
          <w:tcPr>
            <w:tcW w:w="94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Показатели</w:t>
            </w:r>
          </w:p>
        </w:tc>
        <w:tc>
          <w:tcPr>
            <w:tcW w:w="3561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Годы</w:t>
            </w:r>
          </w:p>
        </w:tc>
        <w:tc>
          <w:tcPr>
            <w:tcW w:w="494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Темп роста, %</w:t>
            </w:r>
          </w:p>
        </w:tc>
      </w:tr>
      <w:tr w:rsidR="00264CCD" w:rsidRPr="0048084B" w:rsidTr="00124CBF">
        <w:trPr>
          <w:trHeight w:val="600"/>
        </w:trPr>
        <w:tc>
          <w:tcPr>
            <w:tcW w:w="94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2015</w:t>
            </w:r>
          </w:p>
        </w:tc>
        <w:tc>
          <w:tcPr>
            <w:tcW w:w="4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2016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2017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2018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2019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2020</w:t>
            </w:r>
          </w:p>
        </w:tc>
        <w:tc>
          <w:tcPr>
            <w:tcW w:w="494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64CCD" w:rsidRPr="0048084B" w:rsidTr="00124CBF">
        <w:trPr>
          <w:trHeight w:val="900"/>
        </w:trPr>
        <w:tc>
          <w:tcPr>
            <w:tcW w:w="9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4CCD" w:rsidRPr="0048084B" w:rsidRDefault="00264CCD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Собственные средства, млрд. руб.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1982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2328,1</w:t>
            </w:r>
          </w:p>
        </w:tc>
        <w:tc>
          <w:tcPr>
            <w:tcW w:w="4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2831,9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3359,1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3800,3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4102,5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4564,8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4CCD" w:rsidRPr="0048084B" w:rsidRDefault="00264CCD" w:rsidP="00264C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230,3</w:t>
            </w:r>
          </w:p>
        </w:tc>
      </w:tr>
      <w:tr w:rsidR="00264CCD" w:rsidRPr="0048084B" w:rsidTr="00124CBF">
        <w:trPr>
          <w:trHeight w:val="600"/>
        </w:trPr>
        <w:tc>
          <w:tcPr>
            <w:tcW w:w="9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4CCD" w:rsidRPr="0048084B" w:rsidRDefault="00264CCD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Валюта баланса, млрд. руб.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21746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22706</w:t>
            </w:r>
          </w:p>
        </w:tc>
        <w:tc>
          <w:tcPr>
            <w:tcW w:w="4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21724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23158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26899,9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27242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30281,9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4CCD" w:rsidRPr="0048084B" w:rsidRDefault="00264CCD" w:rsidP="00264C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139,2</w:t>
            </w:r>
          </w:p>
        </w:tc>
      </w:tr>
      <w:tr w:rsidR="00264CCD" w:rsidRPr="0048084B" w:rsidTr="00124CBF">
        <w:trPr>
          <w:trHeight w:val="900"/>
        </w:trPr>
        <w:tc>
          <w:tcPr>
            <w:tcW w:w="9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4CCD" w:rsidRPr="0048084B" w:rsidRDefault="00264CCD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Коэффициент финансовой устойчивости, %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9,12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10,25</w:t>
            </w:r>
          </w:p>
        </w:tc>
        <w:tc>
          <w:tcPr>
            <w:tcW w:w="4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13,04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14,50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14,13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15,06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4CCD" w:rsidRPr="0048084B" w:rsidRDefault="00264CCD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15,07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64CCD" w:rsidRPr="0048084B" w:rsidRDefault="00264CCD" w:rsidP="00264C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264CCD" w:rsidRPr="0048084B" w:rsidRDefault="00264CCD" w:rsidP="00264C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24CBF" w:rsidRPr="0048084B" w:rsidRDefault="00124CBF" w:rsidP="00124C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084B">
        <w:rPr>
          <w:rFonts w:ascii="Times New Roman" w:hAnsi="Times New Roman" w:cs="Times New Roman"/>
          <w:sz w:val="24"/>
          <w:szCs w:val="24"/>
        </w:rPr>
        <w:t xml:space="preserve">На основе прогноза </w:t>
      </w:r>
      <w:r>
        <w:rPr>
          <w:rFonts w:ascii="Times New Roman" w:hAnsi="Times New Roman" w:cs="Times New Roman"/>
          <w:sz w:val="24"/>
          <w:szCs w:val="24"/>
        </w:rPr>
        <w:t xml:space="preserve">(таблица 5) </w:t>
      </w:r>
      <w:r w:rsidRPr="0048084B">
        <w:rPr>
          <w:rFonts w:ascii="Times New Roman" w:hAnsi="Times New Roman" w:cs="Times New Roman"/>
          <w:sz w:val="24"/>
          <w:szCs w:val="24"/>
        </w:rPr>
        <w:t>можно сделать вывод, что тенденция роста по анализируемым показателям в ПАО Сбербанк за 2021-2023 гг. будет продолжаться, что свидетельствует об увеличении платежеспособности банка и увеличении его финансовой устойчивости.</w:t>
      </w:r>
    </w:p>
    <w:p w:rsidR="00124CBF" w:rsidRPr="0048084B" w:rsidRDefault="00124CBF" w:rsidP="00124C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24CBF" w:rsidRPr="00C515E8" w:rsidRDefault="00124CBF" w:rsidP="00124CBF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Таблица 5</w:t>
      </w:r>
      <w:r w:rsidRPr="00C515E8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124CBF" w:rsidRPr="0048084B" w:rsidRDefault="00124CBF" w:rsidP="00124CB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8084B">
        <w:rPr>
          <w:rFonts w:ascii="Times New Roman" w:hAnsi="Times New Roman" w:cs="Times New Roman"/>
          <w:sz w:val="24"/>
          <w:szCs w:val="24"/>
        </w:rPr>
        <w:lastRenderedPageBreak/>
        <w:t>Прогноз финансовой устойчивости ПАО Сбербанк на 2021-2023 гг.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785"/>
        <w:gridCol w:w="1702"/>
        <w:gridCol w:w="1700"/>
        <w:gridCol w:w="1384"/>
      </w:tblGrid>
      <w:tr w:rsidR="00124CBF" w:rsidRPr="0048084B" w:rsidTr="00311FB6">
        <w:trPr>
          <w:trHeight w:val="300"/>
          <w:tblHeader/>
        </w:trPr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Показатели</w:t>
            </w:r>
          </w:p>
        </w:tc>
        <w:tc>
          <w:tcPr>
            <w:tcW w:w="25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Прогноз</w:t>
            </w:r>
          </w:p>
        </w:tc>
      </w:tr>
      <w:tr w:rsidR="00124CBF" w:rsidRPr="0048084B" w:rsidTr="00311FB6">
        <w:trPr>
          <w:trHeight w:val="300"/>
          <w:tblHeader/>
        </w:trPr>
        <w:tc>
          <w:tcPr>
            <w:tcW w:w="250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2021 год</w:t>
            </w: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2022 год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2023 год</w:t>
            </w:r>
          </w:p>
        </w:tc>
      </w:tr>
      <w:tr w:rsidR="00124CBF" w:rsidRPr="0048084B" w:rsidTr="00311FB6">
        <w:trPr>
          <w:trHeight w:val="370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CBF" w:rsidRPr="0048084B" w:rsidRDefault="00124CBF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Собственные средства, млрд. руб.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5033,36</w:t>
            </w: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5471,38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5909,40</w:t>
            </w:r>
          </w:p>
        </w:tc>
      </w:tr>
      <w:tr w:rsidR="00124CBF" w:rsidRPr="0048084B" w:rsidTr="00311FB6">
        <w:trPr>
          <w:trHeight w:val="418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CBF" w:rsidRPr="0048084B" w:rsidRDefault="00124CBF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Валюта баланса, млрд. руб.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20268,40</w:t>
            </w: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20410,70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20553,00</w:t>
            </w:r>
          </w:p>
        </w:tc>
      </w:tr>
      <w:tr w:rsidR="00124CBF" w:rsidRPr="0048084B" w:rsidTr="00311FB6">
        <w:trPr>
          <w:trHeight w:val="281"/>
        </w:trPr>
        <w:tc>
          <w:tcPr>
            <w:tcW w:w="25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24CBF" w:rsidRPr="0048084B" w:rsidRDefault="00124CBF" w:rsidP="00C6678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Коэффициент финансовой устойчивости, %</w:t>
            </w:r>
          </w:p>
        </w:tc>
        <w:tc>
          <w:tcPr>
            <w:tcW w:w="8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24,83</w:t>
            </w: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26,81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24CBF" w:rsidRPr="0048084B" w:rsidRDefault="00124CB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28,75</w:t>
            </w:r>
          </w:p>
        </w:tc>
      </w:tr>
    </w:tbl>
    <w:p w:rsidR="00124CBF" w:rsidRPr="0048084B" w:rsidRDefault="00124CBF" w:rsidP="00124C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4A6D" w:rsidRPr="00094A6D" w:rsidRDefault="00094A6D" w:rsidP="00094A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94A6D">
        <w:rPr>
          <w:rFonts w:ascii="Times New Roman" w:eastAsia="Times New Roman" w:hAnsi="Times New Roman" w:cs="Times New Roman"/>
          <w:sz w:val="24"/>
          <w:szCs w:val="24"/>
        </w:rPr>
        <w:t xml:space="preserve">В отношении термина «надежность коммерческого банка» существуют различные точки зрения. Банк России заменяет его термином «финансовая устойчивость». </w:t>
      </w:r>
      <w:proofErr w:type="gramStart"/>
      <w:r w:rsidRPr="00094A6D">
        <w:rPr>
          <w:rFonts w:ascii="Times New Roman" w:eastAsia="Times New Roman" w:hAnsi="Times New Roman" w:cs="Times New Roman"/>
          <w:sz w:val="24"/>
          <w:szCs w:val="24"/>
        </w:rPr>
        <w:t>Указание Банка России от 11.06.2014 N 3277-У (ред. от 26.12.2017) «О методиках оценки финансовой устойчивости банка в целях признания ее достаточной для участия в системе страхования вкладов» называет состояние банка, необходимое для его участия в системе страхования вкладов, финансово устойчивым и утверждает группы показателей для его оценки: оценка капитала, активов, качества управления банком, доходности и ликвидности</w:t>
      </w:r>
      <w:r w:rsidRPr="00094A6D">
        <w:rPr>
          <w:rFonts w:ascii="Times New Roman" w:eastAsia="Times New Roman" w:hAnsi="Times New Roman" w:cs="Times New Roman"/>
          <w:sz w:val="24"/>
          <w:szCs w:val="24"/>
          <w:vertAlign w:val="superscript"/>
        </w:rPr>
        <w:footnoteReference w:id="1"/>
      </w:r>
      <w:r w:rsidRPr="00094A6D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48084B" w:rsidRPr="0048084B" w:rsidRDefault="0048084B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084B">
        <w:rPr>
          <w:rFonts w:ascii="Times New Roman" w:hAnsi="Times New Roman" w:cs="Times New Roman"/>
          <w:sz w:val="24"/>
          <w:szCs w:val="24"/>
        </w:rPr>
        <w:t xml:space="preserve">Следующим шагом в анализе устойчивости </w:t>
      </w:r>
      <w:r w:rsidR="00124CBF">
        <w:rPr>
          <w:rFonts w:ascii="Times New Roman" w:hAnsi="Times New Roman" w:cs="Times New Roman"/>
          <w:sz w:val="24"/>
          <w:szCs w:val="24"/>
        </w:rPr>
        <w:t>объектов исследования будет рейтинговая оценка их</w:t>
      </w:r>
      <w:r w:rsidRPr="0048084B">
        <w:rPr>
          <w:rFonts w:ascii="Times New Roman" w:hAnsi="Times New Roman" w:cs="Times New Roman"/>
          <w:sz w:val="24"/>
          <w:szCs w:val="24"/>
        </w:rPr>
        <w:t xml:space="preserve"> надежности.</w:t>
      </w:r>
    </w:p>
    <w:p w:rsidR="00094A6D" w:rsidRPr="00094A6D" w:rsidRDefault="00124CBF" w:rsidP="00094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рамках исследования </w:t>
      </w:r>
      <w:r w:rsidR="00094A6D" w:rsidRPr="00094A6D">
        <w:rPr>
          <w:rFonts w:ascii="Times New Roman" w:hAnsi="Times New Roman" w:cs="Times New Roman"/>
          <w:sz w:val="24"/>
          <w:szCs w:val="24"/>
        </w:rPr>
        <w:t>была использована следующая система аналитических коэффициентов, характеризующих в комплексе надежность банков, включающая четыре проблемных блока:</w:t>
      </w:r>
    </w:p>
    <w:p w:rsidR="00094A6D" w:rsidRPr="00094A6D" w:rsidRDefault="00094A6D" w:rsidP="00094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4A6D">
        <w:rPr>
          <w:rFonts w:ascii="Times New Roman" w:hAnsi="Times New Roman" w:cs="Times New Roman"/>
          <w:sz w:val="24"/>
          <w:szCs w:val="24"/>
        </w:rPr>
        <w:t>1) показатели финансовой устойчивости: коэффициент локального покрытия К</w:t>
      </w:r>
      <w:proofErr w:type="gramStart"/>
      <w:r w:rsidRPr="00094A6D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Pr="00094A6D">
        <w:rPr>
          <w:rFonts w:ascii="Times New Roman" w:hAnsi="Times New Roman" w:cs="Times New Roman"/>
          <w:sz w:val="24"/>
          <w:szCs w:val="24"/>
        </w:rPr>
        <w:t>, коэффициент финансовой устойчивости К2, коэффициент маневренности К3;</w:t>
      </w:r>
    </w:p>
    <w:p w:rsidR="00094A6D" w:rsidRPr="00094A6D" w:rsidRDefault="00094A6D" w:rsidP="00094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4A6D">
        <w:rPr>
          <w:rFonts w:ascii="Times New Roman" w:hAnsi="Times New Roman" w:cs="Times New Roman"/>
          <w:sz w:val="24"/>
          <w:szCs w:val="24"/>
        </w:rPr>
        <w:t>2) показатели достаточности капитала: коэффициент достаточности капитала по депозитам К</w:t>
      </w:r>
      <w:proofErr w:type="gramStart"/>
      <w:r w:rsidRPr="00094A6D">
        <w:rPr>
          <w:rFonts w:ascii="Times New Roman" w:hAnsi="Times New Roman" w:cs="Times New Roman"/>
          <w:sz w:val="24"/>
          <w:szCs w:val="24"/>
        </w:rPr>
        <w:t>4</w:t>
      </w:r>
      <w:proofErr w:type="gramEnd"/>
      <w:r w:rsidRPr="00094A6D">
        <w:rPr>
          <w:rFonts w:ascii="Times New Roman" w:hAnsi="Times New Roman" w:cs="Times New Roman"/>
          <w:sz w:val="24"/>
          <w:szCs w:val="24"/>
        </w:rPr>
        <w:t>, фактическое значение норматива достаточности капитала К5;</w:t>
      </w:r>
    </w:p>
    <w:p w:rsidR="00094A6D" w:rsidRPr="00094A6D" w:rsidRDefault="00094A6D" w:rsidP="00094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4A6D">
        <w:rPr>
          <w:rFonts w:ascii="Times New Roman" w:hAnsi="Times New Roman" w:cs="Times New Roman"/>
          <w:sz w:val="24"/>
          <w:szCs w:val="24"/>
        </w:rPr>
        <w:t>3) показатели эффективности обязательств: коэффициент эффективности использования заемных средств для кредитных операций К</w:t>
      </w:r>
      <w:proofErr w:type="gramStart"/>
      <w:r w:rsidRPr="00094A6D">
        <w:rPr>
          <w:rFonts w:ascii="Times New Roman" w:hAnsi="Times New Roman" w:cs="Times New Roman"/>
          <w:sz w:val="24"/>
          <w:szCs w:val="24"/>
        </w:rPr>
        <w:t>6</w:t>
      </w:r>
      <w:proofErr w:type="gramEnd"/>
      <w:r w:rsidRPr="00094A6D">
        <w:rPr>
          <w:rFonts w:ascii="Times New Roman" w:hAnsi="Times New Roman" w:cs="Times New Roman"/>
          <w:sz w:val="24"/>
          <w:szCs w:val="24"/>
        </w:rPr>
        <w:t>, средняя стоимость пассивов К7;</w:t>
      </w:r>
    </w:p>
    <w:p w:rsidR="00094A6D" w:rsidRDefault="00094A6D" w:rsidP="00094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4A6D">
        <w:rPr>
          <w:rFonts w:ascii="Times New Roman" w:hAnsi="Times New Roman" w:cs="Times New Roman"/>
          <w:sz w:val="24"/>
          <w:szCs w:val="24"/>
        </w:rPr>
        <w:t>4) показатели эффективности деятельности банка: рентабельность активов К8, рентабельность собственного капитала К</w:t>
      </w:r>
      <w:proofErr w:type="gramStart"/>
      <w:r w:rsidRPr="00094A6D">
        <w:rPr>
          <w:rFonts w:ascii="Times New Roman" w:hAnsi="Times New Roman" w:cs="Times New Roman"/>
          <w:sz w:val="24"/>
          <w:szCs w:val="24"/>
        </w:rPr>
        <w:t>9</w:t>
      </w:r>
      <w:proofErr w:type="gramEnd"/>
      <w:r w:rsidRPr="00094A6D">
        <w:rPr>
          <w:rFonts w:ascii="Times New Roman" w:hAnsi="Times New Roman" w:cs="Times New Roman"/>
          <w:sz w:val="24"/>
          <w:szCs w:val="24"/>
        </w:rPr>
        <w:t>, спрэд К10, коэффициент мгновенной ликвидности К11, коэффициент эффективности затрат К12, коэффициент полной ликвидности К13 [4, 5, 6].</w:t>
      </w:r>
    </w:p>
    <w:p w:rsidR="00094A6D" w:rsidRPr="00094A6D" w:rsidRDefault="00124CBF" w:rsidP="00094A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 помощью этих показателей были</w:t>
      </w:r>
      <w:r w:rsidR="00FE60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94A6D" w:rsidRPr="00094A6D">
        <w:rPr>
          <w:rFonts w:ascii="Times New Roman" w:eastAsia="Times New Roman" w:hAnsi="Times New Roman" w:cs="Times New Roman"/>
          <w:sz w:val="24"/>
          <w:szCs w:val="24"/>
        </w:rPr>
        <w:t>рассчитаны значения итогового обобщающего показателя по модели:</w:t>
      </w:r>
    </w:p>
    <w:p w:rsidR="00094A6D" w:rsidRPr="00094A6D" w:rsidRDefault="00094A6D" w:rsidP="00094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4A6D">
        <w:rPr>
          <w:rFonts w:ascii="Times New Roman" w:eastAsia="Times New Roman" w:hAnsi="Times New Roman" w:cs="Times New Roman"/>
          <w:sz w:val="24"/>
          <w:szCs w:val="24"/>
        </w:rPr>
        <w:object w:dxaOrig="8559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8.15pt;height:18.4pt" o:ole="">
            <v:imagedata r:id="rId9" o:title=""/>
          </v:shape>
          <o:OLEObject Type="Embed" ProgID="Equation.3" ShapeID="_x0000_i1025" DrawAspect="Content" ObjectID="_1716383707" r:id="rId10"/>
        </w:object>
      </w:r>
      <w:r w:rsidRPr="00094A6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8084B" w:rsidRPr="0048084B" w:rsidRDefault="00094A6D" w:rsidP="00094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4A6D">
        <w:rPr>
          <w:rFonts w:ascii="Times New Roman" w:hAnsi="Times New Roman" w:cs="Times New Roman"/>
          <w:sz w:val="24"/>
          <w:szCs w:val="24"/>
        </w:rPr>
        <w:t xml:space="preserve">Расчет представленных коэффициентов был выполнен на основании данных отчетности Центрального банка РФ о результатах деятельности коммерческих банков, функционирующих на территории Вологодской области, за 2015-2016 гг. </w:t>
      </w:r>
      <w:r w:rsidR="00FE600F">
        <w:rPr>
          <w:rFonts w:ascii="Times New Roman" w:hAnsi="Times New Roman" w:cs="Times New Roman"/>
          <w:sz w:val="24"/>
          <w:szCs w:val="24"/>
        </w:rPr>
        <w:t>Значения обобщающего показателя можно оценивать как в динамике, так и в сравнении между коммерческими банками.</w:t>
      </w:r>
    </w:p>
    <w:p w:rsidR="0048084B" w:rsidRPr="0048084B" w:rsidRDefault="0048084B" w:rsidP="004808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515E8" w:rsidRPr="00C515E8" w:rsidRDefault="0048084B" w:rsidP="00C515E8">
      <w:pPr>
        <w:spacing w:after="0" w:line="240" w:lineRule="auto"/>
        <w:jc w:val="right"/>
        <w:rPr>
          <w:rFonts w:ascii="Times New Roman" w:hAnsi="Times New Roman"/>
          <w:i/>
          <w:sz w:val="24"/>
          <w:szCs w:val="24"/>
        </w:rPr>
      </w:pPr>
      <w:r w:rsidRPr="00C515E8">
        <w:rPr>
          <w:rFonts w:ascii="Times New Roman" w:hAnsi="Times New Roman"/>
          <w:i/>
          <w:sz w:val="24"/>
          <w:szCs w:val="24"/>
        </w:rPr>
        <w:t>Табли</w:t>
      </w:r>
      <w:r w:rsidR="00C515E8" w:rsidRPr="00C515E8">
        <w:rPr>
          <w:rFonts w:ascii="Times New Roman" w:hAnsi="Times New Roman"/>
          <w:i/>
          <w:sz w:val="24"/>
          <w:szCs w:val="24"/>
        </w:rPr>
        <w:t xml:space="preserve">ца </w:t>
      </w:r>
      <w:r w:rsidR="00FE600F">
        <w:rPr>
          <w:rFonts w:ascii="Times New Roman" w:hAnsi="Times New Roman"/>
          <w:i/>
          <w:sz w:val="24"/>
          <w:szCs w:val="24"/>
        </w:rPr>
        <w:t>6</w:t>
      </w:r>
      <w:r w:rsidR="00C515E8" w:rsidRPr="00C515E8">
        <w:rPr>
          <w:rFonts w:ascii="Times New Roman" w:hAnsi="Times New Roman"/>
          <w:i/>
          <w:sz w:val="24"/>
          <w:szCs w:val="24"/>
        </w:rPr>
        <w:t xml:space="preserve"> </w:t>
      </w:r>
    </w:p>
    <w:p w:rsidR="00FE600F" w:rsidRDefault="0048084B" w:rsidP="00C515E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48084B">
        <w:rPr>
          <w:rFonts w:ascii="Times New Roman" w:hAnsi="Times New Roman"/>
          <w:sz w:val="24"/>
          <w:szCs w:val="24"/>
        </w:rPr>
        <w:t xml:space="preserve">Сравнительный анализ </w:t>
      </w:r>
      <w:r w:rsidR="00FE600F">
        <w:rPr>
          <w:rFonts w:ascii="Times New Roman" w:hAnsi="Times New Roman"/>
          <w:sz w:val="24"/>
          <w:szCs w:val="24"/>
        </w:rPr>
        <w:t>надежности</w:t>
      </w:r>
      <w:r w:rsidRPr="0048084B">
        <w:rPr>
          <w:rFonts w:ascii="Times New Roman" w:hAnsi="Times New Roman"/>
          <w:sz w:val="24"/>
          <w:szCs w:val="24"/>
        </w:rPr>
        <w:t xml:space="preserve"> АО «Тинькофф банк» и ПАО Сбербанк </w:t>
      </w:r>
    </w:p>
    <w:p w:rsidR="0048084B" w:rsidRPr="0048084B" w:rsidRDefault="0048084B" w:rsidP="00C515E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48084B">
        <w:rPr>
          <w:rFonts w:ascii="Times New Roman" w:hAnsi="Times New Roman"/>
          <w:sz w:val="24"/>
          <w:szCs w:val="24"/>
        </w:rPr>
        <w:t>за 2019-2020 гг.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943"/>
        <w:gridCol w:w="993"/>
        <w:gridCol w:w="992"/>
        <w:gridCol w:w="1277"/>
        <w:gridCol w:w="1133"/>
        <w:gridCol w:w="993"/>
        <w:gridCol w:w="1240"/>
      </w:tblGrid>
      <w:tr w:rsidR="0048084B" w:rsidRPr="0048084B" w:rsidTr="003D6840">
        <w:trPr>
          <w:trHeight w:val="300"/>
          <w:tblHeader/>
        </w:trPr>
        <w:tc>
          <w:tcPr>
            <w:tcW w:w="15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170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FE6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АО </w:t>
            </w:r>
            <w:r w:rsidR="00FE60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«Тинькофф Банк»</w:t>
            </w:r>
          </w:p>
        </w:tc>
        <w:tc>
          <w:tcPr>
            <w:tcW w:w="175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084B" w:rsidRPr="0048084B" w:rsidRDefault="0048084B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ПАО Сбербанк</w:t>
            </w:r>
          </w:p>
        </w:tc>
      </w:tr>
      <w:tr w:rsidR="00FE600F" w:rsidRPr="0048084B" w:rsidTr="003D6840">
        <w:trPr>
          <w:trHeight w:val="600"/>
          <w:tblHeader/>
        </w:trPr>
        <w:tc>
          <w:tcPr>
            <w:tcW w:w="15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FE6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год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2020</w:t>
            </w: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год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Отклонение, +-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год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2020</w:t>
            </w: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год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Отклонение, +-</w:t>
            </w:r>
          </w:p>
        </w:tc>
      </w:tr>
      <w:tr w:rsidR="00FE600F" w:rsidRPr="0048084B" w:rsidTr="00FE600F">
        <w:trPr>
          <w:trHeight w:val="600"/>
        </w:trPr>
        <w:tc>
          <w:tcPr>
            <w:tcW w:w="15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К</w:t>
            </w:r>
            <w:proofErr w:type="gramStart"/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proofErr w:type="gramEnd"/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(коэффициент локального покрытия), %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5,82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9,03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3,20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6,01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6,69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0,68</w:t>
            </w:r>
          </w:p>
        </w:tc>
      </w:tr>
      <w:tr w:rsidR="00FE600F" w:rsidRPr="0048084B" w:rsidTr="00FE600F">
        <w:trPr>
          <w:trHeight w:val="600"/>
        </w:trPr>
        <w:tc>
          <w:tcPr>
            <w:tcW w:w="15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</w:t>
            </w:r>
            <w:proofErr w:type="gramStart"/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proofErr w:type="gramEnd"/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(коэффициент финансовой устойчивости), %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14,44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18,14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3,70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15,06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15,07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0,01</w:t>
            </w:r>
          </w:p>
        </w:tc>
      </w:tr>
      <w:tr w:rsidR="00FE600F" w:rsidRPr="0048084B" w:rsidTr="00FE600F">
        <w:trPr>
          <w:trHeight w:val="300"/>
        </w:trPr>
        <w:tc>
          <w:tcPr>
            <w:tcW w:w="15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К3 (коэффициент маневренности), %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34,51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40,74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6,23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33,90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37,66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3,77</w:t>
            </w:r>
          </w:p>
        </w:tc>
      </w:tr>
      <w:tr w:rsidR="00FE600F" w:rsidRPr="0048084B" w:rsidTr="00FE600F">
        <w:trPr>
          <w:trHeight w:val="600"/>
        </w:trPr>
        <w:tc>
          <w:tcPr>
            <w:tcW w:w="15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</w:t>
            </w:r>
            <w:proofErr w:type="gramStart"/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proofErr w:type="gramEnd"/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(коэффициент достаточности капитала по депозитам), %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18,01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23,85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5,84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19,69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19,55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-0,13</w:t>
            </w:r>
          </w:p>
        </w:tc>
      </w:tr>
      <w:tr w:rsidR="00FE600F" w:rsidRPr="0048084B" w:rsidTr="00FE600F">
        <w:trPr>
          <w:trHeight w:val="600"/>
        </w:trPr>
        <w:tc>
          <w:tcPr>
            <w:tcW w:w="15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К5 (норматив достаточности собственного капитала), %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12,00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12,70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0,70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14,52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14,55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0,03</w:t>
            </w:r>
          </w:p>
        </w:tc>
      </w:tr>
      <w:tr w:rsidR="00FE600F" w:rsidRPr="0048084B" w:rsidTr="00FE600F">
        <w:trPr>
          <w:trHeight w:val="600"/>
        </w:trPr>
        <w:tc>
          <w:tcPr>
            <w:tcW w:w="15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</w:t>
            </w:r>
            <w:proofErr w:type="gramStart"/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proofErr w:type="gramEnd"/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(коэффициент мгновенной ликвидности), %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75,60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71,80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-3,80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161,90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98,50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-63,40</w:t>
            </w:r>
          </w:p>
        </w:tc>
      </w:tr>
      <w:tr w:rsidR="00FE600F" w:rsidRPr="0048084B" w:rsidTr="00FE600F">
        <w:trPr>
          <w:trHeight w:val="600"/>
        </w:trPr>
        <w:tc>
          <w:tcPr>
            <w:tcW w:w="15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</w:t>
            </w:r>
            <w:proofErr w:type="gramStart"/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proofErr w:type="gramEnd"/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(коэффициент эффективности затрат), %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155,57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159,05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3,48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168,44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174,85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6,41</w:t>
            </w:r>
          </w:p>
        </w:tc>
      </w:tr>
      <w:tr w:rsidR="00FE600F" w:rsidRPr="0048084B" w:rsidTr="00FE600F">
        <w:trPr>
          <w:trHeight w:val="600"/>
        </w:trPr>
        <w:tc>
          <w:tcPr>
            <w:tcW w:w="15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К8 (коэффициент полной ликвидности), %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52,10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79,25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27,15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97,55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92,20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-5,35</w:t>
            </w:r>
          </w:p>
        </w:tc>
      </w:tr>
      <w:tr w:rsidR="00FE600F" w:rsidRPr="0048084B" w:rsidTr="00FE600F">
        <w:trPr>
          <w:trHeight w:val="300"/>
        </w:trPr>
        <w:tc>
          <w:tcPr>
            <w:tcW w:w="15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Интегральный показатель (S), %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31,15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35,82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4,67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46,00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600F" w:rsidRPr="0048084B" w:rsidRDefault="00FE600F" w:rsidP="00C6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39,70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600F" w:rsidRPr="0048084B" w:rsidRDefault="00FE600F" w:rsidP="00480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808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-6,30</w:t>
            </w:r>
          </w:p>
        </w:tc>
      </w:tr>
    </w:tbl>
    <w:p w:rsidR="0048084B" w:rsidRDefault="0048084B" w:rsidP="0048084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61ECF" w:rsidRDefault="0048084B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084B">
        <w:rPr>
          <w:rFonts w:ascii="Times New Roman" w:hAnsi="Times New Roman" w:cs="Times New Roman"/>
          <w:sz w:val="24"/>
          <w:szCs w:val="24"/>
        </w:rPr>
        <w:t>Анализируя данные, представленные в таблице</w:t>
      </w:r>
      <w:r w:rsidR="00FE600F">
        <w:rPr>
          <w:rFonts w:ascii="Times New Roman" w:hAnsi="Times New Roman" w:cs="Times New Roman"/>
          <w:sz w:val="24"/>
          <w:szCs w:val="24"/>
        </w:rPr>
        <w:t xml:space="preserve"> 6, можно сделать следующие выводы. Интегральный показатель надежности ПАО Сбербанк оба исследуемых года превышает тот же показатель банка-конкурента на 15 и 4 пункта соответственно, </w:t>
      </w:r>
      <w:proofErr w:type="spellStart"/>
      <w:r w:rsidR="00FE600F">
        <w:rPr>
          <w:rFonts w:ascii="Times New Roman" w:hAnsi="Times New Roman" w:cs="Times New Roman"/>
          <w:sz w:val="24"/>
          <w:szCs w:val="24"/>
        </w:rPr>
        <w:t>т</w:t>
      </w:r>
      <w:proofErr w:type="gramStart"/>
      <w:r w:rsidR="00FE600F">
        <w:rPr>
          <w:rFonts w:ascii="Times New Roman" w:hAnsi="Times New Roman" w:cs="Times New Roman"/>
          <w:sz w:val="24"/>
          <w:szCs w:val="24"/>
        </w:rPr>
        <w:t>.е</w:t>
      </w:r>
      <w:proofErr w:type="spellEnd"/>
      <w:proofErr w:type="gramEnd"/>
      <w:r w:rsidR="00FE600F">
        <w:rPr>
          <w:rFonts w:ascii="Times New Roman" w:hAnsi="Times New Roman" w:cs="Times New Roman"/>
          <w:sz w:val="24"/>
          <w:szCs w:val="24"/>
        </w:rPr>
        <w:t xml:space="preserve"> к 2021 году разница между значениями показателей надежности банков практически стерлись. Что касается динамических изменений, то представленный показатель у ПАО Сбербанк снижается в отличие от АО «Тинькофф Банк», который стабильно надежен согласно используемой методике.</w:t>
      </w:r>
    </w:p>
    <w:p w:rsidR="00FE600F" w:rsidRDefault="00FE600F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Предлагаем рассмотреть факторы, которые повлияли у ПАО Сбербанк на снижение интегрального показателя. </w:t>
      </w:r>
      <w:r w:rsidR="00315F0A">
        <w:rPr>
          <w:rFonts w:ascii="Times New Roman" w:hAnsi="Times New Roman" w:cs="Times New Roman"/>
          <w:sz w:val="24"/>
          <w:szCs w:val="24"/>
        </w:rPr>
        <w:t>В частности, это произошло из-за двукратного падения коэффициента мгновенной ликвидности, однако, он имеет достаточные значения для сохранения ликвидности</w:t>
      </w:r>
      <w:proofErr w:type="gramStart"/>
      <w:r w:rsidR="00315F0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315F0A">
        <w:rPr>
          <w:rFonts w:ascii="Times New Roman" w:hAnsi="Times New Roman" w:cs="Times New Roman"/>
          <w:sz w:val="24"/>
          <w:szCs w:val="24"/>
        </w:rPr>
        <w:t xml:space="preserve"> Соответственно, и полная ликвидность также сократилась.</w:t>
      </w:r>
    </w:p>
    <w:p w:rsidR="00315F0A" w:rsidRDefault="00315F0A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Стоит отметить, что ликвидность </w:t>
      </w:r>
      <w:proofErr w:type="gramStart"/>
      <w:r>
        <w:rPr>
          <w:rFonts w:ascii="Times New Roman" w:hAnsi="Times New Roman" w:cs="Times New Roman"/>
          <w:sz w:val="24"/>
          <w:szCs w:val="24"/>
        </w:rPr>
        <w:t>и у АО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«Тинькофф Банк» находится в отрицательной динамике, но с меньшими колебаниями.</w:t>
      </w:r>
    </w:p>
    <w:p w:rsidR="00315F0A" w:rsidRDefault="00315F0A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можно сделать заключение, что оба исследуемых банка имеют достаточный уровень финансовой устойчивости и надежности, что немаловажно даже в условиях страхования вкладов физических средств </w:t>
      </w:r>
      <w:r w:rsidRPr="00315F0A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15F0A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, т.к. более объемные ресурсы предприятий и организаций не подлежать системе страхования.</w:t>
      </w:r>
    </w:p>
    <w:p w:rsidR="00F81A05" w:rsidRDefault="00F81A05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81A05" w:rsidRPr="00F81A05" w:rsidRDefault="00F81A05" w:rsidP="00F81A0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81A0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Библиографический список</w:t>
      </w:r>
    </w:p>
    <w:p w:rsidR="00DC190A" w:rsidRDefault="00DC190A" w:rsidP="00DC190A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1. </w:t>
      </w:r>
      <w:proofErr w:type="gramStart"/>
      <w:r w:rsid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Селина</w:t>
      </w:r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 М.Н. Рейтинг банковских систем Вологодской и пограничных областей по финансовой устойчивости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 </w:t>
      </w:r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/</w:t>
      </w:r>
      <w:r w:rsid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/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 </w:t>
      </w:r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В сборнике:</w:t>
      </w:r>
      <w:proofErr w:type="gramEnd"/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 Проблемы экономического роста и устойчивого развития территорий. Материалы V международной научно-практической </w:t>
      </w:r>
      <w:proofErr w:type="gramStart"/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интернет-конференции</w:t>
      </w:r>
      <w:proofErr w:type="gramEnd"/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. в 2-х частях. Вологда, 2020. С. 355-358. – URL: https://elibrary.ru/download/elibrary_46183030_80196816.pdf</w:t>
      </w:r>
    </w:p>
    <w:p w:rsidR="00DC190A" w:rsidRDefault="00DC190A" w:rsidP="00DC190A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lastRenderedPageBreak/>
        <w:t xml:space="preserve">2. </w:t>
      </w:r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Селина М.Н.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 </w:t>
      </w:r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А</w:t>
      </w:r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нализ надежности региональных банков </w:t>
      </w:r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В</w:t>
      </w:r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ологодской области/ М.Н. Селина //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 </w:t>
      </w:r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В сборнике: Проблемы экономического роста и устойчивого развития территорий. материалы VI международной научно-практической </w:t>
      </w:r>
      <w:proofErr w:type="gramStart"/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интернет-конференции</w:t>
      </w:r>
      <w:proofErr w:type="gramEnd"/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: в 2 ч.. Вологда, 2021. С. 207-211.</w:t>
      </w:r>
      <w:r w:rsidRPr="00DC190A">
        <w:t xml:space="preserve"> </w:t>
      </w:r>
      <w:r w:rsidRPr="00DC19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– URL: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 </w:t>
      </w:r>
      <w:hyperlink r:id="rId11" w:history="1">
        <w:r w:rsidR="00315F0A" w:rsidRPr="00E136A7">
          <w:rPr>
            <w:rStyle w:val="a7"/>
            <w:rFonts w:ascii="Times New Roman" w:eastAsia="Times New Roman" w:hAnsi="Times New Roman" w:cs="Times New Roman"/>
            <w:position w:val="-1"/>
            <w:sz w:val="24"/>
            <w:szCs w:val="24"/>
            <w:lang w:eastAsia="ar-SA"/>
          </w:rPr>
          <w:t>https://elibrary.ru/download/elibrary_47278516_93385903.pdf</w:t>
        </w:r>
      </w:hyperlink>
    </w:p>
    <w:p w:rsidR="00315F0A" w:rsidRDefault="00315F0A" w:rsidP="00315F0A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3. </w:t>
      </w:r>
      <w:r w:rsid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Селина</w:t>
      </w:r>
      <w:r w:rsidRPr="00315F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 М.Н. Анализ финансового состояния коммерческих банков Вологодской области /</w:t>
      </w:r>
      <w:r w:rsid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/ </w:t>
      </w:r>
      <w:r w:rsidRPr="00315F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В сборнике: Проблемы экономического роста и устойчивого развития территорий Материалы III международной научно-практической </w:t>
      </w:r>
      <w:proofErr w:type="gramStart"/>
      <w:r w:rsidRPr="00315F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интернет-конференции</w:t>
      </w:r>
      <w:proofErr w:type="gramEnd"/>
      <w:r w:rsidRPr="00315F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: в 2-х частях. 2019. С. 233-237. Режим доступа: https://www.elibrary.ru/download/elibrary_37267511_11760232.pdf</w:t>
      </w:r>
    </w:p>
    <w:p w:rsidR="00094A6D" w:rsidRPr="00094A6D" w:rsidRDefault="00094A6D" w:rsidP="00094A6D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</w:pPr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4.</w:t>
      </w:r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ab/>
        <w:t xml:space="preserve">Селина М.Н. Анализ развития банковского сектора Вологодской области в условиях кризиса 2014 года // Финансы: </w:t>
      </w:r>
      <w:proofErr w:type="gramStart"/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Международный опыт и Российские реалии: сборник научных трудов по материалам международной очно-заочной научно-практической онлайн-конференции – Ярославль:</w:t>
      </w:r>
      <w:proofErr w:type="gramEnd"/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 Федеральное государственное бюджетное образовательное учреждение высшего профессионального образования «Ярославская государственная сельскохозяйственная академия», 2016, С. 256–260. URL https://elibrary.ru/item.asp?id=28387092</w:t>
      </w:r>
    </w:p>
    <w:p w:rsidR="00094A6D" w:rsidRPr="00094A6D" w:rsidRDefault="00094A6D" w:rsidP="00094A6D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</w:pPr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5.</w:t>
      </w:r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ab/>
        <w:t xml:space="preserve">Селина М.Н. Методика рейтинговой оценки надежности региональных банков Вологодской области // </w:t>
      </w:r>
      <w:proofErr w:type="spellStart"/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Молочнохозяйственный</w:t>
      </w:r>
      <w:proofErr w:type="spellEnd"/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 xml:space="preserve"> вестник, 2014, №2 (14), С. 87–97. URL https://elibrary.ru/download/elibrary_21630523_41887490.pdf</w:t>
      </w:r>
    </w:p>
    <w:p w:rsidR="00F81A05" w:rsidRPr="00F81A05" w:rsidRDefault="00094A6D" w:rsidP="00094A6D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6.</w:t>
      </w:r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ab/>
        <w:t>Селина М.Н., Шихова О.А. Оценка надежности банковского сектора Вологодской области методами рейтингового и кластерного анализа // Финансовая экономика, 2018, №5 (ч. 5), С. 609-613.</w:t>
      </w:r>
    </w:p>
    <w:p w:rsidR="008853D5" w:rsidRDefault="008853D5" w:rsidP="00F81A05">
      <w:pPr>
        <w:spacing w:after="0" w:line="1" w:lineRule="atLeast"/>
        <w:ind w:leftChars="-1" w:hangingChars="1" w:hanging="2"/>
        <w:jc w:val="center"/>
        <w:textDirection w:val="btLr"/>
        <w:textAlignment w:val="top"/>
        <w:outlineLvl w:val="0"/>
        <w:rPr>
          <w:rFonts w:eastAsia="Times New Roman" w:cs="New York"/>
          <w:b/>
          <w:position w:val="-1"/>
          <w:sz w:val="24"/>
          <w:szCs w:val="20"/>
          <w:lang w:eastAsia="ar-SA"/>
        </w:rPr>
      </w:pPr>
    </w:p>
    <w:p w:rsidR="00F81A05" w:rsidRPr="00F81A05" w:rsidRDefault="00F81A05" w:rsidP="00F81A05">
      <w:pPr>
        <w:spacing w:after="0" w:line="1" w:lineRule="atLeast"/>
        <w:ind w:leftChars="-1" w:hangingChars="1" w:hanging="2"/>
        <w:jc w:val="center"/>
        <w:textDirection w:val="btLr"/>
        <w:textAlignment w:val="top"/>
        <w:outlineLvl w:val="0"/>
        <w:rPr>
          <w:rFonts w:ascii="Times New Roman" w:eastAsia="Times New Roman" w:hAnsi="Times New Roman" w:cs="New York"/>
          <w:b/>
          <w:position w:val="-1"/>
          <w:sz w:val="24"/>
          <w:szCs w:val="20"/>
          <w:lang w:eastAsia="ar-SA"/>
        </w:rPr>
      </w:pPr>
      <w:r w:rsidRPr="00F81A05">
        <w:rPr>
          <w:rFonts w:ascii="New York" w:eastAsia="Times New Roman" w:hAnsi="New York" w:cs="New York"/>
          <w:b/>
          <w:position w:val="-1"/>
          <w:sz w:val="24"/>
          <w:szCs w:val="20"/>
          <w:lang w:val="fr-FR" w:eastAsia="ar-SA"/>
        </w:rPr>
        <w:t>Информация об авторе</w:t>
      </w:r>
    </w:p>
    <w:p w:rsidR="00F81A05" w:rsidRDefault="00F81A05" w:rsidP="00F81A0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F81A0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Селина Марина Николаевна (Россия, Вологда) – кандидат экономических наук, доцент кафедры экономики и управления в АПК, Федеральное государственное бюджетное образовательное учреждение высшего образования «Вологодская государственная </w:t>
      </w:r>
      <w:proofErr w:type="spellStart"/>
      <w:r w:rsidRPr="00F81A05">
        <w:rPr>
          <w:rFonts w:ascii="Times New Roman" w:eastAsia="Times New Roman" w:hAnsi="Times New Roman" w:cs="Times New Roman"/>
          <w:color w:val="000000"/>
          <w:sz w:val="24"/>
          <w:szCs w:val="24"/>
        </w:rPr>
        <w:t>молочнохозяйственная</w:t>
      </w:r>
      <w:proofErr w:type="spellEnd"/>
      <w:r w:rsidRPr="00F81A0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академия имени Н.В. Верещагина» (160555, Вологодская обл., г. Вологда, с. Молочное, ул. Шмидта, 2, e-</w:t>
      </w:r>
      <w:proofErr w:type="spellStart"/>
      <w:r w:rsidRPr="00F81A05">
        <w:rPr>
          <w:rFonts w:ascii="Times New Roman" w:eastAsia="Times New Roman" w:hAnsi="Times New Roman" w:cs="Times New Roman"/>
          <w:color w:val="000000"/>
          <w:sz w:val="24"/>
          <w:szCs w:val="24"/>
        </w:rPr>
        <w:t>mail</w:t>
      </w:r>
      <w:proofErr w:type="spellEnd"/>
      <w:r w:rsidRPr="00F81A0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hyperlink r:id="rId12" w:history="1">
        <w:r w:rsidRPr="00F81A05">
          <w:rPr>
            <w:rFonts w:ascii="Times New Roman" w:eastAsia="Times New Roman" w:hAnsi="Times New Roman" w:cs="Times New Roman"/>
            <w:color w:val="000000"/>
            <w:sz w:val="24"/>
            <w:szCs w:val="20"/>
            <w:lang w:val="en-GB"/>
          </w:rPr>
          <w:t>art</w:t>
        </w:r>
        <w:r w:rsidRPr="00F81A05">
          <w:rPr>
            <w:rFonts w:ascii="Times New Roman" w:eastAsia="Times New Roman" w:hAnsi="Times New Roman" w:cs="Times New Roman"/>
            <w:color w:val="000000"/>
            <w:sz w:val="24"/>
            <w:szCs w:val="20"/>
          </w:rPr>
          <w:t>-</w:t>
        </w:r>
        <w:r w:rsidRPr="00F81A05">
          <w:rPr>
            <w:rFonts w:ascii="Times New Roman" w:eastAsia="Times New Roman" w:hAnsi="Times New Roman" w:cs="Times New Roman"/>
            <w:color w:val="000000"/>
            <w:sz w:val="24"/>
            <w:szCs w:val="20"/>
            <w:lang w:val="en-GB"/>
          </w:rPr>
          <w:t>fish</w:t>
        </w:r>
        <w:r w:rsidRPr="00F81A05">
          <w:rPr>
            <w:rFonts w:ascii="Times New Roman" w:eastAsia="Times New Roman" w:hAnsi="Times New Roman" w:cs="Times New Roman"/>
            <w:color w:val="000000"/>
            <w:sz w:val="24"/>
            <w:szCs w:val="20"/>
          </w:rPr>
          <w:t>.</w:t>
        </w:r>
        <w:r w:rsidRPr="00F81A05">
          <w:rPr>
            <w:rFonts w:ascii="Times New Roman" w:eastAsia="Times New Roman" w:hAnsi="Times New Roman" w:cs="Times New Roman"/>
            <w:color w:val="000000"/>
            <w:sz w:val="24"/>
            <w:szCs w:val="20"/>
            <w:lang w:val="en-GB"/>
          </w:rPr>
          <w:t>smn</w:t>
        </w:r>
        <w:r w:rsidRPr="00F81A05">
          <w:rPr>
            <w:rFonts w:ascii="Times New Roman" w:eastAsia="Times New Roman" w:hAnsi="Times New Roman" w:cs="Times New Roman"/>
            <w:color w:val="000000"/>
            <w:sz w:val="24"/>
            <w:szCs w:val="20"/>
          </w:rPr>
          <w:t>@</w:t>
        </w:r>
        <w:r w:rsidRPr="00F81A05">
          <w:rPr>
            <w:rFonts w:ascii="Times New Roman" w:eastAsia="Times New Roman" w:hAnsi="Times New Roman" w:cs="Times New Roman"/>
            <w:color w:val="000000"/>
            <w:sz w:val="24"/>
            <w:szCs w:val="20"/>
            <w:lang w:val="en-GB"/>
          </w:rPr>
          <w:t>mail</w:t>
        </w:r>
        <w:r w:rsidRPr="00F81A05">
          <w:rPr>
            <w:rFonts w:ascii="Times New Roman" w:eastAsia="Times New Roman" w:hAnsi="Times New Roman" w:cs="Times New Roman"/>
            <w:color w:val="000000"/>
            <w:sz w:val="24"/>
            <w:szCs w:val="20"/>
          </w:rPr>
          <w:t>.</w:t>
        </w:r>
        <w:r w:rsidRPr="00F81A05">
          <w:rPr>
            <w:rFonts w:ascii="Times New Roman" w:eastAsia="Times New Roman" w:hAnsi="Times New Roman" w:cs="Times New Roman"/>
            <w:color w:val="000000"/>
            <w:sz w:val="24"/>
            <w:szCs w:val="20"/>
            <w:lang w:val="en-GB"/>
          </w:rPr>
          <w:t>ru</w:t>
        </w:r>
      </w:hyperlink>
      <w:r w:rsidRPr="00F81A0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</w:t>
      </w:r>
      <w:proofErr w:type="gramEnd"/>
    </w:p>
    <w:p w:rsidR="0023030C" w:rsidRPr="0023030C" w:rsidRDefault="0023030C" w:rsidP="00F81A0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Мелентьева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Малена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Михайловна </w:t>
      </w:r>
      <w:r w:rsidRPr="002303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(Россия, Вологда) – студент-бакалавр, Федеральное государственное бюджетное образовательное учреждение высшего образования «Вологодская государственная </w:t>
      </w:r>
      <w:proofErr w:type="spellStart"/>
      <w:r w:rsidRPr="0023030C">
        <w:rPr>
          <w:rFonts w:ascii="Times New Roman" w:eastAsia="Times New Roman" w:hAnsi="Times New Roman" w:cs="Times New Roman"/>
          <w:color w:val="000000"/>
          <w:sz w:val="24"/>
          <w:szCs w:val="24"/>
        </w:rPr>
        <w:t>молочнохозяйственная</w:t>
      </w:r>
      <w:proofErr w:type="spellEnd"/>
      <w:r w:rsidRPr="0023030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академия имени Н.В. Верещагина» (почтовый адрес: 160555,  Вологодская обл., г. Вологда, с. Молочное, ул. Шмидта</w:t>
      </w:r>
      <w:r w:rsidRPr="0023030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 2, e-mail: art-fish.smn@mail.ru).</w:t>
      </w:r>
      <w:proofErr w:type="gramEnd"/>
    </w:p>
    <w:p w:rsidR="00315F0A" w:rsidRPr="0023030C" w:rsidRDefault="00315F0A" w:rsidP="00F81A05">
      <w:pPr>
        <w:spacing w:after="0" w:line="240" w:lineRule="auto"/>
        <w:ind w:leftChars="-1" w:left="-2" w:firstLine="125"/>
        <w:jc w:val="right"/>
        <w:textDirection w:val="btLr"/>
        <w:textAlignment w:val="top"/>
        <w:outlineLvl w:val="0"/>
        <w:rPr>
          <w:rFonts w:eastAsia="Times New Roman" w:cs="New York"/>
          <w:b/>
          <w:position w:val="-1"/>
          <w:sz w:val="24"/>
          <w:szCs w:val="20"/>
          <w:lang w:val="en-US" w:eastAsia="ar-SA"/>
        </w:rPr>
      </w:pPr>
      <w:r>
        <w:rPr>
          <w:rFonts w:ascii="New York" w:eastAsia="Times New Roman" w:hAnsi="New York" w:cs="New York"/>
          <w:b/>
          <w:position w:val="-1"/>
          <w:sz w:val="24"/>
          <w:szCs w:val="20"/>
          <w:lang w:val="fr-FR" w:eastAsia="ar-SA"/>
        </w:rPr>
        <w:t>Selina M.N.</w:t>
      </w:r>
    </w:p>
    <w:p w:rsidR="00F81A05" w:rsidRPr="0023030C" w:rsidRDefault="0023030C" w:rsidP="00F81A05">
      <w:pPr>
        <w:spacing w:after="0" w:line="240" w:lineRule="auto"/>
        <w:ind w:leftChars="-1" w:left="-2" w:firstLine="125"/>
        <w:jc w:val="right"/>
        <w:textDirection w:val="btLr"/>
        <w:textAlignment w:val="top"/>
        <w:outlineLvl w:val="0"/>
        <w:rPr>
          <w:rFonts w:eastAsia="Times New Roman" w:cs="New York"/>
          <w:b/>
          <w:position w:val="-1"/>
          <w:sz w:val="24"/>
          <w:szCs w:val="20"/>
          <w:lang w:eastAsia="ar-SA"/>
        </w:rPr>
      </w:pPr>
      <w:bookmarkStart w:id="0" w:name="_GoBack"/>
      <w:r>
        <w:rPr>
          <w:rFonts w:ascii="New York" w:eastAsia="Times New Roman" w:hAnsi="New York" w:cs="New York"/>
          <w:b/>
          <w:position w:val="-1"/>
          <w:sz w:val="24"/>
          <w:szCs w:val="20"/>
          <w:lang w:val="fr-FR" w:eastAsia="ar-SA"/>
        </w:rPr>
        <w:t>Melentyeva</w:t>
      </w:r>
      <w:bookmarkEnd w:id="0"/>
      <w:r>
        <w:rPr>
          <w:rFonts w:ascii="New York" w:eastAsia="Times New Roman" w:hAnsi="New York" w:cs="New York"/>
          <w:b/>
          <w:position w:val="-1"/>
          <w:sz w:val="24"/>
          <w:szCs w:val="20"/>
          <w:lang w:val="fr-FR" w:eastAsia="ar-SA"/>
        </w:rPr>
        <w:t xml:space="preserve"> M</w:t>
      </w:r>
      <w:r w:rsidRPr="0023030C">
        <w:rPr>
          <w:rFonts w:eastAsia="Times New Roman" w:cs="New York"/>
          <w:b/>
          <w:position w:val="-1"/>
          <w:sz w:val="24"/>
          <w:szCs w:val="20"/>
          <w:lang w:val="en-US" w:eastAsia="ar-SA"/>
        </w:rPr>
        <w:t>.</w:t>
      </w:r>
      <w:r>
        <w:rPr>
          <w:rFonts w:ascii="New York" w:eastAsia="Times New Roman" w:hAnsi="New York" w:cs="New York"/>
          <w:b/>
          <w:position w:val="-1"/>
          <w:sz w:val="24"/>
          <w:szCs w:val="20"/>
          <w:lang w:val="fr-FR" w:eastAsia="ar-SA"/>
        </w:rPr>
        <w:t>M</w:t>
      </w:r>
      <w:r>
        <w:rPr>
          <w:rFonts w:eastAsia="Times New Roman" w:cs="New York"/>
          <w:b/>
          <w:position w:val="-1"/>
          <w:sz w:val="24"/>
          <w:szCs w:val="20"/>
          <w:lang w:eastAsia="ar-SA"/>
        </w:rPr>
        <w:t>.</w:t>
      </w:r>
    </w:p>
    <w:p w:rsidR="00F81A05" w:rsidRPr="00F81A05" w:rsidRDefault="00315F0A" w:rsidP="00F81A05">
      <w:pPr>
        <w:spacing w:after="0" w:line="240" w:lineRule="auto"/>
        <w:ind w:leftChars="-1" w:left="-2" w:firstLine="125"/>
        <w:jc w:val="center"/>
        <w:textDirection w:val="btLr"/>
        <w:textAlignment w:val="top"/>
        <w:outlineLvl w:val="0"/>
        <w:rPr>
          <w:rFonts w:ascii="New York" w:eastAsia="Times New Roman" w:hAnsi="New York" w:cs="New York"/>
          <w:b/>
          <w:position w:val="-1"/>
          <w:sz w:val="24"/>
          <w:szCs w:val="20"/>
          <w:lang w:val="fr-FR" w:eastAsia="ar-SA"/>
        </w:rPr>
      </w:pPr>
      <w:r w:rsidRPr="00315F0A">
        <w:rPr>
          <w:rFonts w:ascii="New York" w:eastAsia="Times New Roman" w:hAnsi="New York" w:cs="New York"/>
          <w:b/>
          <w:position w:val="-1"/>
          <w:sz w:val="24"/>
          <w:szCs w:val="20"/>
          <w:lang w:val="fr-FR" w:eastAsia="ar-SA"/>
        </w:rPr>
        <w:t>COMPARATIVE ANALYSIS OF RELIABILITY AND FINANCIAL STABILITY OF SBERBANK AND JSC TINKOFF BANK</w:t>
      </w:r>
    </w:p>
    <w:p w:rsidR="00F81A05" w:rsidRPr="00F81A05" w:rsidRDefault="00F81A05" w:rsidP="00F81A0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:rsidR="00315F0A" w:rsidRDefault="00F81A05" w:rsidP="00F81A0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F81A0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>Abstract.</w:t>
      </w:r>
      <w:r w:rsidRPr="00F81A05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="00315F0A" w:rsidRPr="00315F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The article presents a comparative analysis of the financial stability and reliability of two well-known commercial banks: </w:t>
      </w:r>
      <w:proofErr w:type="spellStart"/>
      <w:r w:rsidR="00315F0A" w:rsidRPr="00315F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>Sberbank</w:t>
      </w:r>
      <w:proofErr w:type="spellEnd"/>
      <w:r w:rsidR="00315F0A" w:rsidRPr="00315F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 PJSC, which is the largest bank in Russia, and </w:t>
      </w:r>
      <w:proofErr w:type="spellStart"/>
      <w:r w:rsidR="00315F0A" w:rsidRPr="00315F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>Tinkoff</w:t>
      </w:r>
      <w:proofErr w:type="spellEnd"/>
      <w:r w:rsidR="00315F0A" w:rsidRPr="00315F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 Bank JSC, known for its online services and which is the third bank in the country in terms of the number of active customers.</w:t>
      </w:r>
    </w:p>
    <w:p w:rsidR="00F81A05" w:rsidRPr="00F81A05" w:rsidRDefault="00F81A05" w:rsidP="00315F0A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New York"/>
          <w:position w:val="-1"/>
          <w:sz w:val="24"/>
          <w:szCs w:val="20"/>
          <w:lang w:val="en-US" w:eastAsia="ar-SA"/>
        </w:rPr>
      </w:pPr>
      <w:r w:rsidRPr="00F81A0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>Key words:</w:t>
      </w:r>
      <w:r w:rsidRPr="00F81A05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="00315F0A" w:rsidRPr="00315F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>commercial bank, financial stability, reliability, comparative analysis.</w:t>
      </w:r>
    </w:p>
    <w:p w:rsidR="008853D5" w:rsidRDefault="008853D5" w:rsidP="00F81A05">
      <w:pPr>
        <w:spacing w:after="0" w:line="240" w:lineRule="auto"/>
        <w:ind w:leftChars="-1" w:left="-2" w:firstLine="125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position w:val="-1"/>
          <w:sz w:val="24"/>
          <w:szCs w:val="20"/>
          <w:lang w:eastAsia="ar-SA"/>
        </w:rPr>
      </w:pPr>
    </w:p>
    <w:p w:rsidR="00F81A05" w:rsidRPr="00F81A05" w:rsidRDefault="00F81A05" w:rsidP="00F81A05">
      <w:pPr>
        <w:spacing w:after="0" w:line="240" w:lineRule="auto"/>
        <w:ind w:leftChars="-1" w:left="-2" w:firstLine="125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position w:val="-1"/>
          <w:sz w:val="24"/>
          <w:szCs w:val="20"/>
          <w:lang w:val="en-US" w:eastAsia="ar-SA"/>
        </w:rPr>
      </w:pPr>
      <w:r w:rsidRPr="00F81A05">
        <w:rPr>
          <w:rFonts w:ascii="Times New Roman" w:eastAsia="Times New Roman" w:hAnsi="Times New Roman" w:cs="Times New Roman"/>
          <w:b/>
          <w:position w:val="-1"/>
          <w:sz w:val="24"/>
          <w:szCs w:val="20"/>
          <w:lang w:val="fr-FR" w:eastAsia="ar-SA"/>
        </w:rPr>
        <w:t>Information about the author</w:t>
      </w:r>
    </w:p>
    <w:p w:rsidR="00F81A05" w:rsidRPr="008B269C" w:rsidRDefault="00F81A05" w:rsidP="00F81A0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81A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Selina Marina </w:t>
      </w:r>
      <w:proofErr w:type="spellStart"/>
      <w:r w:rsidRPr="00F81A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Nikolaevna</w:t>
      </w:r>
      <w:proofErr w:type="spellEnd"/>
      <w:r w:rsidRPr="00F81A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– Candidate of Economic Sciences, Associate Professor, Department of Economics and Management in the agro-industrial complex, the Federal State Budgetary Educational Institution of Higher Education the Vereshchagin State Dairy Farming Academy of Vologda (160555, Vologda region, Vologda, Dairy village, </w:t>
      </w:r>
      <w:proofErr w:type="spellStart"/>
      <w:r w:rsidRPr="00F81A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st.</w:t>
      </w:r>
      <w:proofErr w:type="spellEnd"/>
      <w:r w:rsidRPr="00F81A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Schmidt, 2, e-mail: </w:t>
      </w:r>
      <w:hyperlink r:id="rId13" w:history="1">
        <w:r w:rsidRPr="00F81A05">
          <w:rPr>
            <w:rFonts w:ascii="Times New Roman" w:eastAsia="Times New Roman" w:hAnsi="Times New Roman" w:cs="Times New Roman"/>
            <w:color w:val="000000"/>
            <w:sz w:val="24"/>
            <w:szCs w:val="20"/>
            <w:lang w:val="en-GB"/>
          </w:rPr>
          <w:t>art-fish.smn@mail.ru</w:t>
        </w:r>
      </w:hyperlink>
      <w:r w:rsidR="008B269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).</w:t>
      </w:r>
    </w:p>
    <w:p w:rsidR="00F81A05" w:rsidRPr="008B269C" w:rsidRDefault="008B269C" w:rsidP="00F81A0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8B269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lastRenderedPageBreak/>
        <w:t>Melentyeva</w:t>
      </w:r>
      <w:proofErr w:type="spellEnd"/>
      <w:r w:rsidRPr="008B269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Malena </w:t>
      </w:r>
      <w:proofErr w:type="spellStart"/>
      <w:r w:rsidRPr="008B269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Mikhaylovna</w:t>
      </w:r>
      <w:proofErr w:type="spellEnd"/>
      <w:r w:rsidR="00F81A05" w:rsidRPr="00F81A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(Russia, Vologda) - </w:t>
      </w:r>
      <w:r w:rsidRPr="008B269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student bachelor, the Federal State Budgetary Educational Institution of Higher Education the Vereshchagin State Dairy Farming Academy of Vologda (160555, Vologda region, Vologda, Dairy village, </w:t>
      </w:r>
      <w:proofErr w:type="spellStart"/>
      <w:r w:rsidRPr="008B269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st.</w:t>
      </w:r>
      <w:proofErr w:type="spellEnd"/>
      <w:r w:rsidRPr="008B269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Schmidt, 2,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e-mail: art-fish.smn@mail.ru).</w:t>
      </w:r>
    </w:p>
    <w:p w:rsidR="00F81A05" w:rsidRPr="00F81A05" w:rsidRDefault="00F81A05" w:rsidP="00F81A0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:rsidR="00F81A05" w:rsidRPr="008B269C" w:rsidRDefault="00F81A05" w:rsidP="00F81A05">
      <w:pPr>
        <w:spacing w:after="0" w:line="240" w:lineRule="auto"/>
        <w:ind w:leftChars="-1" w:left="-2" w:firstLine="125"/>
        <w:jc w:val="center"/>
        <w:textDirection w:val="btLr"/>
        <w:textAlignment w:val="top"/>
        <w:outlineLvl w:val="0"/>
        <w:rPr>
          <w:rFonts w:ascii="Times New Roman" w:eastAsia="Times New Roman" w:hAnsi="Times New Roman" w:cs="New York"/>
          <w:b/>
          <w:position w:val="-1"/>
          <w:sz w:val="24"/>
          <w:szCs w:val="20"/>
          <w:lang w:val="en-US" w:eastAsia="ar-SA"/>
        </w:rPr>
      </w:pPr>
      <w:r w:rsidRPr="00F81A05">
        <w:rPr>
          <w:rFonts w:ascii="New York" w:eastAsia="Times New Roman" w:hAnsi="New York" w:cs="New York"/>
          <w:b/>
          <w:position w:val="-1"/>
          <w:sz w:val="24"/>
          <w:szCs w:val="20"/>
          <w:lang w:val="fr-FR" w:eastAsia="ar-SA"/>
        </w:rPr>
        <w:t>References</w:t>
      </w:r>
    </w:p>
    <w:p w:rsidR="008853D5" w:rsidRPr="008853D5" w:rsidRDefault="008853D5" w:rsidP="008853D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</w:pP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1. 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Selina M.N. Rating of banking systems of the Vologda and border regions on financial stability//In the collection: Problems of economic growth and sustainable development of territories. </w:t>
      </w:r>
      <w:proofErr w:type="gramStart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Materials of the V international scientific and practical Internet conference.</w:t>
      </w:r>
      <w:proofErr w:type="gramEnd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 </w:t>
      </w:r>
      <w:proofErr w:type="gramStart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in</w:t>
      </w:r>
      <w:proofErr w:type="gramEnd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 2 parts. </w:t>
      </w:r>
      <w:proofErr w:type="gramStart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Vologda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, 2020.</w:t>
      </w:r>
      <w:proofErr w:type="gramEnd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P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. 355-358. – URL: https://elibrary.ru/download/elibrary_46183030_80196816.pdf</w:t>
      </w:r>
    </w:p>
    <w:p w:rsidR="008853D5" w:rsidRPr="008853D5" w:rsidRDefault="008853D5" w:rsidP="008853D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</w:pP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2. 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Selina M.N. Reliability Analysis of Regional Banks of Vologda Oblast/M.N. Selina//</w:t>
      </w:r>
      <w:proofErr w:type="gramStart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In</w:t>
      </w:r>
      <w:proofErr w:type="gramEnd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 the collection: Problems of Economic Growth and Sustainable Development of Territories. </w:t>
      </w:r>
      <w:proofErr w:type="gramStart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materials</w:t>
      </w:r>
      <w:proofErr w:type="gramEnd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 of the VI international scientific and practical In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ternet conference: 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Vologda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, 2021. 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P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. 207-211.</w:t>
      </w:r>
      <w:r w:rsidRPr="008853D5">
        <w:rPr>
          <w:lang w:val="en-US"/>
        </w:rPr>
        <w:t xml:space="preserve"> 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– URL: </w:t>
      </w:r>
      <w:hyperlink r:id="rId14" w:history="1">
        <w:r w:rsidRPr="008853D5">
          <w:rPr>
            <w:rStyle w:val="a7"/>
            <w:rFonts w:ascii="Times New Roman" w:eastAsia="Times New Roman" w:hAnsi="Times New Roman" w:cs="Times New Roman"/>
            <w:position w:val="-1"/>
            <w:sz w:val="24"/>
            <w:szCs w:val="24"/>
            <w:lang w:val="en-US" w:eastAsia="ar-SA"/>
          </w:rPr>
          <w:t>https://elibrary.ru/download/elibrary_47278516_93385903.pdf</w:t>
        </w:r>
      </w:hyperlink>
    </w:p>
    <w:p w:rsidR="008853D5" w:rsidRDefault="008853D5" w:rsidP="008853D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</w:pP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3. 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Selina M.N. Analysis of the financial condition of commercial banks of the Vologda Oblast//In the collection: Problems of economic growth and sustainable development of territories Materials of the III international scientific and practical Internet conference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: 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Vologda,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 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2019. 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P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. 233-237. </w:t>
      </w:r>
      <w:r w:rsidRPr="00315F0A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Режим доступа: https://www.elibrary.ru/download/elibrary_37267511_11760232.pdf</w:t>
      </w:r>
    </w:p>
    <w:p w:rsidR="008853D5" w:rsidRPr="00094A6D" w:rsidRDefault="008853D5" w:rsidP="008853D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</w:pP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4.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ab/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Selina M.N. Analysis of the development of the banking sector of the Vologda Oblast in the context of the crisis of 2014//Finance: International Experience and Russian Realities: a collection of scientific works on the materials of the international correspondence scientific and practical online conference - Yaroslavl: Federal State Budgetary Educational Institution of Higher Professional Education "Yaroslavl State Agricultural Academy", 2016.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P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. 256–260. </w:t>
      </w:r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URL https://elibrary.ru/item.asp?id=28387092</w:t>
      </w:r>
    </w:p>
    <w:p w:rsidR="008853D5" w:rsidRPr="00094A6D" w:rsidRDefault="008853D5" w:rsidP="008853D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</w:pP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5.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ab/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Selina M.N. Methodology of Rating Assessment of Reliability of Regional Banks of Vologda Oblast//Dairy Economic Bulletin, 2014, №2 (14).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P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. 87–97. </w:t>
      </w:r>
      <w:r w:rsidRPr="00094A6D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URL https://elibrary.ru/download/elibrary_21630523_41887490.pdf</w:t>
      </w:r>
    </w:p>
    <w:p w:rsidR="008853D5" w:rsidRPr="008853D5" w:rsidRDefault="008853D5" w:rsidP="008853D5">
      <w:pPr>
        <w:tabs>
          <w:tab w:val="left" w:pos="340"/>
        </w:tabs>
        <w:spacing w:after="0" w:line="240" w:lineRule="auto"/>
        <w:ind w:firstLine="709"/>
        <w:jc w:val="both"/>
        <w:textDirection w:val="btL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6.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ab/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Selina M.N., </w:t>
      </w:r>
      <w:proofErr w:type="spellStart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Shikhova</w:t>
      </w:r>
      <w:proofErr w:type="spellEnd"/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 O.A. Assessment of banking sector reliability in Vologda Oblast by rating and cluster analysis methods//Financial economy, 2018, №5 (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eastAsia="ar-SA"/>
        </w:rPr>
        <w:t>ч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. 5).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P</w:t>
      </w:r>
      <w:r w:rsidRPr="008853D5">
        <w:rPr>
          <w:rFonts w:ascii="Times New Roman" w:eastAsia="Times New Roman" w:hAnsi="Times New Roman" w:cs="Times New Roman"/>
          <w:color w:val="000000"/>
          <w:position w:val="-1"/>
          <w:sz w:val="24"/>
          <w:szCs w:val="24"/>
          <w:lang w:val="en-US" w:eastAsia="ar-SA"/>
        </w:rPr>
        <w:t>. 609-613.</w:t>
      </w:r>
    </w:p>
    <w:p w:rsidR="00F81A05" w:rsidRPr="008853D5" w:rsidRDefault="00F81A05" w:rsidP="00F81A05">
      <w:pPr>
        <w:spacing w:after="0" w:line="240" w:lineRule="auto"/>
        <w:ind w:leftChars="-1" w:left="-2" w:firstLine="125"/>
        <w:jc w:val="center"/>
        <w:textDirection w:val="btLr"/>
        <w:textAlignment w:val="top"/>
        <w:outlineLvl w:val="0"/>
        <w:rPr>
          <w:rFonts w:ascii="Times New Roman" w:eastAsia="Times New Roman" w:hAnsi="Times New Roman" w:cs="Times New Roman"/>
          <w:b/>
          <w:position w:val="-1"/>
          <w:sz w:val="24"/>
          <w:szCs w:val="20"/>
          <w:lang w:val="en-US" w:eastAsia="ar-SA"/>
        </w:rPr>
      </w:pPr>
    </w:p>
    <w:p w:rsidR="00F81A05" w:rsidRPr="008853D5" w:rsidRDefault="00F81A05" w:rsidP="00480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F81A05" w:rsidRPr="00885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51AB" w:rsidRDefault="001451AB" w:rsidP="003D6840">
      <w:pPr>
        <w:spacing w:after="0" w:line="240" w:lineRule="auto"/>
      </w:pPr>
      <w:r>
        <w:separator/>
      </w:r>
    </w:p>
  </w:endnote>
  <w:endnote w:type="continuationSeparator" w:id="0">
    <w:p w:rsidR="001451AB" w:rsidRDefault="001451AB" w:rsidP="003D6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51AB" w:rsidRDefault="001451AB" w:rsidP="003D6840">
      <w:pPr>
        <w:spacing w:after="0" w:line="240" w:lineRule="auto"/>
      </w:pPr>
      <w:r>
        <w:separator/>
      </w:r>
    </w:p>
  </w:footnote>
  <w:footnote w:type="continuationSeparator" w:id="0">
    <w:p w:rsidR="001451AB" w:rsidRDefault="001451AB" w:rsidP="003D6840">
      <w:pPr>
        <w:spacing w:after="0" w:line="240" w:lineRule="auto"/>
      </w:pPr>
      <w:r>
        <w:continuationSeparator/>
      </w:r>
    </w:p>
  </w:footnote>
  <w:footnote w:id="1">
    <w:p w:rsidR="00094A6D" w:rsidRPr="00E53379" w:rsidRDefault="00094A6D" w:rsidP="00094A6D">
      <w:pPr>
        <w:pStyle w:val="a5"/>
        <w:tabs>
          <w:tab w:val="left" w:pos="1134"/>
        </w:tabs>
        <w:ind w:left="0"/>
        <w:jc w:val="both"/>
      </w:pPr>
      <w:r w:rsidRPr="00E53379">
        <w:rPr>
          <w:rStyle w:val="a6"/>
        </w:rPr>
        <w:footnoteRef/>
      </w:r>
      <w:r w:rsidRPr="00E53379">
        <w:t xml:space="preserve"> Указание Банка России от 11.06.2014 N 3277-У (ред. от 26.12.2017) "О методиках оценки финансовой устойчивости банка в целях признания ее достаточной для участия в системе страхования вкладов" (Зарегистрировано в Минюсте России 31.07.2014 N 33367) [Электронный ресурс]: Официальный сайт компании «</w:t>
      </w:r>
      <w:proofErr w:type="spellStart"/>
      <w:r w:rsidRPr="00E53379">
        <w:t>КонсультантПлюс</w:t>
      </w:r>
      <w:proofErr w:type="spellEnd"/>
      <w:r w:rsidRPr="00E53379">
        <w:t>». – Режим доступа: http://www.consultant.ru/document/cons_doc_LAW_166974/.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B563D"/>
    <w:multiLevelType w:val="hybridMultilevel"/>
    <w:tmpl w:val="4970C93C"/>
    <w:lvl w:ilvl="0" w:tplc="0419000F">
      <w:start w:val="1"/>
      <w:numFmt w:val="decimal"/>
      <w:lvlText w:val="%1."/>
      <w:lvlJc w:val="left"/>
      <w:pPr>
        <w:ind w:left="1494" w:hanging="360"/>
      </w:p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18510FBA"/>
    <w:multiLevelType w:val="hybridMultilevel"/>
    <w:tmpl w:val="1F6839B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650D76AC"/>
    <w:multiLevelType w:val="hybridMultilevel"/>
    <w:tmpl w:val="0230383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84B"/>
    <w:rsid w:val="00094A6D"/>
    <w:rsid w:val="000B31EA"/>
    <w:rsid w:val="00124CBF"/>
    <w:rsid w:val="001451AB"/>
    <w:rsid w:val="0023030C"/>
    <w:rsid w:val="00261ECF"/>
    <w:rsid w:val="00264CCD"/>
    <w:rsid w:val="00311FB6"/>
    <w:rsid w:val="00315F0A"/>
    <w:rsid w:val="003D6840"/>
    <w:rsid w:val="0048084B"/>
    <w:rsid w:val="0057036E"/>
    <w:rsid w:val="007D16E0"/>
    <w:rsid w:val="008853D5"/>
    <w:rsid w:val="008B269C"/>
    <w:rsid w:val="00993DB0"/>
    <w:rsid w:val="00C515E8"/>
    <w:rsid w:val="00CE18C9"/>
    <w:rsid w:val="00DC190A"/>
    <w:rsid w:val="00E6385A"/>
    <w:rsid w:val="00F81A05"/>
    <w:rsid w:val="00FE6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84B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08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084B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3D684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styleId="a6">
    <w:name w:val="footnote reference"/>
    <w:semiHidden/>
    <w:rsid w:val="003D6840"/>
    <w:rPr>
      <w:vertAlign w:val="superscript"/>
    </w:rPr>
  </w:style>
  <w:style w:type="character" w:styleId="a7">
    <w:name w:val="Hyperlink"/>
    <w:basedOn w:val="a0"/>
    <w:uiPriority w:val="99"/>
    <w:unhideWhenUsed/>
    <w:rsid w:val="00DC190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84B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08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084B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3D684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styleId="a6">
    <w:name w:val="footnote reference"/>
    <w:semiHidden/>
    <w:rsid w:val="003D6840"/>
    <w:rPr>
      <w:vertAlign w:val="superscript"/>
    </w:rPr>
  </w:style>
  <w:style w:type="character" w:styleId="a7">
    <w:name w:val="Hyperlink"/>
    <w:basedOn w:val="a0"/>
    <w:uiPriority w:val="99"/>
    <w:unhideWhenUsed/>
    <w:rsid w:val="00DC19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rt-fish.smn@mail.ru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art-fish.smn@mail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library.ru/download/elibrary_47278516_93385903.pdf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hyperlink" Target="https://elibrary.ru/download/elibrary_47278516_93385903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28497A-7153-48A7-9753-375222180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726</TotalTime>
  <Pages>6</Pages>
  <Words>2180</Words>
  <Characters>12428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</dc:creator>
  <cp:lastModifiedBy>Марина</cp:lastModifiedBy>
  <cp:revision>12</cp:revision>
  <dcterms:created xsi:type="dcterms:W3CDTF">2022-06-09T18:48:00Z</dcterms:created>
  <dcterms:modified xsi:type="dcterms:W3CDTF">2022-06-10T12:28:00Z</dcterms:modified>
</cp:coreProperties>
</file>