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25C7D" w:rsidRPr="007175C5" w:rsidRDefault="00B25C7D" w:rsidP="00B25C7D">
      <w:pPr>
        <w:ind w:firstLine="23"/>
        <w:rPr>
          <w:b/>
          <w:caps/>
          <w:color w:val="000000" w:themeColor="text1"/>
        </w:rPr>
      </w:pPr>
      <w:r w:rsidRPr="00A00A5B">
        <w:rPr>
          <w:b/>
          <w:caps/>
          <w:color w:val="000000" w:themeColor="text1"/>
        </w:rPr>
        <w:t>УДК 33</w:t>
      </w:r>
      <w:r>
        <w:rPr>
          <w:b/>
          <w:caps/>
          <w:color w:val="000000" w:themeColor="text1"/>
        </w:rPr>
        <w:t>8.27/</w:t>
      </w:r>
      <w:r w:rsidRPr="00B25C7D">
        <w:t xml:space="preserve"> </w:t>
      </w:r>
      <w:r w:rsidRPr="00B25C7D">
        <w:rPr>
          <w:b/>
          <w:caps/>
          <w:color w:val="000000" w:themeColor="text1"/>
        </w:rPr>
        <w:t>ББК 65.054</w:t>
      </w:r>
    </w:p>
    <w:p w:rsidR="00CB3642" w:rsidRPr="007175C5" w:rsidRDefault="007175C5" w:rsidP="007175C5">
      <w:pPr>
        <w:ind w:firstLine="709"/>
        <w:jc w:val="right"/>
        <w:rPr>
          <w:b/>
        </w:rPr>
      </w:pPr>
      <w:r w:rsidRPr="007175C5">
        <w:rPr>
          <w:b/>
        </w:rPr>
        <w:t>Граница</w:t>
      </w:r>
      <w:r>
        <w:rPr>
          <w:b/>
        </w:rPr>
        <w:t xml:space="preserve"> Ю.В. </w:t>
      </w:r>
    </w:p>
    <w:p w:rsidR="0017158B" w:rsidRDefault="00055A2E" w:rsidP="00B25C7D">
      <w:pPr>
        <w:ind w:firstLine="709"/>
        <w:jc w:val="center"/>
        <w:rPr>
          <w:b/>
        </w:rPr>
      </w:pPr>
      <w:r>
        <w:rPr>
          <w:b/>
        </w:rPr>
        <w:t>Методика оценки</w:t>
      </w:r>
      <w:r w:rsidR="00A731FD">
        <w:rPr>
          <w:b/>
        </w:rPr>
        <w:t xml:space="preserve"> влияни</w:t>
      </w:r>
      <w:r>
        <w:rPr>
          <w:b/>
        </w:rPr>
        <w:t>я</w:t>
      </w:r>
      <w:r w:rsidR="00A731FD">
        <w:rPr>
          <w:b/>
        </w:rPr>
        <w:t xml:space="preserve"> </w:t>
      </w:r>
      <w:proofErr w:type="spellStart"/>
      <w:r w:rsidR="00A731FD">
        <w:rPr>
          <w:b/>
        </w:rPr>
        <w:t>санкционного</w:t>
      </w:r>
      <w:proofErr w:type="spellEnd"/>
      <w:r w:rsidR="00A731FD">
        <w:rPr>
          <w:b/>
        </w:rPr>
        <w:t xml:space="preserve"> </w:t>
      </w:r>
      <w:proofErr w:type="gramStart"/>
      <w:r w:rsidR="00A731FD">
        <w:rPr>
          <w:b/>
        </w:rPr>
        <w:t xml:space="preserve">давления </w:t>
      </w:r>
      <w:r w:rsidR="00CD479D">
        <w:rPr>
          <w:b/>
        </w:rPr>
        <w:t xml:space="preserve"> </w:t>
      </w:r>
      <w:r w:rsidR="00A731FD">
        <w:rPr>
          <w:b/>
        </w:rPr>
        <w:t>на</w:t>
      </w:r>
      <w:proofErr w:type="gramEnd"/>
      <w:r w:rsidR="00A731FD">
        <w:rPr>
          <w:b/>
        </w:rPr>
        <w:t xml:space="preserve"> </w:t>
      </w:r>
      <w:r w:rsidR="000B56E0">
        <w:rPr>
          <w:b/>
        </w:rPr>
        <w:t>инфляционны</w:t>
      </w:r>
      <w:r w:rsidR="00A731FD">
        <w:rPr>
          <w:b/>
        </w:rPr>
        <w:t>е</w:t>
      </w:r>
      <w:r w:rsidR="000B56E0">
        <w:rPr>
          <w:b/>
        </w:rPr>
        <w:t xml:space="preserve"> </w:t>
      </w:r>
      <w:r w:rsidR="00B06343">
        <w:rPr>
          <w:b/>
        </w:rPr>
        <w:t>ожидани</w:t>
      </w:r>
      <w:r w:rsidR="00A731FD">
        <w:rPr>
          <w:b/>
        </w:rPr>
        <w:t>я</w:t>
      </w:r>
      <w:r w:rsidR="00B06343">
        <w:rPr>
          <w:b/>
        </w:rPr>
        <w:t xml:space="preserve"> и</w:t>
      </w:r>
      <w:r w:rsidR="004B5AA5">
        <w:rPr>
          <w:b/>
        </w:rPr>
        <w:t xml:space="preserve"> </w:t>
      </w:r>
      <w:r w:rsidR="00B06343">
        <w:rPr>
          <w:b/>
        </w:rPr>
        <w:t>настроени</w:t>
      </w:r>
      <w:r w:rsidRPr="00055A2E">
        <w:rPr>
          <w:b/>
        </w:rPr>
        <w:t>я</w:t>
      </w:r>
      <w:r w:rsidR="00C412A2">
        <w:rPr>
          <w:b/>
        </w:rPr>
        <w:t xml:space="preserve"> экономических агентов </w:t>
      </w:r>
    </w:p>
    <w:p w:rsidR="00047AE8" w:rsidRDefault="00047AE8" w:rsidP="00B25C7D">
      <w:pPr>
        <w:ind w:firstLine="709"/>
        <w:jc w:val="center"/>
        <w:rPr>
          <w:b/>
        </w:rPr>
      </w:pPr>
    </w:p>
    <w:p w:rsidR="00310291" w:rsidRDefault="00047AE8" w:rsidP="003F1BFF">
      <w:pPr>
        <w:jc w:val="both"/>
        <w:rPr>
          <w:i/>
        </w:rPr>
      </w:pPr>
      <w:r w:rsidRPr="004C3AA5">
        <w:rPr>
          <w:b/>
          <w:i/>
        </w:rPr>
        <w:t xml:space="preserve">Аннотация. </w:t>
      </w:r>
      <w:r w:rsidR="005C6127">
        <w:rPr>
          <w:b/>
          <w:i/>
        </w:rPr>
        <w:t xml:space="preserve"> </w:t>
      </w:r>
      <w:r w:rsidR="005C6127">
        <w:rPr>
          <w:i/>
        </w:rPr>
        <w:t xml:space="preserve">В </w:t>
      </w:r>
      <w:proofErr w:type="spellStart"/>
      <w:r w:rsidR="005C6127">
        <w:rPr>
          <w:i/>
        </w:rPr>
        <w:t>постпандемический</w:t>
      </w:r>
      <w:proofErr w:type="spellEnd"/>
      <w:r w:rsidR="005C6127">
        <w:rPr>
          <w:i/>
        </w:rPr>
        <w:t xml:space="preserve"> период, осложненный </w:t>
      </w:r>
      <w:proofErr w:type="spellStart"/>
      <w:r w:rsidR="005C6127">
        <w:rPr>
          <w:i/>
        </w:rPr>
        <w:t>санкционным</w:t>
      </w:r>
      <w:proofErr w:type="spellEnd"/>
      <w:r w:rsidR="005C6127">
        <w:rPr>
          <w:i/>
        </w:rPr>
        <w:t xml:space="preserve"> </w:t>
      </w:r>
      <w:proofErr w:type="gramStart"/>
      <w:r w:rsidR="005C6127">
        <w:rPr>
          <w:i/>
        </w:rPr>
        <w:t xml:space="preserve">давлением, </w:t>
      </w:r>
      <w:r w:rsidR="003F1BFF">
        <w:rPr>
          <w:i/>
        </w:rPr>
        <w:t xml:space="preserve"> особый</w:t>
      </w:r>
      <w:proofErr w:type="gramEnd"/>
      <w:r w:rsidR="003F1BFF">
        <w:rPr>
          <w:i/>
        </w:rPr>
        <w:t xml:space="preserve"> интерес представляет разработка моделей динамического развития экономических систем, которые должны учитывать не только объективные экономические индикаторы, но и субъективные настроения агентов. В исследовании представлена </w:t>
      </w:r>
      <w:proofErr w:type="gramStart"/>
      <w:r w:rsidR="003F1BFF">
        <w:rPr>
          <w:i/>
        </w:rPr>
        <w:t>методика  анализа</w:t>
      </w:r>
      <w:proofErr w:type="gramEnd"/>
      <w:r w:rsidR="003F1BFF">
        <w:rPr>
          <w:i/>
        </w:rPr>
        <w:t xml:space="preserve">  ряда факторов, характеризующих инфляционные ожидания и настроения. </w:t>
      </w:r>
    </w:p>
    <w:p w:rsidR="00047AE8" w:rsidRPr="00B573B7" w:rsidRDefault="00047AE8" w:rsidP="003F1BFF">
      <w:pPr>
        <w:jc w:val="both"/>
        <w:rPr>
          <w:i/>
        </w:rPr>
      </w:pPr>
      <w:r w:rsidRPr="004C3AA5">
        <w:rPr>
          <w:b/>
          <w:i/>
        </w:rPr>
        <w:t>Ключевые слова</w:t>
      </w:r>
      <w:r>
        <w:rPr>
          <w:b/>
        </w:rPr>
        <w:t xml:space="preserve">: </w:t>
      </w:r>
      <w:r w:rsidRPr="00B573B7">
        <w:rPr>
          <w:i/>
        </w:rPr>
        <w:t xml:space="preserve">инфляционные ожидания, </w:t>
      </w:r>
      <w:r w:rsidR="00F90B9A" w:rsidRPr="00B573B7">
        <w:rPr>
          <w:i/>
        </w:rPr>
        <w:t xml:space="preserve">субъективные </w:t>
      </w:r>
      <w:r w:rsidRPr="00B573B7">
        <w:rPr>
          <w:i/>
        </w:rPr>
        <w:t>настроения экономических</w:t>
      </w:r>
      <w:r w:rsidR="00055A2E" w:rsidRPr="00B573B7">
        <w:rPr>
          <w:i/>
        </w:rPr>
        <w:t xml:space="preserve"> агентов, экономическая безопасность, </w:t>
      </w:r>
      <w:proofErr w:type="spellStart"/>
      <w:r w:rsidRPr="00B573B7">
        <w:rPr>
          <w:i/>
        </w:rPr>
        <w:t>санкционное</w:t>
      </w:r>
      <w:proofErr w:type="spellEnd"/>
      <w:r w:rsidRPr="00B573B7">
        <w:rPr>
          <w:i/>
        </w:rPr>
        <w:t xml:space="preserve"> давление, алгоритм машинного </w:t>
      </w:r>
      <w:proofErr w:type="gramStart"/>
      <w:r w:rsidRPr="00B573B7">
        <w:rPr>
          <w:i/>
        </w:rPr>
        <w:t>обучения</w:t>
      </w:r>
      <w:r w:rsidR="002B4CBC" w:rsidRPr="00B573B7">
        <w:rPr>
          <w:i/>
        </w:rPr>
        <w:t>,  библиотека</w:t>
      </w:r>
      <w:proofErr w:type="gramEnd"/>
      <w:r w:rsidR="002B4CBC" w:rsidRPr="00B573B7">
        <w:rPr>
          <w:i/>
        </w:rPr>
        <w:t xml:space="preserve"> </w:t>
      </w:r>
      <w:proofErr w:type="spellStart"/>
      <w:r w:rsidR="002B4CBC" w:rsidRPr="00B573B7">
        <w:rPr>
          <w:i/>
        </w:rPr>
        <w:t>Prophet</w:t>
      </w:r>
      <w:proofErr w:type="spellEnd"/>
    </w:p>
    <w:p w:rsidR="00047AE8" w:rsidRDefault="00047AE8" w:rsidP="00B25C7D">
      <w:pPr>
        <w:rPr>
          <w:b/>
        </w:rPr>
      </w:pPr>
    </w:p>
    <w:p w:rsidR="003B0673" w:rsidRDefault="00A3428F" w:rsidP="00B25C7D">
      <w:pPr>
        <w:ind w:firstLine="708"/>
        <w:jc w:val="both"/>
        <w:rPr>
          <w:color w:val="000000"/>
        </w:rPr>
      </w:pPr>
      <w:r>
        <w:t xml:space="preserve">В настоящее </w:t>
      </w:r>
      <w:proofErr w:type="gramStart"/>
      <w:r>
        <w:t xml:space="preserve">время  </w:t>
      </w:r>
      <w:r w:rsidR="002441A3">
        <w:t>экономика</w:t>
      </w:r>
      <w:proofErr w:type="gramEnd"/>
      <w:r w:rsidR="002441A3">
        <w:t xml:space="preserve"> </w:t>
      </w:r>
      <w:r w:rsidR="00CF1612">
        <w:t xml:space="preserve"> России  испытывает </w:t>
      </w:r>
      <w:proofErr w:type="spellStart"/>
      <w:r w:rsidR="00CF1612">
        <w:t>постпандемические</w:t>
      </w:r>
      <w:proofErr w:type="spellEnd"/>
      <w:r w:rsidR="00CF1612">
        <w:t xml:space="preserve"> </w:t>
      </w:r>
      <w:r w:rsidR="001E16DF">
        <w:t>шоки</w:t>
      </w:r>
      <w:r w:rsidR="00CF1612">
        <w:t xml:space="preserve">, </w:t>
      </w:r>
      <w:r w:rsidR="00EB20A7">
        <w:t>отрицательные воздействие которых усилива</w:t>
      </w:r>
      <w:r w:rsidR="00916518">
        <w:t>ю</w:t>
      </w:r>
      <w:r w:rsidR="00EB20A7">
        <w:t xml:space="preserve">тся </w:t>
      </w:r>
      <w:r w:rsidR="00CF1612">
        <w:t xml:space="preserve"> </w:t>
      </w:r>
      <w:r w:rsidR="00EB20A7">
        <w:t xml:space="preserve">за счет </w:t>
      </w:r>
      <w:r w:rsidR="00916518">
        <w:t xml:space="preserve">возросшего </w:t>
      </w:r>
      <w:proofErr w:type="spellStart"/>
      <w:r w:rsidR="001A0798">
        <w:t>санкционного</w:t>
      </w:r>
      <w:proofErr w:type="spellEnd"/>
      <w:r w:rsidR="001A0798">
        <w:t xml:space="preserve"> давления</w:t>
      </w:r>
      <w:r w:rsidR="00916518">
        <w:t xml:space="preserve">. Для построения валидных моделей оценки </w:t>
      </w:r>
      <w:proofErr w:type="spellStart"/>
      <w:r w:rsidR="00916518" w:rsidRPr="00635C15">
        <w:rPr>
          <w:color w:val="000000"/>
        </w:rPr>
        <w:t>санкционных</w:t>
      </w:r>
      <w:proofErr w:type="spellEnd"/>
      <w:r w:rsidR="00916518" w:rsidRPr="00635C15">
        <w:rPr>
          <w:color w:val="000000"/>
        </w:rPr>
        <w:t xml:space="preserve"> мер на </w:t>
      </w:r>
      <w:r w:rsidR="00CC6D65">
        <w:rPr>
          <w:color w:val="000000"/>
        </w:rPr>
        <w:t xml:space="preserve">безопасность </w:t>
      </w:r>
      <w:r w:rsidR="00916518">
        <w:rPr>
          <w:color w:val="000000"/>
        </w:rPr>
        <w:t xml:space="preserve">экономических структур </w:t>
      </w:r>
      <w:r w:rsidR="00916518" w:rsidRPr="00635C15">
        <w:rPr>
          <w:color w:val="000000"/>
        </w:rPr>
        <w:t xml:space="preserve"> </w:t>
      </w:r>
      <w:r w:rsidR="00916518" w:rsidRPr="00916518">
        <w:rPr>
          <w:color w:val="000000"/>
        </w:rPr>
        <w:t xml:space="preserve"> </w:t>
      </w:r>
      <w:r w:rsidR="00916518">
        <w:rPr>
          <w:color w:val="000000"/>
        </w:rPr>
        <w:t xml:space="preserve">необходимо сформировать систему </w:t>
      </w:r>
      <w:r w:rsidR="00916518" w:rsidRPr="00635C15">
        <w:rPr>
          <w:color w:val="000000"/>
        </w:rPr>
        <w:t xml:space="preserve">значимых социально-экономических и </w:t>
      </w:r>
      <w:proofErr w:type="gramStart"/>
      <w:r w:rsidR="00916518" w:rsidRPr="00635C15">
        <w:rPr>
          <w:color w:val="000000"/>
        </w:rPr>
        <w:t>финансовых  параметров</w:t>
      </w:r>
      <w:proofErr w:type="gramEnd"/>
      <w:r w:rsidR="00916518">
        <w:rPr>
          <w:color w:val="000000"/>
        </w:rPr>
        <w:t xml:space="preserve">. При </w:t>
      </w:r>
      <w:proofErr w:type="gramStart"/>
      <w:r w:rsidR="00916518">
        <w:rPr>
          <w:color w:val="000000"/>
        </w:rPr>
        <w:t xml:space="preserve">этом </w:t>
      </w:r>
      <w:r w:rsidR="00916518" w:rsidRPr="00916518">
        <w:rPr>
          <w:color w:val="000000"/>
        </w:rPr>
        <w:t xml:space="preserve"> </w:t>
      </w:r>
      <w:r w:rsidR="00916518">
        <w:rPr>
          <w:color w:val="000000"/>
        </w:rPr>
        <w:t>на</w:t>
      </w:r>
      <w:proofErr w:type="gramEnd"/>
      <w:r w:rsidR="00916518">
        <w:rPr>
          <w:color w:val="000000"/>
        </w:rPr>
        <w:t xml:space="preserve"> текущий момент информация о значениях большей части </w:t>
      </w:r>
      <w:r w:rsidR="003B0673">
        <w:rPr>
          <w:color w:val="000000"/>
        </w:rPr>
        <w:t xml:space="preserve">объективных </w:t>
      </w:r>
      <w:r w:rsidR="00916518">
        <w:rPr>
          <w:color w:val="000000"/>
        </w:rPr>
        <w:t xml:space="preserve">экономических </w:t>
      </w:r>
      <w:r w:rsidR="003B0673">
        <w:rPr>
          <w:color w:val="000000"/>
        </w:rPr>
        <w:t>параметров</w:t>
      </w:r>
      <w:r w:rsidR="00916518">
        <w:rPr>
          <w:color w:val="000000"/>
        </w:rPr>
        <w:t xml:space="preserve"> недоступна. </w:t>
      </w:r>
    </w:p>
    <w:p w:rsidR="005C7243" w:rsidRDefault="003B0673" w:rsidP="00B25C7D">
      <w:pPr>
        <w:ind w:firstLine="708"/>
        <w:jc w:val="both"/>
      </w:pPr>
      <w:r>
        <w:t xml:space="preserve">Не менее </w:t>
      </w:r>
      <w:proofErr w:type="gramStart"/>
      <w:r>
        <w:t>значимыми  факторами</w:t>
      </w:r>
      <w:proofErr w:type="gramEnd"/>
      <w:r>
        <w:t xml:space="preserve"> оценки развития процессов</w:t>
      </w:r>
      <w:r w:rsidRPr="00872A97">
        <w:t xml:space="preserve"> </w:t>
      </w:r>
      <w:r>
        <w:t>в любой экономической системе служат инфляционные ожидания и настроения экономических агентов</w:t>
      </w:r>
      <w:r w:rsidR="005C7243">
        <w:t>. Ведь именно субъективное восприятие экономической ситуации субъектами хозяйствования лежат в основе выбора их ценовой и кредитной политик.</w:t>
      </w:r>
    </w:p>
    <w:p w:rsidR="003B0673" w:rsidRPr="009A4F4A" w:rsidRDefault="005C7243" w:rsidP="00B25C7D">
      <w:pPr>
        <w:ind w:firstLine="708"/>
        <w:jc w:val="both"/>
      </w:pPr>
      <w:r>
        <w:t xml:space="preserve"> </w:t>
      </w:r>
      <w:r w:rsidR="003B0673" w:rsidRPr="00342A54">
        <w:t xml:space="preserve">Источником </w:t>
      </w:r>
      <w:r w:rsidR="003B0673">
        <w:t xml:space="preserve">сведений </w:t>
      </w:r>
      <w:r w:rsidR="003B0673" w:rsidRPr="00342A54">
        <w:t xml:space="preserve">об инфляционных ожиданиях служат </w:t>
      </w:r>
      <w:r w:rsidR="003B0673">
        <w:t xml:space="preserve">результаты </w:t>
      </w:r>
      <w:r w:rsidR="003B0673" w:rsidRPr="00342A54">
        <w:t>опрос</w:t>
      </w:r>
      <w:r w:rsidR="003B0673">
        <w:t xml:space="preserve">ов, проводимых по </w:t>
      </w:r>
      <w:r w:rsidR="003B0673" w:rsidRPr="00D12BD9">
        <w:t>зак</w:t>
      </w:r>
      <w:r w:rsidR="003B0673">
        <w:t xml:space="preserve">азу </w:t>
      </w:r>
      <w:r w:rsidR="003B0673" w:rsidRPr="00342A54">
        <w:t>Банка России</w:t>
      </w:r>
      <w:r w:rsidR="003B0673">
        <w:t xml:space="preserve"> (</w:t>
      </w:r>
      <w:proofErr w:type="spellStart"/>
      <w:r w:rsidR="003B0673" w:rsidRPr="00837F79">
        <w:rPr>
          <w:color w:val="000000" w:themeColor="text1"/>
        </w:rPr>
        <w:t>https</w:t>
      </w:r>
      <w:proofErr w:type="spellEnd"/>
      <w:r w:rsidR="003B0673" w:rsidRPr="00837F79">
        <w:rPr>
          <w:color w:val="000000" w:themeColor="text1"/>
        </w:rPr>
        <w:t>://www.cbr.ru/</w:t>
      </w:r>
      <w:proofErr w:type="spellStart"/>
      <w:r w:rsidR="003B0673" w:rsidRPr="00837F79">
        <w:rPr>
          <w:color w:val="000000" w:themeColor="text1"/>
        </w:rPr>
        <w:t>analytics</w:t>
      </w:r>
      <w:proofErr w:type="spellEnd"/>
      <w:r w:rsidR="003B0673" w:rsidRPr="00837F79">
        <w:rPr>
          <w:color w:val="000000" w:themeColor="text1"/>
        </w:rPr>
        <w:t>/</w:t>
      </w:r>
      <w:proofErr w:type="spellStart"/>
      <w:r w:rsidR="003B0673" w:rsidRPr="00837F79">
        <w:rPr>
          <w:color w:val="000000" w:themeColor="text1"/>
        </w:rPr>
        <w:t>dkp</w:t>
      </w:r>
      <w:proofErr w:type="spellEnd"/>
      <w:r w:rsidR="003B0673" w:rsidRPr="00837F79">
        <w:rPr>
          <w:color w:val="000000" w:themeColor="text1"/>
        </w:rPr>
        <w:t>/</w:t>
      </w:r>
      <w:proofErr w:type="spellStart"/>
      <w:r w:rsidR="003B0673" w:rsidRPr="00837F79">
        <w:rPr>
          <w:color w:val="000000" w:themeColor="text1"/>
        </w:rPr>
        <w:t>inflationary_expectations</w:t>
      </w:r>
      <w:proofErr w:type="spellEnd"/>
      <w:r w:rsidR="003B0673" w:rsidRPr="00837F79">
        <w:rPr>
          <w:color w:val="000000" w:themeColor="text1"/>
        </w:rPr>
        <w:t>/</w:t>
      </w:r>
      <w:r w:rsidR="003B0673">
        <w:rPr>
          <w:color w:val="000000" w:themeColor="text1"/>
        </w:rPr>
        <w:t>)</w:t>
      </w:r>
      <w:r w:rsidR="003B0673" w:rsidRPr="00342A54">
        <w:rPr>
          <w:color w:val="000000" w:themeColor="text1"/>
        </w:rPr>
        <w:fldChar w:fldCharType="begin"/>
      </w:r>
      <w:r w:rsidR="003B0673" w:rsidRPr="00342A54">
        <w:rPr>
          <w:color w:val="000000" w:themeColor="text1"/>
        </w:rPr>
        <w:instrText xml:space="preserve"> INCLUDEPICTURE "https://wikimedia.org/api/rest_v1/media/math/render/svg/5d9d5c36ffd96a7f8b2c37039b51eef62701478f" \* MERGEFORMATINET </w:instrText>
      </w:r>
      <w:r w:rsidR="003B0673" w:rsidRPr="00342A54">
        <w:rPr>
          <w:color w:val="000000" w:themeColor="text1"/>
        </w:rPr>
        <w:fldChar w:fldCharType="end"/>
      </w:r>
    </w:p>
    <w:p w:rsidR="00EA0900" w:rsidRPr="00563550" w:rsidRDefault="00EA0900" w:rsidP="00B25C7D">
      <w:pPr>
        <w:pStyle w:val="a7"/>
        <w:spacing w:before="0" w:beforeAutospacing="0" w:after="0" w:afterAutospacing="0"/>
        <w:ind w:firstLine="708"/>
        <w:jc w:val="both"/>
        <w:rPr>
          <w:iCs/>
          <w:color w:val="000000" w:themeColor="text1"/>
        </w:rPr>
      </w:pPr>
      <w:r>
        <w:t xml:space="preserve">Вопросы </w:t>
      </w:r>
      <w:proofErr w:type="gramStart"/>
      <w:r>
        <w:t>влияния  и</w:t>
      </w:r>
      <w:proofErr w:type="gramEnd"/>
      <w:r>
        <w:t xml:space="preserve"> оценки настроений </w:t>
      </w:r>
      <w:r w:rsidR="00B14C9F">
        <w:t xml:space="preserve">экономических агентов </w:t>
      </w:r>
      <w:r>
        <w:t xml:space="preserve">на экономические структуры исследованы в работах </w:t>
      </w:r>
      <w:proofErr w:type="spellStart"/>
      <w:r w:rsidRPr="00563550">
        <w:rPr>
          <w:iCs/>
          <w:color w:val="000000" w:themeColor="text1"/>
        </w:rPr>
        <w:t>Вымятнин</w:t>
      </w:r>
      <w:r>
        <w:rPr>
          <w:iCs/>
          <w:color w:val="000000" w:themeColor="text1"/>
        </w:rPr>
        <w:t>ой</w:t>
      </w:r>
      <w:proofErr w:type="spellEnd"/>
      <w:r w:rsidRPr="00563550">
        <w:rPr>
          <w:iCs/>
          <w:color w:val="000000" w:themeColor="text1"/>
        </w:rPr>
        <w:t xml:space="preserve"> Ю.В.</w:t>
      </w:r>
      <w:r w:rsidRPr="00EA0900">
        <w:t xml:space="preserve"> </w:t>
      </w:r>
      <w:r w:rsidRPr="00342A54">
        <w:t>[</w:t>
      </w:r>
      <w:r w:rsidR="00837F79">
        <w:t>1</w:t>
      </w:r>
      <w:r w:rsidRPr="00342A54">
        <w:t>]</w:t>
      </w:r>
      <w:r>
        <w:rPr>
          <w:iCs/>
          <w:color w:val="000000" w:themeColor="text1"/>
        </w:rPr>
        <w:t xml:space="preserve">, </w:t>
      </w:r>
      <w:r w:rsidRPr="00563550">
        <w:rPr>
          <w:iCs/>
          <w:color w:val="000000" w:themeColor="text1"/>
        </w:rPr>
        <w:t xml:space="preserve"> </w:t>
      </w:r>
      <w:r w:rsidRPr="00563550">
        <w:rPr>
          <w:iCs/>
        </w:rPr>
        <w:t>Ермоленко О.М.</w:t>
      </w:r>
      <w:r>
        <w:rPr>
          <w:iCs/>
        </w:rPr>
        <w:t xml:space="preserve"> </w:t>
      </w:r>
      <w:r w:rsidRPr="00342A54">
        <w:t>[</w:t>
      </w:r>
      <w:r w:rsidR="00837F79">
        <w:t>2</w:t>
      </w:r>
      <w:r w:rsidRPr="00342A54">
        <w:t>]</w:t>
      </w:r>
      <w:r w:rsidRPr="00563550">
        <w:rPr>
          <w:iCs/>
        </w:rPr>
        <w:t xml:space="preserve">, </w:t>
      </w:r>
      <w:r w:rsidRPr="000E194B">
        <w:rPr>
          <w:color w:val="000000" w:themeColor="text1"/>
        </w:rPr>
        <w:t>Карлов</w:t>
      </w:r>
      <w:r>
        <w:rPr>
          <w:color w:val="000000" w:themeColor="text1"/>
        </w:rPr>
        <w:t>ой</w:t>
      </w:r>
      <w:r w:rsidRPr="000E194B">
        <w:rPr>
          <w:color w:val="000000" w:themeColor="text1"/>
        </w:rPr>
        <w:t xml:space="preserve"> Н.А.</w:t>
      </w:r>
      <w:r w:rsidRPr="00EA0900">
        <w:t xml:space="preserve"> </w:t>
      </w:r>
      <w:r w:rsidRPr="00342A54">
        <w:t>[</w:t>
      </w:r>
      <w:r w:rsidR="00837F79">
        <w:t>3</w:t>
      </w:r>
      <w:r w:rsidRPr="00342A54">
        <w:t>]</w:t>
      </w:r>
      <w:r>
        <w:t xml:space="preserve">, </w:t>
      </w:r>
      <w:r>
        <w:rPr>
          <w:color w:val="000000" w:themeColor="text1"/>
        </w:rPr>
        <w:t xml:space="preserve">  </w:t>
      </w:r>
      <w:proofErr w:type="spellStart"/>
      <w:r>
        <w:rPr>
          <w:color w:val="000000" w:themeColor="text1"/>
        </w:rPr>
        <w:t>Саламовой</w:t>
      </w:r>
      <w:proofErr w:type="spellEnd"/>
      <w:r>
        <w:rPr>
          <w:color w:val="000000" w:themeColor="text1"/>
        </w:rPr>
        <w:t xml:space="preserve"> М.Т.</w:t>
      </w:r>
      <w:r w:rsidRPr="00EA0900">
        <w:t xml:space="preserve"> </w:t>
      </w:r>
      <w:r w:rsidRPr="00342A54">
        <w:t>[</w:t>
      </w:r>
      <w:r w:rsidR="00837F79">
        <w:t>4</w:t>
      </w:r>
      <w:r w:rsidRPr="00342A54">
        <w:t>]</w:t>
      </w:r>
      <w:r>
        <w:rPr>
          <w:color w:val="000000" w:themeColor="text1"/>
        </w:rPr>
        <w:t xml:space="preserve">, </w:t>
      </w:r>
      <w:proofErr w:type="spellStart"/>
      <w:r w:rsidRPr="00F044B5">
        <w:rPr>
          <w:iCs/>
          <w:color w:val="000000" w:themeColor="text1"/>
        </w:rPr>
        <w:t>Рахматулин</w:t>
      </w:r>
      <w:r>
        <w:rPr>
          <w:iCs/>
          <w:color w:val="000000" w:themeColor="text1"/>
        </w:rPr>
        <w:t>а</w:t>
      </w:r>
      <w:proofErr w:type="spellEnd"/>
      <w:r w:rsidRPr="00F044B5">
        <w:rPr>
          <w:iCs/>
          <w:color w:val="000000" w:themeColor="text1"/>
        </w:rPr>
        <w:t xml:space="preserve"> Р.Н.</w:t>
      </w:r>
      <w:r w:rsidRPr="00342A54">
        <w:t>[</w:t>
      </w:r>
      <w:r w:rsidR="00837F79">
        <w:t>5</w:t>
      </w:r>
      <w:r w:rsidRPr="00342A54">
        <w:t>]</w:t>
      </w:r>
      <w:r w:rsidR="00AD6D78">
        <w:rPr>
          <w:iCs/>
          <w:color w:val="000000" w:themeColor="text1"/>
        </w:rPr>
        <w:t xml:space="preserve">, </w:t>
      </w:r>
      <w:proofErr w:type="spellStart"/>
      <w:r>
        <w:rPr>
          <w:iCs/>
          <w:color w:val="000000" w:themeColor="text1"/>
        </w:rPr>
        <w:t>Балацкого</w:t>
      </w:r>
      <w:proofErr w:type="spellEnd"/>
      <w:r>
        <w:rPr>
          <w:iCs/>
          <w:color w:val="000000" w:themeColor="text1"/>
        </w:rPr>
        <w:t xml:space="preserve"> Е.В. </w:t>
      </w:r>
      <w:r w:rsidR="00AD6D78" w:rsidRPr="00342A54">
        <w:t>[</w:t>
      </w:r>
      <w:r w:rsidR="00837F79">
        <w:t>6</w:t>
      </w:r>
      <w:r w:rsidR="00AD6D78" w:rsidRPr="00342A54">
        <w:t>]</w:t>
      </w:r>
      <w:r w:rsidR="00837F79">
        <w:t xml:space="preserve">, Границы Ю.В. </w:t>
      </w:r>
      <w:r w:rsidR="00837F79" w:rsidRPr="00342A54">
        <w:t>[</w:t>
      </w:r>
      <w:r w:rsidR="00837F79">
        <w:t>7</w:t>
      </w:r>
      <w:r w:rsidR="00837F79" w:rsidRPr="00342A54">
        <w:t>]</w:t>
      </w:r>
      <w:r>
        <w:rPr>
          <w:iCs/>
          <w:color w:val="000000" w:themeColor="text1"/>
        </w:rPr>
        <w:t xml:space="preserve"> и других </w:t>
      </w:r>
      <w:r w:rsidR="00837F79">
        <w:rPr>
          <w:iCs/>
          <w:color w:val="000000" w:themeColor="text1"/>
        </w:rPr>
        <w:t>исследователей</w:t>
      </w:r>
      <w:r>
        <w:rPr>
          <w:iCs/>
          <w:color w:val="000000" w:themeColor="text1"/>
        </w:rPr>
        <w:t xml:space="preserve">. </w:t>
      </w:r>
    </w:p>
    <w:p w:rsidR="007D4653" w:rsidRPr="00B803D0" w:rsidRDefault="005A6EDF" w:rsidP="00B25C7D">
      <w:pPr>
        <w:ind w:firstLine="708"/>
        <w:jc w:val="both"/>
        <w:rPr>
          <w:color w:val="000000" w:themeColor="text1"/>
          <w:shd w:val="clear" w:color="auto" w:fill="FFFFFF"/>
        </w:rPr>
      </w:pPr>
      <w:r w:rsidRPr="00B803D0">
        <w:rPr>
          <w:color w:val="000000" w:themeColor="text1"/>
        </w:rPr>
        <w:t>Для</w:t>
      </w:r>
      <w:r w:rsidR="00712A5E" w:rsidRPr="00B803D0">
        <w:rPr>
          <w:color w:val="000000" w:themeColor="text1"/>
        </w:rPr>
        <w:t xml:space="preserve"> показателей, измеряемых в </w:t>
      </w:r>
      <w:proofErr w:type="gramStart"/>
      <w:r w:rsidR="00712A5E" w:rsidRPr="00B803D0">
        <w:rPr>
          <w:color w:val="000000" w:themeColor="text1"/>
        </w:rPr>
        <w:t>пунктах,  применима</w:t>
      </w:r>
      <w:proofErr w:type="gramEnd"/>
      <w:r w:rsidR="00712A5E" w:rsidRPr="00B803D0">
        <w:rPr>
          <w:color w:val="000000" w:themeColor="text1"/>
        </w:rPr>
        <w:t xml:space="preserve"> </w:t>
      </w:r>
      <w:r w:rsidR="007D4653" w:rsidRPr="00B803D0">
        <w:rPr>
          <w:color w:val="000000" w:themeColor="text1"/>
        </w:rPr>
        <w:t xml:space="preserve"> </w:t>
      </w:r>
      <w:r w:rsidR="00712A5E" w:rsidRPr="00B803D0">
        <w:rPr>
          <w:color w:val="000000" w:themeColor="text1"/>
        </w:rPr>
        <w:t xml:space="preserve">следующая шкала - </w:t>
      </w:r>
      <w:r w:rsidR="00712A5E" w:rsidRPr="00B803D0">
        <w:rPr>
          <w:color w:val="000000" w:themeColor="text1"/>
          <w:shd w:val="clear" w:color="auto" w:fill="FFFFFF"/>
        </w:rPr>
        <w:t>м</w:t>
      </w:r>
      <w:r w:rsidR="007D4653" w:rsidRPr="00B803D0">
        <w:rPr>
          <w:color w:val="000000" w:themeColor="text1"/>
          <w:shd w:val="clear" w:color="auto" w:fill="FFFFFF"/>
        </w:rPr>
        <w:t xml:space="preserve">аксимальный </w:t>
      </w:r>
      <w:r w:rsidR="00712A5E" w:rsidRPr="00B803D0">
        <w:rPr>
          <w:color w:val="000000" w:themeColor="text1"/>
          <w:shd w:val="clear" w:color="auto" w:fill="FFFFFF"/>
        </w:rPr>
        <w:t>уровень</w:t>
      </w:r>
      <w:r w:rsidR="007D4653" w:rsidRPr="00B803D0">
        <w:rPr>
          <w:color w:val="000000" w:themeColor="text1"/>
          <w:shd w:val="clear" w:color="auto" w:fill="FFFFFF"/>
        </w:rPr>
        <w:t xml:space="preserve"> – 200 пунктов, 100 пунктов – это граница  между пессимистичными и оптимистичными настроениями. </w:t>
      </w:r>
    </w:p>
    <w:p w:rsidR="00B803D0" w:rsidRPr="00EC7412" w:rsidRDefault="000B7E0D" w:rsidP="000B7E0D">
      <w:pPr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>Исследование</w:t>
      </w:r>
      <w:r w:rsidR="00047AE8" w:rsidRPr="00B803D0">
        <w:rPr>
          <w:color w:val="000000" w:themeColor="text1"/>
        </w:rPr>
        <w:t xml:space="preserve"> динамики </w:t>
      </w:r>
      <w:r>
        <w:rPr>
          <w:color w:val="000000" w:themeColor="text1"/>
        </w:rPr>
        <w:t xml:space="preserve">индикаторов потребительских настроений </w:t>
      </w:r>
      <w:r w:rsidR="00047AE8" w:rsidRPr="00B803D0">
        <w:rPr>
          <w:color w:val="000000" w:themeColor="text1"/>
        </w:rPr>
        <w:t xml:space="preserve">произведен с применением алгоритмов машинного обучения в аналитической </w:t>
      </w:r>
      <w:proofErr w:type="gramStart"/>
      <w:r w:rsidR="00047AE8" w:rsidRPr="00B803D0">
        <w:rPr>
          <w:color w:val="000000" w:themeColor="text1"/>
        </w:rPr>
        <w:t xml:space="preserve">среде  </w:t>
      </w:r>
      <w:proofErr w:type="spellStart"/>
      <w:r w:rsidR="00047AE8" w:rsidRPr="00047AE8">
        <w:rPr>
          <w:color w:val="000000" w:themeColor="text1"/>
        </w:rPr>
        <w:t>Jupyter</w:t>
      </w:r>
      <w:proofErr w:type="spellEnd"/>
      <w:proofErr w:type="gramEnd"/>
      <w:r w:rsidR="00047AE8" w:rsidRPr="00047AE8">
        <w:rPr>
          <w:color w:val="000000" w:themeColor="text1"/>
        </w:rPr>
        <w:t xml:space="preserve"> </w:t>
      </w:r>
      <w:proofErr w:type="spellStart"/>
      <w:r w:rsidR="00047AE8" w:rsidRPr="00047AE8">
        <w:rPr>
          <w:color w:val="000000" w:themeColor="text1"/>
        </w:rPr>
        <w:t>Notebook</w:t>
      </w:r>
      <w:proofErr w:type="spellEnd"/>
      <w:r w:rsidR="00047AE8" w:rsidRPr="00B803D0">
        <w:rPr>
          <w:color w:val="000000" w:themeColor="text1"/>
        </w:rPr>
        <w:t xml:space="preserve">. </w:t>
      </w:r>
      <w:r w:rsidR="00B803D0" w:rsidRPr="00B803D0">
        <w:rPr>
          <w:color w:val="000000" w:themeColor="text1"/>
        </w:rPr>
        <w:t xml:space="preserve"> Для прогнозирования данных временных рядов применена библиотека </w:t>
      </w:r>
      <w:proofErr w:type="spellStart"/>
      <w:r w:rsidR="00B803D0" w:rsidRPr="00F6052A">
        <w:t>Prophet</w:t>
      </w:r>
      <w:proofErr w:type="spellEnd"/>
      <w:r w:rsidR="00EC7412">
        <w:t xml:space="preserve">. </w:t>
      </w:r>
    </w:p>
    <w:p w:rsidR="00047AE8" w:rsidRDefault="00EB5910" w:rsidP="00B25C7D">
      <w:r>
        <w:t xml:space="preserve">Этапы анализа показателей представлены на рисунке 1. </w:t>
      </w:r>
    </w:p>
    <w:p w:rsidR="00EB5910" w:rsidRDefault="00EB5910" w:rsidP="00B25C7D"/>
    <w:p w:rsidR="00EB5910" w:rsidRPr="00047AE8" w:rsidRDefault="00EB5910" w:rsidP="00392C83">
      <w:pPr>
        <w:jc w:val="center"/>
      </w:pPr>
      <w:r>
        <w:rPr>
          <w:noProof/>
        </w:rPr>
        <w:drawing>
          <wp:inline distT="0" distB="0" distL="0" distR="0">
            <wp:extent cx="4550797" cy="2297927"/>
            <wp:effectExtent l="0" t="25400" r="8890" b="13970"/>
            <wp:docPr id="5" name="Схема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047AE8" w:rsidRDefault="008B76EC" w:rsidP="00B25C7D">
      <w:pPr>
        <w:ind w:firstLine="708"/>
        <w:jc w:val="both"/>
        <w:rPr>
          <w:color w:val="000000" w:themeColor="text1"/>
          <w:shd w:val="clear" w:color="auto" w:fill="FFFFFF"/>
        </w:rPr>
      </w:pPr>
      <w:r>
        <w:rPr>
          <w:color w:val="000000" w:themeColor="text1"/>
          <w:shd w:val="clear" w:color="auto" w:fill="FFFFFF"/>
        </w:rPr>
        <w:t xml:space="preserve">Рис. 1 Этапы анализа </w:t>
      </w:r>
      <w:proofErr w:type="gramStart"/>
      <w:r>
        <w:rPr>
          <w:color w:val="000000" w:themeColor="text1"/>
          <w:shd w:val="clear" w:color="auto" w:fill="FFFFFF"/>
        </w:rPr>
        <w:t>показателей  субъективных</w:t>
      </w:r>
      <w:proofErr w:type="gramEnd"/>
      <w:r>
        <w:rPr>
          <w:color w:val="000000" w:themeColor="text1"/>
          <w:shd w:val="clear" w:color="auto" w:fill="FFFFFF"/>
        </w:rPr>
        <w:t xml:space="preserve"> настроений </w:t>
      </w:r>
      <w:r w:rsidR="00AE7D01">
        <w:rPr>
          <w:color w:val="000000" w:themeColor="text1"/>
          <w:shd w:val="clear" w:color="auto" w:fill="FFFFFF"/>
        </w:rPr>
        <w:t xml:space="preserve">экономических </w:t>
      </w:r>
      <w:r>
        <w:rPr>
          <w:color w:val="000000" w:themeColor="text1"/>
          <w:shd w:val="clear" w:color="auto" w:fill="FFFFFF"/>
        </w:rPr>
        <w:t>агентов</w:t>
      </w:r>
    </w:p>
    <w:p w:rsidR="000B7E0D" w:rsidRPr="002E0DA2" w:rsidRDefault="000B7E0D" w:rsidP="000B7E0D">
      <w:pPr>
        <w:ind w:firstLine="708"/>
        <w:jc w:val="both"/>
      </w:pPr>
      <w:r>
        <w:lastRenderedPageBreak/>
        <w:t xml:space="preserve">Перечень </w:t>
      </w:r>
      <w:proofErr w:type="gramStart"/>
      <w:r w:rsidRPr="009D7D33">
        <w:t>анали</w:t>
      </w:r>
      <w:r>
        <w:t>зируемых  в</w:t>
      </w:r>
      <w:proofErr w:type="gramEnd"/>
      <w:r>
        <w:t xml:space="preserve"> данном исследовании  показателей </w:t>
      </w:r>
      <w:r w:rsidR="00F57C9B">
        <w:t xml:space="preserve">и оцениваемые </w:t>
      </w:r>
      <w:r w:rsidR="004916C0">
        <w:t xml:space="preserve"> </w:t>
      </w:r>
      <w:r w:rsidR="00F57C9B">
        <w:t xml:space="preserve">параметры </w:t>
      </w:r>
      <w:r>
        <w:t>представлен</w:t>
      </w:r>
      <w:r w:rsidR="00F57C9B">
        <w:t>ы</w:t>
      </w:r>
      <w:r>
        <w:t xml:space="preserve"> в таблице 1, анализируемый период с марта 2013 по май 2022 года. </w:t>
      </w:r>
    </w:p>
    <w:p w:rsidR="000B7E0D" w:rsidRDefault="000B7E0D" w:rsidP="000B7E0D">
      <w:pPr>
        <w:jc w:val="right"/>
        <w:rPr>
          <w:color w:val="000000" w:themeColor="text1"/>
        </w:rPr>
      </w:pPr>
      <w:r>
        <w:rPr>
          <w:color w:val="000000" w:themeColor="text1"/>
        </w:rPr>
        <w:t>Таблица 1</w:t>
      </w:r>
    </w:p>
    <w:p w:rsidR="000B7E0D" w:rsidRPr="00047AE8" w:rsidRDefault="000B7E0D" w:rsidP="000B7E0D">
      <w:pPr>
        <w:jc w:val="center"/>
        <w:rPr>
          <w:color w:val="000000" w:themeColor="text1"/>
        </w:rPr>
      </w:pPr>
      <w:r>
        <w:rPr>
          <w:color w:val="000000" w:themeColor="text1"/>
        </w:rPr>
        <w:t xml:space="preserve">Характеристика некоторых показателей субъективных </w:t>
      </w:r>
      <w:proofErr w:type="gramStart"/>
      <w:r>
        <w:rPr>
          <w:color w:val="000000" w:themeColor="text1"/>
        </w:rPr>
        <w:t>настроений  экономических</w:t>
      </w:r>
      <w:proofErr w:type="gramEnd"/>
      <w:r>
        <w:rPr>
          <w:color w:val="000000" w:themeColor="text1"/>
        </w:rPr>
        <w:t xml:space="preserve"> агентов</w:t>
      </w:r>
    </w:p>
    <w:tbl>
      <w:tblPr>
        <w:tblStyle w:val="a4"/>
        <w:tblW w:w="9775" w:type="dxa"/>
        <w:tblLayout w:type="fixed"/>
        <w:tblLook w:val="04A0" w:firstRow="1" w:lastRow="0" w:firstColumn="1" w:lastColumn="0" w:noHBand="0" w:noVBand="1"/>
      </w:tblPr>
      <w:tblGrid>
        <w:gridCol w:w="2263"/>
        <w:gridCol w:w="709"/>
        <w:gridCol w:w="1701"/>
        <w:gridCol w:w="1701"/>
        <w:gridCol w:w="851"/>
        <w:gridCol w:w="1275"/>
        <w:gridCol w:w="1275"/>
      </w:tblGrid>
      <w:tr w:rsidR="00F57C9B" w:rsidRPr="000B7E0D" w:rsidTr="00F57C9B">
        <w:tc>
          <w:tcPr>
            <w:tcW w:w="2263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Показатель</w:t>
            </w:r>
          </w:p>
        </w:tc>
        <w:tc>
          <w:tcPr>
            <w:tcW w:w="709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Единица измерения</w:t>
            </w:r>
          </w:p>
        </w:tc>
        <w:tc>
          <w:tcPr>
            <w:tcW w:w="170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Статистические свойства показателя</w:t>
            </w:r>
          </w:p>
        </w:tc>
        <w:tc>
          <w:tcPr>
            <w:tcW w:w="170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Вид тренда</w:t>
            </w:r>
          </w:p>
        </w:tc>
        <w:tc>
          <w:tcPr>
            <w:tcW w:w="85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Качество модели</w:t>
            </w:r>
          </w:p>
        </w:tc>
        <w:tc>
          <w:tcPr>
            <w:tcW w:w="1275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Точки изменения тренда</w:t>
            </w:r>
          </w:p>
        </w:tc>
        <w:tc>
          <w:tcPr>
            <w:tcW w:w="1275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Прогноз</w:t>
            </w:r>
          </w:p>
        </w:tc>
      </w:tr>
      <w:tr w:rsidR="00F57C9B" w:rsidRPr="000B7E0D" w:rsidTr="00F57C9B">
        <w:tc>
          <w:tcPr>
            <w:tcW w:w="2263" w:type="dxa"/>
          </w:tcPr>
          <w:p w:rsidR="00F57C9B" w:rsidRPr="000B7E0D" w:rsidRDefault="00F57C9B" w:rsidP="003F1BFF">
            <w:pPr>
              <w:jc w:val="both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Стабильность цен на продукты питания, непродовольственные товары и услуги</w:t>
            </w:r>
          </w:p>
        </w:tc>
        <w:tc>
          <w:tcPr>
            <w:tcW w:w="709" w:type="dxa"/>
            <w:vMerge w:val="restart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% от опрошенных</w:t>
            </w:r>
          </w:p>
        </w:tc>
        <w:tc>
          <w:tcPr>
            <w:tcW w:w="170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стационарный</w:t>
            </w:r>
          </w:p>
        </w:tc>
        <w:tc>
          <w:tcPr>
            <w:tcW w:w="170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линейный восходящий</w:t>
            </w:r>
          </w:p>
        </w:tc>
        <w:tc>
          <w:tcPr>
            <w:tcW w:w="85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1275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январь 2015</w:t>
            </w:r>
          </w:p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апрель 2018</w:t>
            </w:r>
          </w:p>
        </w:tc>
        <w:tc>
          <w:tcPr>
            <w:tcW w:w="1275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пессимистичный </w:t>
            </w:r>
          </w:p>
        </w:tc>
      </w:tr>
      <w:tr w:rsidR="00F57C9B" w:rsidRPr="000B7E0D" w:rsidTr="00F57C9B">
        <w:tc>
          <w:tcPr>
            <w:tcW w:w="2263" w:type="dxa"/>
          </w:tcPr>
          <w:p w:rsidR="00F57C9B" w:rsidRPr="000B7E0D" w:rsidRDefault="00F57C9B" w:rsidP="003F1BFF">
            <w:pPr>
              <w:jc w:val="both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Нестабильность цен на продукты питания, непродовольственные товары и услуги</w:t>
            </w:r>
          </w:p>
        </w:tc>
        <w:tc>
          <w:tcPr>
            <w:tcW w:w="709" w:type="dxa"/>
            <w:vMerge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0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нестационарный</w:t>
            </w:r>
          </w:p>
        </w:tc>
        <w:tc>
          <w:tcPr>
            <w:tcW w:w="170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кусочно-линейный восходящий</w:t>
            </w:r>
          </w:p>
        </w:tc>
        <w:tc>
          <w:tcPr>
            <w:tcW w:w="85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1275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январь 2015, март 2015, июнь 2015, октябрь 2015</w:t>
            </w:r>
          </w:p>
        </w:tc>
        <w:tc>
          <w:tcPr>
            <w:tcW w:w="1275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пессимистичный</w:t>
            </w:r>
          </w:p>
        </w:tc>
      </w:tr>
      <w:tr w:rsidR="00F57C9B" w:rsidRPr="000B7E0D" w:rsidTr="00F57C9B">
        <w:tc>
          <w:tcPr>
            <w:tcW w:w="2263" w:type="dxa"/>
          </w:tcPr>
          <w:p w:rsidR="00F57C9B" w:rsidRPr="000B7E0D" w:rsidRDefault="00F57C9B" w:rsidP="003F1BFF">
            <w:pPr>
              <w:jc w:val="both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Оптимистичный прогноз цен на продукты питания, непродовольственные товары и услуги</w:t>
            </w:r>
          </w:p>
        </w:tc>
        <w:tc>
          <w:tcPr>
            <w:tcW w:w="709" w:type="dxa"/>
            <w:vMerge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0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стационарный</w:t>
            </w:r>
          </w:p>
        </w:tc>
        <w:tc>
          <w:tcPr>
            <w:tcW w:w="1701" w:type="dxa"/>
          </w:tcPr>
          <w:p w:rsidR="00F57C9B" w:rsidRPr="000B7E0D" w:rsidRDefault="00F57C9B" w:rsidP="003F1BFF">
            <w:pPr>
              <w:jc w:val="center"/>
              <w:rPr>
                <w:sz w:val="20"/>
                <w:szCs w:val="20"/>
              </w:rPr>
            </w:pPr>
            <w:r w:rsidRPr="000B7E0D">
              <w:rPr>
                <w:sz w:val="20"/>
                <w:szCs w:val="20"/>
              </w:rPr>
              <w:t>линейный восходящий</w:t>
            </w:r>
          </w:p>
        </w:tc>
        <w:tc>
          <w:tcPr>
            <w:tcW w:w="85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+</w:t>
            </w:r>
          </w:p>
        </w:tc>
        <w:tc>
          <w:tcPr>
            <w:tcW w:w="1275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январь 2018, май 2018</w:t>
            </w:r>
          </w:p>
        </w:tc>
        <w:tc>
          <w:tcPr>
            <w:tcW w:w="1275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оптимистичный</w:t>
            </w:r>
          </w:p>
        </w:tc>
      </w:tr>
      <w:tr w:rsidR="00F57C9B" w:rsidRPr="000B7E0D" w:rsidTr="00F57C9B">
        <w:tc>
          <w:tcPr>
            <w:tcW w:w="2263" w:type="dxa"/>
          </w:tcPr>
          <w:p w:rsidR="00F57C9B" w:rsidRPr="000B7E0D" w:rsidRDefault="00F57C9B" w:rsidP="003F1BFF">
            <w:pPr>
              <w:jc w:val="both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Пессимистичный прогноз цен на продукты питания, непродовольственные товары и услуги</w:t>
            </w:r>
          </w:p>
        </w:tc>
        <w:tc>
          <w:tcPr>
            <w:tcW w:w="709" w:type="dxa"/>
            <w:vMerge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0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стационарный</w:t>
            </w:r>
          </w:p>
        </w:tc>
        <w:tc>
          <w:tcPr>
            <w:tcW w:w="170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линейный нисходящий</w:t>
            </w:r>
          </w:p>
        </w:tc>
        <w:tc>
          <w:tcPr>
            <w:tcW w:w="85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+</w:t>
            </w:r>
          </w:p>
        </w:tc>
        <w:tc>
          <w:tcPr>
            <w:tcW w:w="1275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январь 2017, ноябрь 2017, март 2018, октябрь 2018</w:t>
            </w:r>
          </w:p>
        </w:tc>
        <w:tc>
          <w:tcPr>
            <w:tcW w:w="1275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оптимистичный</w:t>
            </w:r>
          </w:p>
        </w:tc>
      </w:tr>
      <w:tr w:rsidR="00F57C9B" w:rsidRPr="000B7E0D" w:rsidTr="00F57C9B">
        <w:tc>
          <w:tcPr>
            <w:tcW w:w="2263" w:type="dxa"/>
          </w:tcPr>
          <w:p w:rsidR="00F57C9B" w:rsidRPr="000B7E0D" w:rsidRDefault="00F57C9B" w:rsidP="003F1BFF">
            <w:pPr>
              <w:jc w:val="both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Средний располагаемый доход на душу населения</w:t>
            </w:r>
          </w:p>
          <w:p w:rsidR="00F57C9B" w:rsidRPr="000B7E0D" w:rsidRDefault="00F57C9B" w:rsidP="003F1BFF">
            <w:pPr>
              <w:jc w:val="both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9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тыс. руб.</w:t>
            </w:r>
          </w:p>
        </w:tc>
        <w:tc>
          <w:tcPr>
            <w:tcW w:w="170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нестационарный</w:t>
            </w:r>
          </w:p>
        </w:tc>
        <w:tc>
          <w:tcPr>
            <w:tcW w:w="170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полиномиальный, восходящий</w:t>
            </w:r>
          </w:p>
        </w:tc>
        <w:tc>
          <w:tcPr>
            <w:tcW w:w="85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+</w:t>
            </w:r>
          </w:p>
        </w:tc>
        <w:tc>
          <w:tcPr>
            <w:tcW w:w="1275" w:type="dxa"/>
          </w:tcPr>
          <w:p w:rsidR="00F57C9B" w:rsidRDefault="00A55ADC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июнь 2014-июнь 2016;</w:t>
            </w:r>
          </w:p>
          <w:p w:rsidR="00A55ADC" w:rsidRPr="000B7E0D" w:rsidRDefault="00A55ADC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июнь 2018-июнь 2019</w:t>
            </w:r>
          </w:p>
        </w:tc>
        <w:tc>
          <w:tcPr>
            <w:tcW w:w="1275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оптимистичный</w:t>
            </w:r>
          </w:p>
        </w:tc>
      </w:tr>
      <w:tr w:rsidR="00F57C9B" w:rsidRPr="000B7E0D" w:rsidTr="00F57C9B">
        <w:tc>
          <w:tcPr>
            <w:tcW w:w="2263" w:type="dxa"/>
          </w:tcPr>
          <w:p w:rsidR="00F57C9B" w:rsidRPr="000B7E0D" w:rsidRDefault="00F57C9B" w:rsidP="003F1BFF">
            <w:pPr>
              <w:jc w:val="both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Индекс потребительских настроений</w:t>
            </w:r>
          </w:p>
        </w:tc>
        <w:tc>
          <w:tcPr>
            <w:tcW w:w="709" w:type="dxa"/>
            <w:vMerge w:val="restart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п</w:t>
            </w:r>
          </w:p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у</w:t>
            </w:r>
          </w:p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н</w:t>
            </w:r>
          </w:p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к</w:t>
            </w:r>
          </w:p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т</w:t>
            </w:r>
          </w:p>
        </w:tc>
        <w:tc>
          <w:tcPr>
            <w:tcW w:w="170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нестационарный</w:t>
            </w:r>
          </w:p>
        </w:tc>
        <w:tc>
          <w:tcPr>
            <w:tcW w:w="170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кусочно-линейный восходящий</w:t>
            </w:r>
          </w:p>
          <w:p w:rsidR="00F57C9B" w:rsidRPr="000B7E0D" w:rsidRDefault="00F57C9B" w:rsidP="003F1BFF">
            <w:pPr>
              <w:tabs>
                <w:tab w:val="left" w:pos="466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+</w:t>
            </w:r>
          </w:p>
        </w:tc>
        <w:tc>
          <w:tcPr>
            <w:tcW w:w="1275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июнь 2015-июнь 2016; март 2018 – март 2019</w:t>
            </w:r>
          </w:p>
        </w:tc>
        <w:tc>
          <w:tcPr>
            <w:tcW w:w="1275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оптимистичный</w:t>
            </w:r>
          </w:p>
        </w:tc>
      </w:tr>
      <w:tr w:rsidR="00F57C9B" w:rsidRPr="000B7E0D" w:rsidTr="00F57C9B">
        <w:tc>
          <w:tcPr>
            <w:tcW w:w="2263" w:type="dxa"/>
          </w:tcPr>
          <w:p w:rsidR="00F57C9B" w:rsidRPr="000B7E0D" w:rsidRDefault="00F57C9B" w:rsidP="003F1BFF">
            <w:pPr>
              <w:jc w:val="both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Индекс ожиданий</w:t>
            </w:r>
          </w:p>
        </w:tc>
        <w:tc>
          <w:tcPr>
            <w:tcW w:w="709" w:type="dxa"/>
            <w:vMerge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0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нестационарный</w:t>
            </w:r>
          </w:p>
        </w:tc>
        <w:tc>
          <w:tcPr>
            <w:tcW w:w="1701" w:type="dxa"/>
          </w:tcPr>
          <w:p w:rsidR="00F57C9B" w:rsidRPr="000B7E0D" w:rsidRDefault="00F57C9B" w:rsidP="003F1BFF">
            <w:pPr>
              <w:tabs>
                <w:tab w:val="left" w:pos="441"/>
              </w:tabs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кусочно-линейный нисходящий</w:t>
            </w:r>
          </w:p>
        </w:tc>
        <w:tc>
          <w:tcPr>
            <w:tcW w:w="85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+</w:t>
            </w:r>
          </w:p>
        </w:tc>
        <w:tc>
          <w:tcPr>
            <w:tcW w:w="1275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июнь 2015-июнь 2016; март 2018 – март 2019</w:t>
            </w:r>
          </w:p>
        </w:tc>
        <w:tc>
          <w:tcPr>
            <w:tcW w:w="1275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пессимистичный</w:t>
            </w:r>
          </w:p>
        </w:tc>
      </w:tr>
      <w:tr w:rsidR="00F57C9B" w:rsidRPr="000B7E0D" w:rsidTr="00F57C9B">
        <w:tc>
          <w:tcPr>
            <w:tcW w:w="2263" w:type="dxa"/>
          </w:tcPr>
          <w:p w:rsidR="00F57C9B" w:rsidRPr="000B7E0D" w:rsidRDefault="00F57C9B" w:rsidP="003F1BFF">
            <w:pPr>
              <w:jc w:val="both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Индекс крупных покупок</w:t>
            </w:r>
          </w:p>
        </w:tc>
        <w:tc>
          <w:tcPr>
            <w:tcW w:w="709" w:type="dxa"/>
            <w:vMerge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0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нестационарный</w:t>
            </w:r>
          </w:p>
        </w:tc>
        <w:tc>
          <w:tcPr>
            <w:tcW w:w="170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кусочно-линейный восходящий</w:t>
            </w:r>
          </w:p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85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+</w:t>
            </w:r>
          </w:p>
        </w:tc>
        <w:tc>
          <w:tcPr>
            <w:tcW w:w="1275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июнь 2015-июнь 2017</w:t>
            </w:r>
          </w:p>
        </w:tc>
        <w:tc>
          <w:tcPr>
            <w:tcW w:w="1275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оптимистичный</w:t>
            </w:r>
          </w:p>
        </w:tc>
      </w:tr>
      <w:tr w:rsidR="00F57C9B" w:rsidRPr="000B7E0D" w:rsidTr="00F57C9B">
        <w:tc>
          <w:tcPr>
            <w:tcW w:w="2263" w:type="dxa"/>
          </w:tcPr>
          <w:p w:rsidR="00F57C9B" w:rsidRPr="000B7E0D" w:rsidRDefault="00F57C9B" w:rsidP="003F1BFF">
            <w:pPr>
              <w:jc w:val="both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Индекс текущего состояния</w:t>
            </w:r>
          </w:p>
        </w:tc>
        <w:tc>
          <w:tcPr>
            <w:tcW w:w="709" w:type="dxa"/>
            <w:vMerge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0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нестационарный</w:t>
            </w:r>
          </w:p>
        </w:tc>
        <w:tc>
          <w:tcPr>
            <w:tcW w:w="170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кусочно-линейный восходящий</w:t>
            </w:r>
          </w:p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85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+</w:t>
            </w:r>
          </w:p>
        </w:tc>
        <w:tc>
          <w:tcPr>
            <w:tcW w:w="1275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июнь 2015-декабрь 2017, январь 2019</w:t>
            </w:r>
          </w:p>
        </w:tc>
        <w:tc>
          <w:tcPr>
            <w:tcW w:w="1275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оптимистичный</w:t>
            </w:r>
          </w:p>
        </w:tc>
      </w:tr>
      <w:tr w:rsidR="00F57C9B" w:rsidRPr="000B7E0D" w:rsidTr="00F57C9B">
        <w:tc>
          <w:tcPr>
            <w:tcW w:w="2263" w:type="dxa"/>
          </w:tcPr>
          <w:p w:rsidR="00F57C9B" w:rsidRPr="000B7E0D" w:rsidRDefault="00F57C9B" w:rsidP="003F1BFF">
            <w:pPr>
              <w:jc w:val="both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Оценка перспектив развития страны на ближайших год</w:t>
            </w:r>
          </w:p>
        </w:tc>
        <w:tc>
          <w:tcPr>
            <w:tcW w:w="709" w:type="dxa"/>
            <w:vMerge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0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стационарный</w:t>
            </w:r>
          </w:p>
        </w:tc>
        <w:tc>
          <w:tcPr>
            <w:tcW w:w="170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кусочно-линейный нисходящий</w:t>
            </w:r>
          </w:p>
        </w:tc>
        <w:tc>
          <w:tcPr>
            <w:tcW w:w="851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75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0B7E0D">
              <w:rPr>
                <w:color w:val="000000" w:themeColor="text1"/>
                <w:sz w:val="20"/>
                <w:szCs w:val="20"/>
              </w:rPr>
              <w:t>октябрь 2017-январь 2018</w:t>
            </w:r>
          </w:p>
        </w:tc>
        <w:tc>
          <w:tcPr>
            <w:tcW w:w="1275" w:type="dxa"/>
          </w:tcPr>
          <w:p w:rsidR="00F57C9B" w:rsidRPr="000B7E0D" w:rsidRDefault="00F57C9B" w:rsidP="003F1BFF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пессимистичный</w:t>
            </w:r>
          </w:p>
        </w:tc>
      </w:tr>
    </w:tbl>
    <w:p w:rsidR="000B7E0D" w:rsidRDefault="000B7E0D" w:rsidP="00B25C7D">
      <w:pPr>
        <w:rPr>
          <w:color w:val="000000" w:themeColor="text1"/>
        </w:rPr>
      </w:pPr>
    </w:p>
    <w:p w:rsidR="00190252" w:rsidRDefault="00190252" w:rsidP="00190252">
      <w:pPr>
        <w:ind w:firstLine="708"/>
        <w:rPr>
          <w:color w:val="000000" w:themeColor="text1"/>
        </w:rPr>
      </w:pPr>
      <w:r>
        <w:rPr>
          <w:color w:val="000000" w:themeColor="text1"/>
        </w:rPr>
        <w:t xml:space="preserve">Проанализируем отношение экономических агентов к росту цен. </w:t>
      </w:r>
    </w:p>
    <w:p w:rsidR="008B76EC" w:rsidRPr="002B4CBC" w:rsidRDefault="008B76EC" w:rsidP="00B25C7D">
      <w:pPr>
        <w:rPr>
          <w:color w:val="000000" w:themeColor="text1"/>
        </w:rPr>
      </w:pPr>
      <w:r>
        <w:rPr>
          <w:color w:val="000000" w:themeColor="text1"/>
        </w:rPr>
        <w:t xml:space="preserve">На рисунках 2 и 3 отражена динамика процента респондентов, оценивающих рост цен как незначительный и значительный соответственно. </w:t>
      </w:r>
    </w:p>
    <w:p w:rsidR="008B76EC" w:rsidRPr="00047AE8" w:rsidRDefault="008B76EC" w:rsidP="00B25C7D">
      <w:pPr>
        <w:ind w:firstLine="708"/>
        <w:jc w:val="both"/>
        <w:rPr>
          <w:color w:val="000000" w:themeColor="text1"/>
          <w:shd w:val="clear" w:color="auto" w:fill="FFFFFF"/>
        </w:rPr>
      </w:pPr>
    </w:p>
    <w:p w:rsidR="00F433EE" w:rsidRDefault="00F433EE" w:rsidP="00B25C7D">
      <w:pPr>
        <w:jc w:val="center"/>
        <w:rPr>
          <w:color w:val="000000" w:themeColor="text1"/>
        </w:rPr>
      </w:pPr>
      <w:r>
        <w:rPr>
          <w:noProof/>
          <w:color w:val="000000" w:themeColor="text1"/>
        </w:rPr>
        <w:lastRenderedPageBreak/>
        <w:drawing>
          <wp:inline distT="0" distB="0" distL="0" distR="0">
            <wp:extent cx="4760533" cy="1905755"/>
            <wp:effectExtent l="0" t="0" r="2540" b="0"/>
            <wp:docPr id="4" name="Рисунок 4" descr="/var/folders/gh/ykzg104j4379z0qqnl1214400000gn/T/com.microsoft.Word/Content.MSO/5FE9E782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/var/folders/gh/ykzg104j4379z0qqnl1214400000gn/T/com.microsoft.Word/Content.MSO/5FE9E782.tmp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3126" cy="19388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724F" w:rsidRDefault="006A2850" w:rsidP="00B25C7D">
      <w:pPr>
        <w:jc w:val="center"/>
        <w:rPr>
          <w:color w:val="000000" w:themeColor="text1"/>
        </w:rPr>
      </w:pPr>
      <w:r w:rsidRPr="00342A54">
        <w:rPr>
          <w:color w:val="000000" w:themeColor="text1"/>
        </w:rPr>
        <w:t xml:space="preserve">Рис. </w:t>
      </w:r>
      <w:proofErr w:type="gramStart"/>
      <w:r w:rsidR="00B15E9F">
        <w:rPr>
          <w:color w:val="000000" w:themeColor="text1"/>
        </w:rPr>
        <w:t>2</w:t>
      </w:r>
      <w:r w:rsidRPr="00342A54">
        <w:rPr>
          <w:color w:val="000000" w:themeColor="text1"/>
        </w:rPr>
        <w:t xml:space="preserve"> </w:t>
      </w:r>
      <w:r w:rsidR="005C3CF4">
        <w:rPr>
          <w:color w:val="000000" w:themeColor="text1"/>
        </w:rPr>
        <w:t xml:space="preserve"> Динамика</w:t>
      </w:r>
      <w:proofErr w:type="gramEnd"/>
      <w:r w:rsidR="005C3CF4">
        <w:rPr>
          <w:color w:val="000000" w:themeColor="text1"/>
        </w:rPr>
        <w:t xml:space="preserve"> </w:t>
      </w:r>
      <w:r w:rsidR="00A359C9">
        <w:rPr>
          <w:color w:val="000000" w:themeColor="text1"/>
        </w:rPr>
        <w:t xml:space="preserve">показателя  субъективного восприятия </w:t>
      </w:r>
      <w:r w:rsidR="003E5E45">
        <w:rPr>
          <w:color w:val="000000" w:themeColor="text1"/>
        </w:rPr>
        <w:t>стабильности цен</w:t>
      </w:r>
    </w:p>
    <w:p w:rsidR="00A359C9" w:rsidRDefault="00A359C9" w:rsidP="00B25C7D"/>
    <w:p w:rsidR="00A359C9" w:rsidRPr="00C546B3" w:rsidRDefault="00C546B3" w:rsidP="00B25C7D">
      <w:pPr>
        <w:jc w:val="center"/>
        <w:rPr>
          <w:color w:val="000000" w:themeColor="text1"/>
        </w:rPr>
      </w:pPr>
      <w:r w:rsidRPr="00C546B3">
        <w:rPr>
          <w:color w:val="000000" w:themeColor="text1"/>
        </w:rPr>
        <w:drawing>
          <wp:inline distT="0" distB="0" distL="0" distR="0" wp14:anchorId="35D041CD" wp14:editId="6FB768A4">
            <wp:extent cx="4734962" cy="1891939"/>
            <wp:effectExtent l="0" t="0" r="254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755858" cy="1900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59C9" w:rsidRDefault="00A359C9" w:rsidP="00B25C7D">
      <w:pPr>
        <w:jc w:val="center"/>
        <w:rPr>
          <w:color w:val="000000" w:themeColor="text1"/>
        </w:rPr>
      </w:pPr>
      <w:r w:rsidRPr="00342A54">
        <w:rPr>
          <w:color w:val="000000" w:themeColor="text1"/>
        </w:rPr>
        <w:t xml:space="preserve">Рис. </w:t>
      </w:r>
      <w:proofErr w:type="gramStart"/>
      <w:r w:rsidR="00B15E9F">
        <w:rPr>
          <w:color w:val="000000" w:themeColor="text1"/>
        </w:rPr>
        <w:t>3</w:t>
      </w:r>
      <w:r w:rsidRPr="00342A54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 Динамика</w:t>
      </w:r>
      <w:proofErr w:type="gramEnd"/>
      <w:r>
        <w:rPr>
          <w:color w:val="000000" w:themeColor="text1"/>
        </w:rPr>
        <w:t xml:space="preserve"> показателя  субъективного восприятия </w:t>
      </w:r>
      <w:r w:rsidR="00C546B3">
        <w:rPr>
          <w:color w:val="000000" w:themeColor="text1"/>
        </w:rPr>
        <w:t>роста</w:t>
      </w:r>
      <w:r>
        <w:rPr>
          <w:color w:val="000000" w:themeColor="text1"/>
        </w:rPr>
        <w:t xml:space="preserve"> цен</w:t>
      </w:r>
    </w:p>
    <w:p w:rsidR="00A359C9" w:rsidRPr="00607E69" w:rsidRDefault="00A359C9" w:rsidP="00B25C7D">
      <w:pPr>
        <w:rPr>
          <w:color w:val="000000" w:themeColor="text1"/>
        </w:rPr>
      </w:pPr>
    </w:p>
    <w:p w:rsidR="00FE535A" w:rsidRDefault="00FE535A" w:rsidP="00FD287A">
      <w:pPr>
        <w:ind w:firstLine="708"/>
        <w:jc w:val="both"/>
      </w:pPr>
      <w:r>
        <w:t>О</w:t>
      </w:r>
      <w:r w:rsidR="009D089A">
        <w:t>тмети</w:t>
      </w:r>
      <w:r>
        <w:t xml:space="preserve">м, </w:t>
      </w:r>
      <w:proofErr w:type="gramStart"/>
      <w:r w:rsidR="009D089A">
        <w:t>что  процент</w:t>
      </w:r>
      <w:proofErr w:type="gramEnd"/>
      <w:r w:rsidR="009D089A">
        <w:t xml:space="preserve"> респондентов, оценивающих рост цен как незначительный имее</w:t>
      </w:r>
      <w:r w:rsidR="009C1BC7">
        <w:t xml:space="preserve">т </w:t>
      </w:r>
      <w:r w:rsidR="009D089A">
        <w:t xml:space="preserve"> тенденцию к уменьшению</w:t>
      </w:r>
      <w:r w:rsidR="009C1BC7">
        <w:t xml:space="preserve">, однако, </w:t>
      </w:r>
      <w:r w:rsidR="00D215B7">
        <w:t xml:space="preserve">такая </w:t>
      </w:r>
      <w:r w:rsidR="009C1BC7">
        <w:t xml:space="preserve"> тенденция сфо</w:t>
      </w:r>
      <w:r w:rsidR="004916C0">
        <w:t>р</w:t>
      </w:r>
      <w:r w:rsidR="009C1BC7">
        <w:t>мировалась в 2020 году и особенно остро проявилась в 2021 году,   в 2022 году показатель стабилизировался.</w:t>
      </w:r>
    </w:p>
    <w:p w:rsidR="009D089A" w:rsidRDefault="00FE535A" w:rsidP="00FD287A">
      <w:pPr>
        <w:jc w:val="both"/>
      </w:pPr>
      <w:r>
        <w:t xml:space="preserve">Процент респондентов, отмечающих существенный рост </w:t>
      </w:r>
      <w:proofErr w:type="gramStart"/>
      <w:r>
        <w:t>цен</w:t>
      </w:r>
      <w:r w:rsidR="006D6E1C">
        <w:t xml:space="preserve">, </w:t>
      </w:r>
      <w:r w:rsidR="009C1BC7">
        <w:t xml:space="preserve"> </w:t>
      </w:r>
      <w:r>
        <w:t xml:space="preserve"> </w:t>
      </w:r>
      <w:proofErr w:type="gramEnd"/>
      <w:r>
        <w:t xml:space="preserve"> имеет тенденцию к увеличения начиная с 2021 года, в 2022 году значение показателя также стабилизировалось.</w:t>
      </w:r>
    </w:p>
    <w:p w:rsidR="00FD287A" w:rsidRPr="00FD287A" w:rsidRDefault="00FD287A" w:rsidP="00FD287A">
      <w:pPr>
        <w:tabs>
          <w:tab w:val="left" w:pos="458"/>
        </w:tabs>
        <w:jc w:val="both"/>
      </w:pPr>
      <w:r>
        <w:tab/>
        <w:t xml:space="preserve">На рисунке </w:t>
      </w:r>
      <w:proofErr w:type="gramStart"/>
      <w:r>
        <w:t>4  отражена</w:t>
      </w:r>
      <w:proofErr w:type="gramEnd"/>
      <w:r>
        <w:t xml:space="preserve"> модель динамики показателя субъективного восприятия стабильности цен, где график отображает результаты моделирования, а точки соответствуют фактическим значениям процента респондентов, считающих повышение цен незначительным. </w:t>
      </w:r>
    </w:p>
    <w:p w:rsidR="00AF025D" w:rsidRDefault="00E16462" w:rsidP="00FD287A">
      <w:pPr>
        <w:pStyle w:val="a6"/>
        <w:tabs>
          <w:tab w:val="left" w:pos="458"/>
        </w:tabs>
        <w:jc w:val="center"/>
      </w:pPr>
      <w:r w:rsidRPr="00E16462">
        <w:drawing>
          <wp:inline distT="0" distB="0" distL="0" distR="0" wp14:anchorId="49497717" wp14:editId="6D3E6A69">
            <wp:extent cx="3476873" cy="2317914"/>
            <wp:effectExtent l="0" t="0" r="317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511347" cy="23408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7CCB" w:rsidRDefault="00AF025D" w:rsidP="00B25C7D">
      <w:pPr>
        <w:pStyle w:val="a6"/>
        <w:tabs>
          <w:tab w:val="left" w:pos="458"/>
        </w:tabs>
        <w:jc w:val="both"/>
      </w:pPr>
      <w:r>
        <w:t>Рис. 4. Модель динамики показателя субъективного восприятия стабильности цен</w:t>
      </w:r>
    </w:p>
    <w:p w:rsidR="008324B9" w:rsidRDefault="00190252" w:rsidP="00B25C7D">
      <w:pPr>
        <w:pStyle w:val="a6"/>
        <w:tabs>
          <w:tab w:val="left" w:pos="458"/>
        </w:tabs>
        <w:jc w:val="both"/>
      </w:pPr>
      <w:r>
        <w:t xml:space="preserve">Исходя из </w:t>
      </w:r>
      <w:proofErr w:type="gramStart"/>
      <w:r>
        <w:t xml:space="preserve">анализа </w:t>
      </w:r>
      <w:r w:rsidR="00FD287A">
        <w:t xml:space="preserve"> полученн</w:t>
      </w:r>
      <w:r>
        <w:t>ых</w:t>
      </w:r>
      <w:proofErr w:type="gramEnd"/>
      <w:r w:rsidR="00FD287A">
        <w:t xml:space="preserve"> </w:t>
      </w:r>
      <w:r>
        <w:t xml:space="preserve">модельных значений </w:t>
      </w:r>
      <w:r w:rsidR="00FD287A">
        <w:t>процент респондентов, считающих цены относительно стабильными,  будет уменьшаться</w:t>
      </w:r>
      <w:r w:rsidR="008324B9">
        <w:t>.</w:t>
      </w:r>
    </w:p>
    <w:p w:rsidR="008324B9" w:rsidRDefault="008324B9" w:rsidP="00B25C7D">
      <w:pPr>
        <w:pStyle w:val="a6"/>
        <w:tabs>
          <w:tab w:val="left" w:pos="458"/>
        </w:tabs>
        <w:jc w:val="both"/>
      </w:pPr>
      <w:r>
        <w:t xml:space="preserve">На рисунке 5 представлена модель прогнозов </w:t>
      </w:r>
      <w:r w:rsidR="00214639">
        <w:t xml:space="preserve">агентов о </w:t>
      </w:r>
      <w:r>
        <w:t>динамик</w:t>
      </w:r>
      <w:r w:rsidR="00214639">
        <w:t>е</w:t>
      </w:r>
      <w:r>
        <w:t xml:space="preserve"> цен на товары и услуги</w:t>
      </w:r>
      <w:r w:rsidR="00214639">
        <w:t>.</w:t>
      </w:r>
    </w:p>
    <w:p w:rsidR="00AA2B28" w:rsidRDefault="00FE52DA" w:rsidP="00B25C7D">
      <w:pPr>
        <w:tabs>
          <w:tab w:val="left" w:pos="458"/>
        </w:tabs>
        <w:jc w:val="center"/>
      </w:pPr>
      <w:r w:rsidRPr="00FE52DA">
        <w:lastRenderedPageBreak/>
        <w:drawing>
          <wp:inline distT="0" distB="0" distL="0" distR="0" wp14:anchorId="4161AF38" wp14:editId="1FC7B406">
            <wp:extent cx="3848901" cy="2525751"/>
            <wp:effectExtent l="0" t="0" r="0" b="190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925523" cy="25760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60C8" w:rsidRDefault="00BE60C8" w:rsidP="00B25C7D">
      <w:pPr>
        <w:tabs>
          <w:tab w:val="left" w:pos="458"/>
        </w:tabs>
        <w:jc w:val="center"/>
      </w:pPr>
      <w:r>
        <w:t xml:space="preserve">Рис. </w:t>
      </w:r>
      <w:r w:rsidR="00214639">
        <w:t xml:space="preserve">5. </w:t>
      </w:r>
      <w:proofErr w:type="gramStart"/>
      <w:r>
        <w:t>Моделирование  прогноза</w:t>
      </w:r>
      <w:proofErr w:type="gramEnd"/>
      <w:r>
        <w:t xml:space="preserve"> цен на </w:t>
      </w:r>
      <w:r w:rsidR="008324B9">
        <w:t xml:space="preserve">товары </w:t>
      </w:r>
      <w:r w:rsidR="003A3944">
        <w:t>и услуги</w:t>
      </w:r>
    </w:p>
    <w:p w:rsidR="008324B9" w:rsidRDefault="008324B9" w:rsidP="00B25C7D">
      <w:pPr>
        <w:tabs>
          <w:tab w:val="left" w:pos="458"/>
        </w:tabs>
        <w:jc w:val="center"/>
      </w:pPr>
    </w:p>
    <w:p w:rsidR="00214639" w:rsidRDefault="00DF6F2A" w:rsidP="00214639">
      <w:pPr>
        <w:tabs>
          <w:tab w:val="left" w:pos="458"/>
        </w:tabs>
        <w:jc w:val="both"/>
      </w:pPr>
      <w:r>
        <w:tab/>
      </w:r>
      <w:r w:rsidR="00214639">
        <w:t xml:space="preserve">На основе </w:t>
      </w:r>
      <w:r w:rsidR="00190252">
        <w:t xml:space="preserve">полученных </w:t>
      </w:r>
      <w:proofErr w:type="gramStart"/>
      <w:r w:rsidR="00190252">
        <w:t xml:space="preserve">результатов </w:t>
      </w:r>
      <w:r w:rsidR="00214639">
        <w:t xml:space="preserve"> модели</w:t>
      </w:r>
      <w:r w:rsidR="00190252">
        <w:t>рования</w:t>
      </w:r>
      <w:proofErr w:type="gramEnd"/>
      <w:r w:rsidR="00214639">
        <w:t xml:space="preserve"> делаем вывод, что несмотря на пессимистичную оценку текущей ситуации с ценами</w:t>
      </w:r>
      <w:r w:rsidR="004916C0">
        <w:t xml:space="preserve">, </w:t>
      </w:r>
      <w:r w:rsidR="00214639">
        <w:t xml:space="preserve"> прогноз является оптимистичным – процент респондентов, считающих рост цен незначительным будет увеличиваться. </w:t>
      </w:r>
    </w:p>
    <w:p w:rsidR="00DB50F4" w:rsidRDefault="00DF6F2A" w:rsidP="00DF6F2A">
      <w:pPr>
        <w:tabs>
          <w:tab w:val="left" w:pos="458"/>
        </w:tabs>
        <w:jc w:val="both"/>
      </w:pPr>
      <w:r>
        <w:t xml:space="preserve">На рисунке </w:t>
      </w:r>
      <w:proofErr w:type="gramStart"/>
      <w:r>
        <w:t>6  представлены</w:t>
      </w:r>
      <w:proofErr w:type="gramEnd"/>
      <w:r>
        <w:t xml:space="preserve"> результаты моделирования среднего располагаемого дохода на душу населения.  Спад показателя располагаемого дохода относится к 2021 году, а в 2022 году стоит отметить рост модельного значения показателя. </w:t>
      </w:r>
    </w:p>
    <w:p w:rsidR="00DB50F4" w:rsidRDefault="00DB50F4" w:rsidP="00B25C7D"/>
    <w:p w:rsidR="00DB50F4" w:rsidRPr="00DB50F4" w:rsidRDefault="00DB50F4" w:rsidP="00B25C7D">
      <w:pPr>
        <w:tabs>
          <w:tab w:val="left" w:pos="458"/>
        </w:tabs>
        <w:jc w:val="center"/>
      </w:pPr>
      <w:r w:rsidRPr="00DB50F4">
        <w:drawing>
          <wp:inline distT="0" distB="0" distL="0" distR="0" wp14:anchorId="75910863" wp14:editId="4E535013">
            <wp:extent cx="4483534" cy="1661723"/>
            <wp:effectExtent l="0" t="0" r="0" b="254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499696" cy="16677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A70C8" w:rsidRDefault="003A70C8" w:rsidP="003A70C8">
      <w:pPr>
        <w:tabs>
          <w:tab w:val="left" w:pos="458"/>
        </w:tabs>
        <w:jc w:val="center"/>
      </w:pPr>
      <w:r>
        <w:t xml:space="preserve">Рис. 6. </w:t>
      </w:r>
      <w:r w:rsidR="00F57C9B">
        <w:t>Моделирование среднего располагаемого дохода на душу населения</w:t>
      </w:r>
    </w:p>
    <w:p w:rsidR="00DF6F2A" w:rsidRDefault="00DF6F2A" w:rsidP="00DF6F2A">
      <w:pPr>
        <w:tabs>
          <w:tab w:val="left" w:pos="458"/>
        </w:tabs>
        <w:jc w:val="both"/>
      </w:pPr>
      <w:r>
        <w:t xml:space="preserve">Вертикальными прямыми на рисунке  6 </w:t>
      </w:r>
      <w:r w:rsidR="0066519A">
        <w:t xml:space="preserve">отмечены </w:t>
      </w:r>
      <w:bookmarkStart w:id="0" w:name="_GoBack"/>
      <w:bookmarkEnd w:id="0"/>
      <w:r>
        <w:t xml:space="preserve"> периоды изменения тенденции в динамике </w:t>
      </w:r>
      <w:r w:rsidR="004916C0">
        <w:t xml:space="preserve">моделируемого </w:t>
      </w:r>
      <w:r>
        <w:t xml:space="preserve">показателя, обращаем внимание, что </w:t>
      </w:r>
      <w:proofErr w:type="spellStart"/>
      <w:r>
        <w:t>постпандемический</w:t>
      </w:r>
      <w:proofErr w:type="spellEnd"/>
      <w:r>
        <w:t xml:space="preserve"> кризис  и текущая геополитическая ситуация  существенно не изменяют общую тенденцию динамики показателя среднего располагаемого дохода. </w:t>
      </w:r>
    </w:p>
    <w:p w:rsidR="00DF6F2A" w:rsidRDefault="00DF6F2A" w:rsidP="00DF6F2A">
      <w:pPr>
        <w:tabs>
          <w:tab w:val="left" w:pos="458"/>
        </w:tabs>
        <w:jc w:val="both"/>
      </w:pPr>
      <w:r>
        <w:t>Таким образом, проведенное исследование позволило нам сделать следующие выводы:</w:t>
      </w:r>
    </w:p>
    <w:p w:rsidR="00DF6F2A" w:rsidRDefault="00DF6F2A" w:rsidP="00DF6F2A">
      <w:pPr>
        <w:pStyle w:val="a6"/>
        <w:numPr>
          <w:ilvl w:val="0"/>
          <w:numId w:val="10"/>
        </w:numPr>
        <w:tabs>
          <w:tab w:val="left" w:pos="458"/>
        </w:tabs>
        <w:jc w:val="both"/>
      </w:pPr>
      <w:r>
        <w:t xml:space="preserve">Оценку текущей экономической ситуации в целом можно назвать оптимистичной – несмотря на отмечаемый </w:t>
      </w:r>
      <w:proofErr w:type="gramStart"/>
      <w:r>
        <w:t>респондентами  рост</w:t>
      </w:r>
      <w:proofErr w:type="gramEnd"/>
      <w:r>
        <w:t xml:space="preserve"> цен в перспективе </w:t>
      </w:r>
      <w:r w:rsidR="00AA3A9E">
        <w:t>ожидается их стабилизация</w:t>
      </w:r>
      <w:r w:rsidR="003B13BC">
        <w:t>.</w:t>
      </w:r>
    </w:p>
    <w:p w:rsidR="00AA3A9E" w:rsidRDefault="00AA3A9E" w:rsidP="00DF6F2A">
      <w:pPr>
        <w:pStyle w:val="a6"/>
        <w:numPr>
          <w:ilvl w:val="0"/>
          <w:numId w:val="10"/>
        </w:numPr>
        <w:tabs>
          <w:tab w:val="left" w:pos="458"/>
        </w:tabs>
        <w:jc w:val="both"/>
      </w:pPr>
      <w:r>
        <w:t xml:space="preserve">Отрицательные </w:t>
      </w:r>
      <w:proofErr w:type="gramStart"/>
      <w:r>
        <w:t xml:space="preserve">тенденции </w:t>
      </w:r>
      <w:r w:rsidRPr="00AA3A9E">
        <w:t xml:space="preserve"> </w:t>
      </w:r>
      <w:r>
        <w:t>в</w:t>
      </w:r>
      <w:proofErr w:type="gramEnd"/>
      <w:r>
        <w:t xml:space="preserve"> динамике показателей субъективных настроений наметились в 2021 году, в 2022 году можно констатировать некоторую стабилизацию ситуации</w:t>
      </w:r>
      <w:r w:rsidR="003B13BC">
        <w:t>.</w:t>
      </w:r>
    </w:p>
    <w:p w:rsidR="00AA3A9E" w:rsidRDefault="00AA3A9E" w:rsidP="00DF6F2A">
      <w:pPr>
        <w:pStyle w:val="a6"/>
        <w:numPr>
          <w:ilvl w:val="0"/>
          <w:numId w:val="10"/>
        </w:numPr>
        <w:tabs>
          <w:tab w:val="left" w:pos="458"/>
        </w:tabs>
        <w:jc w:val="both"/>
      </w:pPr>
      <w:r>
        <w:t xml:space="preserve">Ни для одного из анализируемых </w:t>
      </w:r>
      <w:proofErr w:type="gramStart"/>
      <w:r>
        <w:t>показателей  текущий</w:t>
      </w:r>
      <w:proofErr w:type="gramEnd"/>
      <w:r>
        <w:t xml:space="preserve"> период </w:t>
      </w:r>
      <w:r w:rsidR="004916C0">
        <w:t>2022 года</w:t>
      </w:r>
      <w:r w:rsidR="003B13BC">
        <w:t xml:space="preserve"> </w:t>
      </w:r>
      <w:r>
        <w:t xml:space="preserve"> не стал точкой изменения общей тенденции</w:t>
      </w:r>
      <w:r w:rsidR="003B13BC">
        <w:t>.</w:t>
      </w:r>
    </w:p>
    <w:p w:rsidR="003B13BC" w:rsidRDefault="003B13BC" w:rsidP="00DF6F2A">
      <w:pPr>
        <w:pStyle w:val="a6"/>
        <w:numPr>
          <w:ilvl w:val="0"/>
          <w:numId w:val="10"/>
        </w:numPr>
        <w:tabs>
          <w:tab w:val="left" w:pos="458"/>
        </w:tabs>
        <w:jc w:val="both"/>
      </w:pPr>
      <w:r>
        <w:t xml:space="preserve">Наблюдается отрицательная </w:t>
      </w:r>
      <w:r w:rsidR="004916C0">
        <w:t xml:space="preserve">динамика для </w:t>
      </w:r>
      <w:r>
        <w:t>прогноз</w:t>
      </w:r>
      <w:r w:rsidR="004916C0">
        <w:t>ируемых</w:t>
      </w:r>
      <w:r>
        <w:t xml:space="preserve"> показател</w:t>
      </w:r>
      <w:r w:rsidR="004916C0">
        <w:t>ей</w:t>
      </w:r>
      <w:r>
        <w:t xml:space="preserve"> индекса ожидания и перспектив развития страны</w:t>
      </w:r>
      <w:r w:rsidR="00AA2254">
        <w:t xml:space="preserve">, однако, на текущий момент ситуация </w:t>
      </w:r>
      <w:r w:rsidR="00E2638A">
        <w:t xml:space="preserve">оценивается как оптимистичная – значения </w:t>
      </w:r>
      <w:r w:rsidR="004916C0">
        <w:t xml:space="preserve">указанных индикаторов </w:t>
      </w:r>
      <w:r w:rsidR="00E2638A">
        <w:t xml:space="preserve">более 100. </w:t>
      </w:r>
    </w:p>
    <w:p w:rsidR="00DF6F2A" w:rsidRDefault="00DF6F2A" w:rsidP="003A70C8">
      <w:pPr>
        <w:tabs>
          <w:tab w:val="left" w:pos="458"/>
        </w:tabs>
        <w:jc w:val="center"/>
      </w:pPr>
    </w:p>
    <w:p w:rsidR="00B573B7" w:rsidRDefault="00B573B7" w:rsidP="00B25C7D">
      <w:pPr>
        <w:tabs>
          <w:tab w:val="left" w:pos="458"/>
        </w:tabs>
        <w:jc w:val="center"/>
      </w:pPr>
    </w:p>
    <w:p w:rsidR="00B573B7" w:rsidRPr="00651BAF" w:rsidRDefault="00B573B7" w:rsidP="00B573B7">
      <w:pPr>
        <w:jc w:val="both"/>
      </w:pPr>
      <w:r w:rsidRPr="00651BAF">
        <w:lastRenderedPageBreak/>
        <w:t xml:space="preserve">Исследование выполнено в рамках базовой части </w:t>
      </w:r>
      <w:r>
        <w:t>г</w:t>
      </w:r>
      <w:r w:rsidRPr="00651BAF">
        <w:t xml:space="preserve">осударственного задания </w:t>
      </w:r>
      <w:proofErr w:type="spellStart"/>
      <w:r w:rsidRPr="00651BAF">
        <w:t>Минобрнауки</w:t>
      </w:r>
      <w:proofErr w:type="spellEnd"/>
      <w:r w:rsidRPr="00651BAF">
        <w:t xml:space="preserve"> РФ, проект 0729-2020-0056 «Современные методы и модели диагностики, мониторинга, предупреждения и преодоления кризисных явлений в экономике в условиях </w:t>
      </w:r>
      <w:proofErr w:type="spellStart"/>
      <w:r w:rsidRPr="00651BAF">
        <w:t>цифровизации</w:t>
      </w:r>
      <w:proofErr w:type="spellEnd"/>
      <w:r w:rsidRPr="00651BAF">
        <w:t xml:space="preserve"> как способ обеспечения экономической безопасности Российской Федерации»</w:t>
      </w:r>
    </w:p>
    <w:p w:rsidR="00AA11ED" w:rsidRDefault="00AA11ED" w:rsidP="00B25C7D">
      <w:pPr>
        <w:tabs>
          <w:tab w:val="left" w:pos="458"/>
        </w:tabs>
        <w:jc w:val="center"/>
      </w:pPr>
    </w:p>
    <w:p w:rsidR="00605379" w:rsidRDefault="00AA11ED" w:rsidP="00B25C7D">
      <w:pPr>
        <w:tabs>
          <w:tab w:val="left" w:pos="458"/>
        </w:tabs>
        <w:jc w:val="center"/>
      </w:pPr>
      <w:r>
        <w:t>Библиографический список</w:t>
      </w:r>
    </w:p>
    <w:p w:rsidR="000E194B" w:rsidRPr="00F044B5" w:rsidRDefault="000E194B" w:rsidP="00B25C7D">
      <w:pPr>
        <w:pStyle w:val="a7"/>
        <w:numPr>
          <w:ilvl w:val="0"/>
          <w:numId w:val="7"/>
        </w:numPr>
        <w:spacing w:before="0" w:beforeAutospacing="0" w:after="0" w:afterAutospacing="0"/>
        <w:ind w:left="714" w:hanging="357"/>
        <w:jc w:val="both"/>
        <w:rPr>
          <w:iCs/>
          <w:color w:val="000000" w:themeColor="text1"/>
        </w:rPr>
      </w:pPr>
      <w:proofErr w:type="spellStart"/>
      <w:r w:rsidRPr="00F044B5">
        <w:rPr>
          <w:iCs/>
          <w:color w:val="000000" w:themeColor="text1"/>
        </w:rPr>
        <w:t>Вымятнина</w:t>
      </w:r>
      <w:proofErr w:type="spellEnd"/>
      <w:r w:rsidRPr="00F044B5">
        <w:rPr>
          <w:iCs/>
          <w:color w:val="000000" w:themeColor="text1"/>
        </w:rPr>
        <w:t xml:space="preserve"> Ю.В., Полякова Е.В.</w:t>
      </w:r>
      <w:r w:rsidR="000B56E0">
        <w:rPr>
          <w:iCs/>
          <w:color w:val="000000" w:themeColor="text1"/>
        </w:rPr>
        <w:t xml:space="preserve"> </w:t>
      </w:r>
      <w:r w:rsidRPr="00F044B5">
        <w:rPr>
          <w:iCs/>
          <w:color w:val="000000" w:themeColor="text1"/>
        </w:rPr>
        <w:t>Эволюция подходов к моделированию инфляционных ожиданий//Финансы и бизнес, 2021. Т. 17. </w:t>
      </w:r>
      <w:hyperlink r:id="rId18" w:history="1">
        <w:r w:rsidRPr="00F044B5">
          <w:rPr>
            <w:iCs/>
            <w:color w:val="000000" w:themeColor="text1"/>
          </w:rPr>
          <w:t>№ 1</w:t>
        </w:r>
      </w:hyperlink>
      <w:r w:rsidRPr="00F044B5">
        <w:rPr>
          <w:iCs/>
          <w:color w:val="000000" w:themeColor="text1"/>
        </w:rPr>
        <w:t>. С. 29-51.</w:t>
      </w:r>
    </w:p>
    <w:p w:rsidR="000E194B" w:rsidRPr="00F044B5" w:rsidRDefault="000E194B" w:rsidP="00B25C7D">
      <w:pPr>
        <w:pStyle w:val="a7"/>
        <w:numPr>
          <w:ilvl w:val="0"/>
          <w:numId w:val="7"/>
        </w:numPr>
        <w:spacing w:before="0" w:beforeAutospacing="0" w:after="0" w:afterAutospacing="0"/>
        <w:ind w:left="714" w:hanging="357"/>
        <w:jc w:val="both"/>
        <w:rPr>
          <w:iCs/>
          <w:color w:val="000000" w:themeColor="text1"/>
        </w:rPr>
      </w:pPr>
      <w:r w:rsidRPr="00F044B5">
        <w:rPr>
          <w:iCs/>
        </w:rPr>
        <w:t>Ермоленко О.М., Попов М.С., Кареева Ю.В., Габриелян Г.Л. Анализ инфляционных ожиданий юридических и физических лиц как фактор развития инфляции. Экономика устойчивого развития. 2020. </w:t>
      </w:r>
      <w:hyperlink r:id="rId19" w:history="1">
        <w:r w:rsidRPr="00F044B5">
          <w:rPr>
            <w:iCs/>
          </w:rPr>
          <w:t>№ 3 (43)</w:t>
        </w:r>
      </w:hyperlink>
      <w:r w:rsidRPr="00F044B5">
        <w:rPr>
          <w:iCs/>
        </w:rPr>
        <w:t>. С. 132-</w:t>
      </w:r>
      <w:r w:rsidRPr="00F044B5">
        <w:rPr>
          <w:iCs/>
          <w:color w:val="000000" w:themeColor="text1"/>
        </w:rPr>
        <w:t>138.</w:t>
      </w:r>
    </w:p>
    <w:p w:rsidR="000E194B" w:rsidRPr="000E194B" w:rsidRDefault="000E194B" w:rsidP="00B25C7D">
      <w:pPr>
        <w:pStyle w:val="a6"/>
        <w:numPr>
          <w:ilvl w:val="0"/>
          <w:numId w:val="7"/>
        </w:numPr>
        <w:ind w:left="714" w:hanging="357"/>
        <w:jc w:val="both"/>
        <w:rPr>
          <w:color w:val="000000" w:themeColor="text1"/>
          <w:lang w:val="en-US"/>
        </w:rPr>
      </w:pPr>
      <w:r w:rsidRPr="000E194B">
        <w:rPr>
          <w:color w:val="000000" w:themeColor="text1"/>
        </w:rPr>
        <w:t xml:space="preserve">Карлова Н.А., </w:t>
      </w:r>
      <w:proofErr w:type="spellStart"/>
      <w:r w:rsidRPr="000E194B">
        <w:rPr>
          <w:color w:val="000000" w:themeColor="text1"/>
        </w:rPr>
        <w:t>Пузанова</w:t>
      </w:r>
      <w:proofErr w:type="spellEnd"/>
      <w:r w:rsidRPr="000E194B">
        <w:rPr>
          <w:color w:val="000000" w:themeColor="text1"/>
        </w:rPr>
        <w:t xml:space="preserve"> Е.В., Богачева И.В., Морозов А.Г.  Как формируются инфляционные ожидания предприятий: результаты опроса//</w:t>
      </w:r>
      <w:r w:rsidR="000B56E0">
        <w:rPr>
          <w:color w:val="000000" w:themeColor="text1"/>
        </w:rPr>
        <w:t xml:space="preserve"> </w:t>
      </w:r>
      <w:r w:rsidRPr="000E194B">
        <w:rPr>
          <w:color w:val="000000" w:themeColor="text1"/>
        </w:rPr>
        <w:t xml:space="preserve">Проблемы </w:t>
      </w:r>
      <w:proofErr w:type="gramStart"/>
      <w:r w:rsidRPr="000E194B">
        <w:rPr>
          <w:color w:val="000000" w:themeColor="text1"/>
        </w:rPr>
        <w:t>прогнозирования,  2020</w:t>
      </w:r>
      <w:proofErr w:type="gramEnd"/>
      <w:r w:rsidRPr="000E194B">
        <w:rPr>
          <w:color w:val="000000" w:themeColor="text1"/>
        </w:rPr>
        <w:t xml:space="preserve">,  №5 (182). </w:t>
      </w:r>
      <w:r w:rsidRPr="000E194B">
        <w:rPr>
          <w:color w:val="000000" w:themeColor="text1"/>
          <w:lang w:val="en-US"/>
        </w:rPr>
        <w:t>URL: https://cyberleninka.ru/article/n/kak-formiruyutsya-inflyatsionnye-ozhidaniya-predpriyatiy-rezultaty-oprosa (</w:t>
      </w:r>
    </w:p>
    <w:p w:rsidR="000E194B" w:rsidRPr="00F044B5" w:rsidRDefault="000E194B" w:rsidP="00B25C7D">
      <w:pPr>
        <w:pStyle w:val="a7"/>
        <w:numPr>
          <w:ilvl w:val="0"/>
          <w:numId w:val="7"/>
        </w:numPr>
        <w:spacing w:before="0" w:beforeAutospacing="0" w:after="0" w:afterAutospacing="0"/>
        <w:ind w:left="714" w:hanging="357"/>
        <w:jc w:val="both"/>
        <w:rPr>
          <w:iCs/>
        </w:rPr>
      </w:pPr>
      <w:proofErr w:type="spellStart"/>
      <w:r w:rsidRPr="00F044B5">
        <w:rPr>
          <w:iCs/>
          <w:color w:val="000000" w:themeColor="text1"/>
        </w:rPr>
        <w:t>Саламова</w:t>
      </w:r>
      <w:proofErr w:type="spellEnd"/>
      <w:r w:rsidRPr="00F044B5">
        <w:rPr>
          <w:iCs/>
          <w:color w:val="000000" w:themeColor="text1"/>
        </w:rPr>
        <w:t xml:space="preserve"> М.Т. Формирование и оценка инфляционных ожиданий экономических агентов</w:t>
      </w:r>
      <w:r w:rsidRPr="00F044B5">
        <w:rPr>
          <w:iCs/>
        </w:rPr>
        <w:t>//Актуальные тенденции и инновации в развитии российской науки. Сборник научных статей. Научный редактор Л.Л. Буркова. Москва, 2019. С. 102-106.</w:t>
      </w:r>
    </w:p>
    <w:p w:rsidR="000E194B" w:rsidRDefault="000E194B" w:rsidP="00B25C7D">
      <w:pPr>
        <w:pStyle w:val="a7"/>
        <w:numPr>
          <w:ilvl w:val="0"/>
          <w:numId w:val="7"/>
        </w:numPr>
        <w:spacing w:before="0" w:beforeAutospacing="0" w:after="0" w:afterAutospacing="0"/>
        <w:ind w:left="714" w:hanging="357"/>
        <w:jc w:val="both"/>
        <w:rPr>
          <w:iCs/>
          <w:color w:val="000000" w:themeColor="text1"/>
        </w:rPr>
      </w:pPr>
      <w:proofErr w:type="spellStart"/>
      <w:r w:rsidRPr="00F044B5">
        <w:rPr>
          <w:iCs/>
          <w:color w:val="000000" w:themeColor="text1"/>
        </w:rPr>
        <w:t>Рахматулин</w:t>
      </w:r>
      <w:proofErr w:type="spellEnd"/>
      <w:r w:rsidRPr="00F044B5">
        <w:rPr>
          <w:iCs/>
          <w:color w:val="000000" w:themeColor="text1"/>
        </w:rPr>
        <w:t xml:space="preserve"> Р.Н.</w:t>
      </w:r>
      <w:r w:rsidR="000B56E0">
        <w:rPr>
          <w:iCs/>
          <w:color w:val="000000" w:themeColor="text1"/>
        </w:rPr>
        <w:t xml:space="preserve"> </w:t>
      </w:r>
      <w:r w:rsidRPr="00F044B5">
        <w:rPr>
          <w:iCs/>
          <w:color w:val="000000" w:themeColor="text1"/>
        </w:rPr>
        <w:t xml:space="preserve">Инфляционные ожидания в региональном анализе//Омские научные чтения - 2019. материалы Третьей Всероссийской научной </w:t>
      </w:r>
      <w:proofErr w:type="gramStart"/>
      <w:r w:rsidRPr="00F044B5">
        <w:rPr>
          <w:iCs/>
          <w:color w:val="000000" w:themeColor="text1"/>
        </w:rPr>
        <w:t>конференции,  2019</w:t>
      </w:r>
      <w:proofErr w:type="gramEnd"/>
      <w:r w:rsidRPr="00F044B5">
        <w:rPr>
          <w:iCs/>
          <w:color w:val="000000" w:themeColor="text1"/>
        </w:rPr>
        <w:t>. С. 181-184.</w:t>
      </w:r>
    </w:p>
    <w:p w:rsidR="00EA0900" w:rsidRDefault="00EA0900" w:rsidP="00B25C7D">
      <w:pPr>
        <w:pStyle w:val="a7"/>
        <w:numPr>
          <w:ilvl w:val="0"/>
          <w:numId w:val="7"/>
        </w:numPr>
        <w:spacing w:before="0" w:beforeAutospacing="0" w:after="0" w:afterAutospacing="0"/>
        <w:ind w:left="714" w:hanging="357"/>
        <w:jc w:val="both"/>
      </w:pPr>
      <w:proofErr w:type="spellStart"/>
      <w:r w:rsidRPr="00F044B5">
        <w:rPr>
          <w:iCs/>
        </w:rPr>
        <w:t>Балацкии</w:t>
      </w:r>
      <w:proofErr w:type="spellEnd"/>
      <w:r w:rsidRPr="00F044B5">
        <w:rPr>
          <w:iCs/>
        </w:rPr>
        <w:t>̆ Е. В., Юревич М. А</w:t>
      </w:r>
      <w:r w:rsidRPr="00F044B5">
        <w:t xml:space="preserve">. Измерение инфляционных ожиданий: традиционные и новаторские подходы // Вестник Санкт-Петербургского университета. Экономика. 2018. Т. 34. </w:t>
      </w:r>
      <w:proofErr w:type="spellStart"/>
      <w:r w:rsidRPr="00F044B5">
        <w:t>Вып</w:t>
      </w:r>
      <w:proofErr w:type="spellEnd"/>
      <w:r w:rsidRPr="00F044B5">
        <w:t xml:space="preserve">. 4. С. 534–552. </w:t>
      </w:r>
    </w:p>
    <w:p w:rsidR="00723D0F" w:rsidRDefault="00570CF9" w:rsidP="00B25C7D">
      <w:pPr>
        <w:pStyle w:val="a7"/>
        <w:numPr>
          <w:ilvl w:val="0"/>
          <w:numId w:val="7"/>
        </w:numPr>
        <w:spacing w:before="0" w:beforeAutospacing="0" w:after="0" w:afterAutospacing="0"/>
        <w:ind w:left="714" w:hanging="357"/>
        <w:jc w:val="both"/>
        <w:rPr>
          <w:iCs/>
        </w:rPr>
      </w:pPr>
      <w:r w:rsidRPr="00570CF9">
        <w:rPr>
          <w:iCs/>
        </w:rPr>
        <w:t>Граница, Ю. В. Методика оценка влияния инфляционных ожиданий и настроений экономических агентов на инвестиционный риск российских регионов / Ю. В. Граница // Россия: тенденции и перспективы развития : Ежегодник, Курск, 04–05 июня 2021 года. – Москва: Институт научной информации по общественным наукам РАН, 2021. – С. 983-989. –</w:t>
      </w:r>
    </w:p>
    <w:p w:rsidR="00EA0900" w:rsidRPr="00CF1612" w:rsidRDefault="00EA0900" w:rsidP="00B25C7D">
      <w:pPr>
        <w:pStyle w:val="a7"/>
        <w:spacing w:before="0" w:beforeAutospacing="0" w:after="0" w:afterAutospacing="0"/>
        <w:ind w:left="714"/>
        <w:jc w:val="both"/>
        <w:rPr>
          <w:iCs/>
        </w:rPr>
      </w:pPr>
    </w:p>
    <w:p w:rsidR="00C161F8" w:rsidRPr="00C161F8" w:rsidRDefault="00723D0F" w:rsidP="00C161F8">
      <w:pPr>
        <w:pStyle w:val="3"/>
        <w:keepNext w:val="0"/>
        <w:keepLines w:val="0"/>
        <w:widowControl w:val="0"/>
        <w:autoSpaceDE w:val="0"/>
        <w:autoSpaceDN w:val="0"/>
        <w:spacing w:before="0" w:line="274" w:lineRule="exact"/>
        <w:ind w:left="3682"/>
        <w:jc w:val="both"/>
        <w:rPr>
          <w:rFonts w:ascii="Times New Roman" w:eastAsia="Georgia" w:hAnsi="Times New Roman" w:cs="Georgia"/>
          <w:b/>
          <w:bCs/>
          <w:color w:val="auto"/>
          <w:lang w:eastAsia="en-US"/>
        </w:rPr>
      </w:pPr>
      <w:r w:rsidRPr="00C161F8">
        <w:rPr>
          <w:rFonts w:ascii="Times New Roman" w:eastAsia="Georgia" w:hAnsi="Times New Roman" w:cs="Georgia"/>
          <w:b/>
          <w:bCs/>
          <w:color w:val="auto"/>
          <w:lang w:eastAsia="en-US"/>
        </w:rPr>
        <w:t xml:space="preserve">Информация об авторе </w:t>
      </w:r>
    </w:p>
    <w:p w:rsidR="00723D0F" w:rsidRDefault="00723D0F" w:rsidP="00723D0F">
      <w:pPr>
        <w:pStyle w:val="ac"/>
        <w:ind w:left="118"/>
        <w:rPr>
          <w:rFonts w:ascii="Times New Roman" w:hAnsi="Times New Roman"/>
        </w:rPr>
      </w:pPr>
      <w:r>
        <w:rPr>
          <w:rFonts w:ascii="Times New Roman" w:hAnsi="Times New Roman"/>
        </w:rPr>
        <w:t>Граница Юлия Валентиновна</w:t>
      </w:r>
      <w:r>
        <w:rPr>
          <w:rFonts w:ascii="Times New Roman" w:hAnsi="Times New Roman"/>
          <w:spacing w:val="34"/>
        </w:rPr>
        <w:t xml:space="preserve"> </w:t>
      </w:r>
      <w:r>
        <w:rPr>
          <w:rFonts w:ascii="Times New Roman" w:hAnsi="Times New Roman"/>
        </w:rPr>
        <w:t>(Россия,</w:t>
      </w:r>
      <w:r>
        <w:rPr>
          <w:rFonts w:ascii="Times New Roman" w:hAnsi="Times New Roman"/>
          <w:spacing w:val="34"/>
        </w:rPr>
        <w:t xml:space="preserve"> </w:t>
      </w:r>
      <w:r>
        <w:rPr>
          <w:rFonts w:ascii="Times New Roman" w:hAnsi="Times New Roman"/>
        </w:rPr>
        <w:t>Нижний Новгород)</w:t>
      </w:r>
      <w:r>
        <w:rPr>
          <w:rFonts w:ascii="Times New Roman" w:hAnsi="Times New Roman"/>
          <w:spacing w:val="33"/>
        </w:rPr>
        <w:t xml:space="preserve"> </w:t>
      </w:r>
      <w:r>
        <w:rPr>
          <w:rFonts w:ascii="Times New Roman" w:hAnsi="Times New Roman"/>
        </w:rPr>
        <w:t>–</w:t>
      </w:r>
      <w:r>
        <w:rPr>
          <w:rFonts w:ascii="Times New Roman" w:hAnsi="Times New Roman"/>
          <w:spacing w:val="34"/>
        </w:rPr>
        <w:t xml:space="preserve"> </w:t>
      </w:r>
      <w:r>
        <w:rPr>
          <w:rFonts w:ascii="Times New Roman" w:hAnsi="Times New Roman"/>
        </w:rPr>
        <w:t>к.э.н.,</w:t>
      </w:r>
      <w:r>
        <w:rPr>
          <w:rFonts w:ascii="Times New Roman" w:hAnsi="Times New Roman"/>
          <w:spacing w:val="34"/>
        </w:rPr>
        <w:t xml:space="preserve"> </w:t>
      </w:r>
      <w:r>
        <w:rPr>
          <w:rFonts w:ascii="Times New Roman" w:hAnsi="Times New Roman"/>
        </w:rPr>
        <w:t>доцент,</w:t>
      </w:r>
      <w:r>
        <w:rPr>
          <w:rFonts w:ascii="Times New Roman" w:hAnsi="Times New Roman"/>
          <w:spacing w:val="33"/>
        </w:rPr>
        <w:t xml:space="preserve"> </w:t>
      </w:r>
      <w:r>
        <w:rPr>
          <w:rFonts w:ascii="Times New Roman" w:hAnsi="Times New Roman"/>
        </w:rPr>
        <w:t>ННГУ им. Н.И. Лобачевского (</w:t>
      </w:r>
      <w:r w:rsidRPr="00D243D6">
        <w:rPr>
          <w:rFonts w:ascii="Times New Roman" w:eastAsia="SimSun" w:hAnsi="Times New Roman" w:cs="Times New Roman"/>
        </w:rPr>
        <w:t>603022, Нижний Новгород, проспект Гагарина, 23</w:t>
      </w:r>
      <w:r>
        <w:rPr>
          <w:rFonts w:ascii="Times New Roman" w:hAnsi="Times New Roman"/>
        </w:rPr>
        <w:t>, y</w:t>
      </w:r>
      <w:proofErr w:type="spellStart"/>
      <w:r>
        <w:rPr>
          <w:rFonts w:ascii="Times New Roman" w:hAnsi="Times New Roman"/>
          <w:lang w:val="en-US"/>
        </w:rPr>
        <w:t>granica</w:t>
      </w:r>
      <w:proofErr w:type="spellEnd"/>
      <w:r w:rsidRPr="00095D14">
        <w:rPr>
          <w:rFonts w:ascii="Times New Roman" w:hAnsi="Times New Roman"/>
        </w:rPr>
        <w:t>@</w:t>
      </w:r>
      <w:proofErr w:type="spellStart"/>
      <w:r>
        <w:rPr>
          <w:rFonts w:ascii="Times New Roman" w:hAnsi="Times New Roman"/>
          <w:lang w:val="en-US"/>
        </w:rPr>
        <w:t>yandex</w:t>
      </w:r>
      <w:proofErr w:type="spellEnd"/>
      <w:r w:rsidRPr="00095D14">
        <w:rPr>
          <w:rFonts w:ascii="Times New Roman" w:hAnsi="Times New Roman"/>
        </w:rPr>
        <w:t>.</w:t>
      </w:r>
      <w:proofErr w:type="spellStart"/>
      <w:r>
        <w:rPr>
          <w:rFonts w:ascii="Times New Roman" w:hAnsi="Times New Roman"/>
          <w:lang w:val="en-US"/>
        </w:rPr>
        <w:t>ru</w:t>
      </w:r>
      <w:proofErr w:type="spellEnd"/>
      <w:r>
        <w:rPr>
          <w:rFonts w:ascii="Times New Roman" w:hAnsi="Times New Roman"/>
        </w:rPr>
        <w:t>)</w:t>
      </w:r>
    </w:p>
    <w:p w:rsidR="000E194B" w:rsidRDefault="000E194B" w:rsidP="00B25C7D">
      <w:pPr>
        <w:pStyle w:val="a6"/>
        <w:jc w:val="both"/>
        <w:rPr>
          <w:color w:val="000000" w:themeColor="text1"/>
        </w:rPr>
      </w:pPr>
    </w:p>
    <w:p w:rsidR="00C161F8" w:rsidRPr="00C161F8" w:rsidRDefault="00C161F8" w:rsidP="00C161F8">
      <w:pPr>
        <w:pStyle w:val="TableParagraph"/>
        <w:jc w:val="right"/>
        <w:rPr>
          <w:b/>
          <w:sz w:val="24"/>
          <w:szCs w:val="24"/>
          <w:lang w:val="en-US"/>
        </w:rPr>
      </w:pPr>
      <w:proofErr w:type="spellStart"/>
      <w:r w:rsidRPr="00C161F8">
        <w:rPr>
          <w:b/>
          <w:sz w:val="24"/>
          <w:szCs w:val="24"/>
          <w:lang w:val="en-US"/>
        </w:rPr>
        <w:t>Granitsa</w:t>
      </w:r>
      <w:proofErr w:type="spellEnd"/>
      <w:r>
        <w:rPr>
          <w:b/>
          <w:sz w:val="24"/>
          <w:szCs w:val="24"/>
          <w:lang w:val="en-US"/>
        </w:rPr>
        <w:t xml:space="preserve"> Y.V.</w:t>
      </w:r>
    </w:p>
    <w:p w:rsidR="00095D14" w:rsidRDefault="00095D14" w:rsidP="00095D14">
      <w:pPr>
        <w:pStyle w:val="TableParagraph"/>
        <w:jc w:val="center"/>
        <w:rPr>
          <w:b/>
          <w:sz w:val="24"/>
          <w:szCs w:val="24"/>
          <w:lang w:val="en-US"/>
        </w:rPr>
      </w:pPr>
      <w:r w:rsidRPr="00095D14">
        <w:rPr>
          <w:b/>
          <w:sz w:val="24"/>
          <w:szCs w:val="24"/>
          <w:lang w:val="en-US"/>
        </w:rPr>
        <w:t>METHODOLOGY FOR ASSESSING THE ASSESSMENT OF SANCTIONS PRESSURE ON INFLATIONARY EXPECTATIONS AND SENTIMENTS OF ECONOMIC AGENTS</w:t>
      </w:r>
    </w:p>
    <w:p w:rsidR="00095D14" w:rsidRDefault="00095D14" w:rsidP="00095D14">
      <w:pPr>
        <w:pStyle w:val="TableParagraph"/>
        <w:jc w:val="center"/>
        <w:rPr>
          <w:b/>
          <w:sz w:val="24"/>
          <w:szCs w:val="24"/>
          <w:lang w:val="en-US"/>
        </w:rPr>
      </w:pPr>
    </w:p>
    <w:p w:rsidR="00310291" w:rsidRPr="00310291" w:rsidRDefault="00095D14" w:rsidP="00310291">
      <w:pPr>
        <w:pStyle w:val="TableParagraph"/>
        <w:jc w:val="both"/>
        <w:rPr>
          <w:i/>
          <w:sz w:val="24"/>
          <w:szCs w:val="24"/>
          <w:lang w:val="en-US"/>
        </w:rPr>
      </w:pPr>
      <w:r w:rsidRPr="004C3AA5">
        <w:rPr>
          <w:b/>
          <w:i/>
          <w:sz w:val="24"/>
          <w:szCs w:val="24"/>
          <w:lang w:val="en-US"/>
        </w:rPr>
        <w:t>Abstract.</w:t>
      </w:r>
      <w:r w:rsidR="00310291" w:rsidRPr="00310291">
        <w:rPr>
          <w:b/>
          <w:i/>
          <w:sz w:val="24"/>
          <w:szCs w:val="24"/>
          <w:lang w:val="en-US"/>
        </w:rPr>
        <w:t xml:space="preserve"> </w:t>
      </w:r>
      <w:r w:rsidR="00310291" w:rsidRPr="00310291">
        <w:rPr>
          <w:i/>
          <w:sz w:val="24"/>
          <w:szCs w:val="24"/>
          <w:lang w:val="en-US"/>
        </w:rPr>
        <w:t xml:space="preserve">In the post-pandemic period, complicated by sanctions pressure, of particular interest is the development of models for the dynamic development of economic systems, which should </w:t>
      </w:r>
      <w:proofErr w:type="gramStart"/>
      <w:r w:rsidR="00310291" w:rsidRPr="00310291">
        <w:rPr>
          <w:i/>
          <w:sz w:val="24"/>
          <w:szCs w:val="24"/>
          <w:lang w:val="en-US"/>
        </w:rPr>
        <w:t>take into account</w:t>
      </w:r>
      <w:proofErr w:type="gramEnd"/>
      <w:r w:rsidR="00310291" w:rsidRPr="00310291">
        <w:rPr>
          <w:i/>
          <w:sz w:val="24"/>
          <w:szCs w:val="24"/>
          <w:lang w:val="en-US"/>
        </w:rPr>
        <w:t xml:space="preserve"> not only objective economic indicators, but also the subjective moods of agents. The study presents a methodology for analyzing a number of factors that characterize inflationary expectations and sentiments.</w:t>
      </w:r>
    </w:p>
    <w:p w:rsidR="00095D14" w:rsidRPr="00310291" w:rsidRDefault="00095D14" w:rsidP="00095D14">
      <w:pPr>
        <w:pStyle w:val="TableParagraph"/>
        <w:rPr>
          <w:b/>
          <w:i/>
          <w:sz w:val="24"/>
          <w:szCs w:val="24"/>
          <w:lang w:val="en-US"/>
        </w:rPr>
      </w:pPr>
    </w:p>
    <w:p w:rsidR="004C3AA5" w:rsidRPr="004C3AA5" w:rsidRDefault="004C3AA5" w:rsidP="004C3AA5">
      <w:pPr>
        <w:pStyle w:val="TableParagraph"/>
        <w:jc w:val="both"/>
        <w:rPr>
          <w:i/>
          <w:sz w:val="24"/>
          <w:szCs w:val="24"/>
          <w:lang w:val="en-US"/>
        </w:rPr>
      </w:pPr>
      <w:r>
        <w:rPr>
          <w:b/>
          <w:i/>
          <w:sz w:val="24"/>
          <w:szCs w:val="24"/>
          <w:lang w:val="en-US"/>
        </w:rPr>
        <w:t xml:space="preserve">Keywords: </w:t>
      </w:r>
      <w:r w:rsidRPr="004C3AA5">
        <w:rPr>
          <w:i/>
          <w:sz w:val="24"/>
          <w:szCs w:val="24"/>
          <w:lang w:val="en-US"/>
        </w:rPr>
        <w:t>Inflation expectations, subjective sentiments of economic agents, economic security, sanctions pressure, machine learning algorithm, Prophet library</w:t>
      </w:r>
    </w:p>
    <w:p w:rsidR="004C3AA5" w:rsidRDefault="004C3AA5" w:rsidP="00095D14">
      <w:pPr>
        <w:pStyle w:val="TableParagraph"/>
        <w:rPr>
          <w:b/>
          <w:i/>
          <w:sz w:val="24"/>
          <w:szCs w:val="24"/>
          <w:lang w:val="en-US"/>
        </w:rPr>
      </w:pPr>
    </w:p>
    <w:p w:rsidR="00A86C88" w:rsidRPr="00A86C88" w:rsidRDefault="00A86C88" w:rsidP="00A86C88">
      <w:pPr>
        <w:pStyle w:val="3"/>
        <w:spacing w:line="274" w:lineRule="exact"/>
        <w:ind w:left="3418"/>
        <w:jc w:val="both"/>
        <w:rPr>
          <w:rFonts w:ascii="Times New Roman" w:eastAsia="Times New Roman" w:hAnsi="Times New Roman" w:cs="Times New Roman"/>
          <w:b/>
          <w:color w:val="auto"/>
          <w:lang w:val="en-US" w:eastAsia="en-US"/>
        </w:rPr>
      </w:pPr>
      <w:r w:rsidRPr="00A86C88">
        <w:rPr>
          <w:rFonts w:ascii="Times New Roman" w:eastAsia="Times New Roman" w:hAnsi="Times New Roman" w:cs="Times New Roman"/>
          <w:b/>
          <w:color w:val="auto"/>
          <w:lang w:val="en-US" w:eastAsia="en-US"/>
        </w:rPr>
        <w:t>Information about the author</w:t>
      </w:r>
    </w:p>
    <w:p w:rsidR="00A86C88" w:rsidRPr="00A86C88" w:rsidRDefault="00A86C88" w:rsidP="00095D14">
      <w:pPr>
        <w:pStyle w:val="TableParagraph"/>
        <w:rPr>
          <w:b/>
          <w:sz w:val="24"/>
          <w:szCs w:val="24"/>
          <w:lang w:val="en-US"/>
        </w:rPr>
      </w:pPr>
    </w:p>
    <w:p w:rsidR="00A86C88" w:rsidRPr="007175C5" w:rsidRDefault="00A86C88" w:rsidP="007175C5">
      <w:pPr>
        <w:pStyle w:val="ac"/>
        <w:ind w:left="118"/>
        <w:jc w:val="both"/>
        <w:rPr>
          <w:rFonts w:ascii="Times New Roman" w:hAnsi="Times New Roman"/>
          <w:lang w:val="en-US"/>
        </w:rPr>
      </w:pPr>
      <w:proofErr w:type="spellStart"/>
      <w:r w:rsidRPr="007175C5">
        <w:rPr>
          <w:rFonts w:ascii="Times New Roman" w:hAnsi="Times New Roman"/>
          <w:lang w:val="en-US"/>
        </w:rPr>
        <w:t>Granitsa</w:t>
      </w:r>
      <w:proofErr w:type="spellEnd"/>
      <w:r w:rsidRPr="007175C5">
        <w:rPr>
          <w:rFonts w:ascii="Times New Roman" w:hAnsi="Times New Roman"/>
          <w:lang w:val="en-US"/>
        </w:rPr>
        <w:t xml:space="preserve"> </w:t>
      </w:r>
      <w:proofErr w:type="spellStart"/>
      <w:r w:rsidRPr="007175C5">
        <w:rPr>
          <w:rFonts w:ascii="Times New Roman" w:hAnsi="Times New Roman"/>
          <w:lang w:val="en-US"/>
        </w:rPr>
        <w:t>Yulia</w:t>
      </w:r>
      <w:proofErr w:type="spellEnd"/>
      <w:r w:rsidRPr="007175C5">
        <w:rPr>
          <w:rFonts w:ascii="Times New Roman" w:hAnsi="Times New Roman"/>
          <w:lang w:val="en-US"/>
        </w:rPr>
        <w:t xml:space="preserve"> </w:t>
      </w:r>
      <w:proofErr w:type="spellStart"/>
      <w:r w:rsidRPr="007175C5">
        <w:rPr>
          <w:rFonts w:ascii="Times New Roman" w:hAnsi="Times New Roman"/>
          <w:lang w:val="en-US"/>
        </w:rPr>
        <w:t>Valentinovna</w:t>
      </w:r>
      <w:proofErr w:type="spellEnd"/>
      <w:r w:rsidRPr="007175C5">
        <w:rPr>
          <w:rFonts w:ascii="Times New Roman" w:hAnsi="Times New Roman"/>
          <w:lang w:val="en-US"/>
        </w:rPr>
        <w:t xml:space="preserve"> (Russia, Nizhny Novgorod) – </w:t>
      </w:r>
      <w:r w:rsidR="007175C5" w:rsidRPr="007175C5">
        <w:rPr>
          <w:rFonts w:ascii="Times New Roman" w:hAnsi="Times New Roman"/>
          <w:lang w:val="en-US"/>
        </w:rPr>
        <w:t xml:space="preserve">PhD, Senior Researcher, Center for Macro and Microeconomics in Institute of Economics and Entrepreneurship Lobachevsky State University Nizhny Novgorod, Russia </w:t>
      </w:r>
      <w:r w:rsidRPr="007175C5">
        <w:rPr>
          <w:rFonts w:ascii="Times New Roman" w:hAnsi="Times New Roman"/>
          <w:lang w:val="en-US"/>
        </w:rPr>
        <w:t>(</w:t>
      </w:r>
      <w:r w:rsidR="007175C5" w:rsidRPr="007175C5">
        <w:rPr>
          <w:rFonts w:ascii="Times New Roman" w:hAnsi="Times New Roman"/>
          <w:lang w:val="en-US"/>
        </w:rPr>
        <w:t>23</w:t>
      </w:r>
      <w:r w:rsidRPr="007175C5">
        <w:rPr>
          <w:rFonts w:ascii="Times New Roman" w:hAnsi="Times New Roman"/>
          <w:lang w:val="en-US"/>
        </w:rPr>
        <w:t xml:space="preserve">, </w:t>
      </w:r>
      <w:r w:rsidR="007175C5" w:rsidRPr="007175C5">
        <w:rPr>
          <w:rFonts w:ascii="Times New Roman" w:hAnsi="Times New Roman"/>
          <w:lang w:val="en-US"/>
        </w:rPr>
        <w:t>Gagarin Avenue</w:t>
      </w:r>
      <w:r w:rsidRPr="007175C5">
        <w:rPr>
          <w:rFonts w:ascii="Times New Roman" w:hAnsi="Times New Roman"/>
          <w:lang w:val="en-US"/>
        </w:rPr>
        <w:t xml:space="preserve">, </w:t>
      </w:r>
      <w:r w:rsidR="007175C5" w:rsidRPr="007175C5">
        <w:rPr>
          <w:rFonts w:ascii="Times New Roman" w:hAnsi="Times New Roman"/>
          <w:lang w:val="en-US"/>
        </w:rPr>
        <w:t>Nizhny Novgorod</w:t>
      </w:r>
      <w:r w:rsidRPr="007175C5">
        <w:rPr>
          <w:rFonts w:ascii="Times New Roman" w:hAnsi="Times New Roman"/>
          <w:lang w:val="en-US"/>
        </w:rPr>
        <w:t xml:space="preserve">, Russian Federation, </w:t>
      </w:r>
      <w:r w:rsidR="007175C5" w:rsidRPr="007175C5">
        <w:rPr>
          <w:rFonts w:ascii="Times New Roman" w:hAnsi="Times New Roman"/>
          <w:lang w:val="en-US"/>
        </w:rPr>
        <w:lastRenderedPageBreak/>
        <w:t>603022</w:t>
      </w:r>
      <w:r w:rsidRPr="007175C5">
        <w:rPr>
          <w:rFonts w:ascii="Times New Roman" w:hAnsi="Times New Roman"/>
          <w:lang w:val="en-US"/>
        </w:rPr>
        <w:t xml:space="preserve">, </w:t>
      </w:r>
      <w:r w:rsidR="007175C5" w:rsidRPr="007175C5">
        <w:rPr>
          <w:rFonts w:ascii="Times New Roman" w:hAnsi="Times New Roman"/>
          <w:lang w:val="en-US"/>
        </w:rPr>
        <w:t>ygranica@yandex.ru</w:t>
      </w:r>
      <w:r w:rsidRPr="007175C5">
        <w:rPr>
          <w:rFonts w:ascii="Times New Roman" w:hAnsi="Times New Roman"/>
          <w:lang w:val="en-US"/>
        </w:rPr>
        <w:t>)</w:t>
      </w:r>
    </w:p>
    <w:p w:rsidR="00AA11ED" w:rsidRPr="00AA11ED" w:rsidRDefault="00AA11ED" w:rsidP="00AA11ED">
      <w:pPr>
        <w:pStyle w:val="3"/>
        <w:spacing w:line="274" w:lineRule="exact"/>
        <w:ind w:left="99" w:right="94"/>
        <w:jc w:val="center"/>
        <w:rPr>
          <w:rFonts w:ascii="Times New Roman" w:eastAsia="Times New Roman" w:hAnsi="Times New Roman" w:cs="Times New Roman"/>
          <w:color w:val="auto"/>
          <w:lang w:val="en-US"/>
        </w:rPr>
      </w:pPr>
      <w:r w:rsidRPr="00AA11ED">
        <w:rPr>
          <w:rFonts w:ascii="Times New Roman" w:eastAsia="Times New Roman" w:hAnsi="Times New Roman" w:cs="Times New Roman"/>
          <w:color w:val="auto"/>
          <w:lang w:val="en-US"/>
        </w:rPr>
        <w:t>References</w:t>
      </w:r>
    </w:p>
    <w:p w:rsidR="007175C5" w:rsidRPr="007175C5" w:rsidRDefault="007175C5" w:rsidP="007175C5">
      <w:pPr>
        <w:tabs>
          <w:tab w:val="left" w:pos="458"/>
        </w:tabs>
        <w:jc w:val="both"/>
        <w:rPr>
          <w:lang w:val="en-US"/>
        </w:rPr>
      </w:pPr>
      <w:r w:rsidRPr="007175C5">
        <w:rPr>
          <w:lang w:val="en-US"/>
        </w:rPr>
        <w:t xml:space="preserve">1) </w:t>
      </w:r>
      <w:proofErr w:type="spellStart"/>
      <w:r w:rsidRPr="007175C5">
        <w:rPr>
          <w:lang w:val="en-US"/>
        </w:rPr>
        <w:t>Vymyatnina</w:t>
      </w:r>
      <w:proofErr w:type="spellEnd"/>
      <w:r w:rsidRPr="007175C5">
        <w:rPr>
          <w:lang w:val="en-US"/>
        </w:rPr>
        <w:t xml:space="preserve"> </w:t>
      </w:r>
      <w:proofErr w:type="spellStart"/>
      <w:r w:rsidRPr="007175C5">
        <w:rPr>
          <w:lang w:val="en-US"/>
        </w:rPr>
        <w:t>Yu.V</w:t>
      </w:r>
      <w:proofErr w:type="spellEnd"/>
      <w:r w:rsidRPr="007175C5">
        <w:rPr>
          <w:lang w:val="en-US"/>
        </w:rPr>
        <w:t xml:space="preserve">., </w:t>
      </w:r>
      <w:proofErr w:type="spellStart"/>
      <w:r w:rsidRPr="007175C5">
        <w:rPr>
          <w:lang w:val="en-US"/>
        </w:rPr>
        <w:t>Polyakova</w:t>
      </w:r>
      <w:proofErr w:type="spellEnd"/>
      <w:r w:rsidRPr="007175C5">
        <w:rPr>
          <w:lang w:val="en-US"/>
        </w:rPr>
        <w:t xml:space="preserve"> E.V. Evolution of Approaches to Modeling Inflation Expectations//Finance and Business, 2021. V. 17. No. 1. P. 29-51.</w:t>
      </w:r>
    </w:p>
    <w:p w:rsidR="007175C5" w:rsidRPr="007175C5" w:rsidRDefault="007175C5" w:rsidP="007175C5">
      <w:pPr>
        <w:tabs>
          <w:tab w:val="left" w:pos="458"/>
        </w:tabs>
        <w:jc w:val="both"/>
        <w:rPr>
          <w:lang w:val="en-US"/>
        </w:rPr>
      </w:pPr>
      <w:r w:rsidRPr="007175C5">
        <w:rPr>
          <w:lang w:val="en-US"/>
        </w:rPr>
        <w:t xml:space="preserve">2) </w:t>
      </w:r>
      <w:proofErr w:type="spellStart"/>
      <w:r w:rsidRPr="007175C5">
        <w:rPr>
          <w:lang w:val="en-US"/>
        </w:rPr>
        <w:t>Ermolenko</w:t>
      </w:r>
      <w:proofErr w:type="spellEnd"/>
      <w:r w:rsidRPr="007175C5">
        <w:rPr>
          <w:lang w:val="en-US"/>
        </w:rPr>
        <w:t xml:space="preserve"> O.M., Popov M.S., </w:t>
      </w:r>
      <w:proofErr w:type="spellStart"/>
      <w:r w:rsidRPr="007175C5">
        <w:rPr>
          <w:lang w:val="en-US"/>
        </w:rPr>
        <w:t>Kareeva</w:t>
      </w:r>
      <w:proofErr w:type="spellEnd"/>
      <w:r w:rsidRPr="007175C5">
        <w:rPr>
          <w:lang w:val="en-US"/>
        </w:rPr>
        <w:t xml:space="preserve"> </w:t>
      </w:r>
      <w:proofErr w:type="spellStart"/>
      <w:r w:rsidRPr="007175C5">
        <w:rPr>
          <w:lang w:val="en-US"/>
        </w:rPr>
        <w:t>Yu.V</w:t>
      </w:r>
      <w:proofErr w:type="spellEnd"/>
      <w:r w:rsidRPr="007175C5">
        <w:rPr>
          <w:lang w:val="en-US"/>
        </w:rPr>
        <w:t xml:space="preserve">., </w:t>
      </w:r>
      <w:proofErr w:type="spellStart"/>
      <w:r w:rsidRPr="007175C5">
        <w:rPr>
          <w:lang w:val="en-US"/>
        </w:rPr>
        <w:t>Gabrielyan</w:t>
      </w:r>
      <w:proofErr w:type="spellEnd"/>
      <w:r w:rsidRPr="007175C5">
        <w:rPr>
          <w:lang w:val="en-US"/>
        </w:rPr>
        <w:t xml:space="preserve"> G.L. Analysis of inflationary expectations of legal entities and individuals as a factor in the development of inflation. Economics of sustainable development. 2020. No. 3 (43). pp. 132-138.</w:t>
      </w:r>
    </w:p>
    <w:p w:rsidR="007175C5" w:rsidRPr="007175C5" w:rsidRDefault="007175C5" w:rsidP="007175C5">
      <w:pPr>
        <w:tabs>
          <w:tab w:val="left" w:pos="458"/>
        </w:tabs>
        <w:jc w:val="both"/>
        <w:rPr>
          <w:lang w:val="en-US"/>
        </w:rPr>
      </w:pPr>
      <w:r w:rsidRPr="007175C5">
        <w:rPr>
          <w:lang w:val="en-US"/>
        </w:rPr>
        <w:t xml:space="preserve">3) </w:t>
      </w:r>
      <w:proofErr w:type="spellStart"/>
      <w:r w:rsidRPr="007175C5">
        <w:rPr>
          <w:lang w:val="en-US"/>
        </w:rPr>
        <w:t>Karlova</w:t>
      </w:r>
      <w:proofErr w:type="spellEnd"/>
      <w:r w:rsidRPr="007175C5">
        <w:rPr>
          <w:lang w:val="en-US"/>
        </w:rPr>
        <w:t xml:space="preserve"> N.A., </w:t>
      </w:r>
      <w:proofErr w:type="spellStart"/>
      <w:r w:rsidRPr="007175C5">
        <w:rPr>
          <w:lang w:val="en-US"/>
        </w:rPr>
        <w:t>Puzanova</w:t>
      </w:r>
      <w:proofErr w:type="spellEnd"/>
      <w:r w:rsidRPr="007175C5">
        <w:rPr>
          <w:lang w:val="en-US"/>
        </w:rPr>
        <w:t xml:space="preserve"> E.V., </w:t>
      </w:r>
      <w:proofErr w:type="spellStart"/>
      <w:r w:rsidRPr="007175C5">
        <w:rPr>
          <w:lang w:val="en-US"/>
        </w:rPr>
        <w:t>Bogacheva</w:t>
      </w:r>
      <w:proofErr w:type="spellEnd"/>
      <w:r w:rsidRPr="007175C5">
        <w:rPr>
          <w:lang w:val="en-US"/>
        </w:rPr>
        <w:t xml:space="preserve"> I.V., Morozov A.G. How enterprises’ inflation expectations are formed: survey results // Problems of Forecasting, 2020, No. 5 (182). URL: https://cyberleninka.ru/article/n/kak-formiruyutsya-inflyatsionnye-ozhidaniya-predpriyatiy-rezultaty-oprosa (</w:t>
      </w:r>
    </w:p>
    <w:p w:rsidR="007175C5" w:rsidRPr="007175C5" w:rsidRDefault="007175C5" w:rsidP="007175C5">
      <w:pPr>
        <w:tabs>
          <w:tab w:val="left" w:pos="458"/>
        </w:tabs>
        <w:jc w:val="both"/>
        <w:rPr>
          <w:lang w:val="en-US"/>
        </w:rPr>
      </w:pPr>
      <w:r w:rsidRPr="007175C5">
        <w:rPr>
          <w:lang w:val="en-US"/>
        </w:rPr>
        <w:t xml:space="preserve">4) </w:t>
      </w:r>
      <w:proofErr w:type="spellStart"/>
      <w:r w:rsidRPr="007175C5">
        <w:rPr>
          <w:lang w:val="en-US"/>
        </w:rPr>
        <w:t>Salamova</w:t>
      </w:r>
      <w:proofErr w:type="spellEnd"/>
      <w:r w:rsidRPr="007175C5">
        <w:rPr>
          <w:lang w:val="en-US"/>
        </w:rPr>
        <w:t xml:space="preserve"> M.T. Formation and assessment of inflationary expectations of economic agents//Current trends and innovations in the development of Russian science. Collection of scientific articles. Scientific editor L.L. </w:t>
      </w:r>
      <w:proofErr w:type="spellStart"/>
      <w:r w:rsidRPr="007175C5">
        <w:rPr>
          <w:lang w:val="en-US"/>
        </w:rPr>
        <w:t>Burkova</w:t>
      </w:r>
      <w:proofErr w:type="spellEnd"/>
      <w:r w:rsidRPr="007175C5">
        <w:rPr>
          <w:lang w:val="en-US"/>
        </w:rPr>
        <w:t>. Moscow, 2019. S. 102-106.</w:t>
      </w:r>
    </w:p>
    <w:p w:rsidR="007175C5" w:rsidRPr="007175C5" w:rsidRDefault="007175C5" w:rsidP="007175C5">
      <w:pPr>
        <w:tabs>
          <w:tab w:val="left" w:pos="458"/>
        </w:tabs>
        <w:jc w:val="both"/>
        <w:rPr>
          <w:lang w:val="en-US"/>
        </w:rPr>
      </w:pPr>
      <w:r w:rsidRPr="007175C5">
        <w:rPr>
          <w:lang w:val="en-US"/>
        </w:rPr>
        <w:t xml:space="preserve">5) </w:t>
      </w:r>
      <w:proofErr w:type="spellStart"/>
      <w:r w:rsidRPr="007175C5">
        <w:rPr>
          <w:lang w:val="en-US"/>
        </w:rPr>
        <w:t>Rakhmatulin</w:t>
      </w:r>
      <w:proofErr w:type="spellEnd"/>
      <w:r w:rsidRPr="007175C5">
        <w:rPr>
          <w:lang w:val="en-US"/>
        </w:rPr>
        <w:t xml:space="preserve"> R.N. Inflation expectations in regional analysis//Omsk Scientific Readings - 2019. Proceedings of the Third All-Russian Scientific Conference, 2019. P. 181-184.</w:t>
      </w:r>
    </w:p>
    <w:p w:rsidR="007175C5" w:rsidRPr="007175C5" w:rsidRDefault="007175C5" w:rsidP="007175C5">
      <w:pPr>
        <w:tabs>
          <w:tab w:val="left" w:pos="458"/>
        </w:tabs>
        <w:jc w:val="both"/>
        <w:rPr>
          <w:lang w:val="en-US"/>
        </w:rPr>
      </w:pPr>
      <w:r w:rsidRPr="007175C5">
        <w:rPr>
          <w:lang w:val="en-US"/>
        </w:rPr>
        <w:t xml:space="preserve">6) </w:t>
      </w:r>
      <w:proofErr w:type="spellStart"/>
      <w:r w:rsidRPr="007175C5">
        <w:rPr>
          <w:lang w:val="en-US"/>
        </w:rPr>
        <w:t>Balatsky</w:t>
      </w:r>
      <w:proofErr w:type="spellEnd"/>
      <w:r w:rsidRPr="007175C5">
        <w:rPr>
          <w:lang w:val="en-US"/>
        </w:rPr>
        <w:t xml:space="preserve"> E. V., </w:t>
      </w:r>
      <w:proofErr w:type="spellStart"/>
      <w:r w:rsidRPr="007175C5">
        <w:rPr>
          <w:lang w:val="en-US"/>
        </w:rPr>
        <w:t>Yurevich</w:t>
      </w:r>
      <w:proofErr w:type="spellEnd"/>
      <w:r w:rsidRPr="007175C5">
        <w:rPr>
          <w:lang w:val="en-US"/>
        </w:rPr>
        <w:t xml:space="preserve"> M. A. Measuring inflation expectations: traditional and innovative approaches // Bulletin of St. Petersburg University. Economy. 2018. V. 34. Issue. 4. S. 534–552.</w:t>
      </w:r>
    </w:p>
    <w:p w:rsidR="00124C56" w:rsidRPr="00095D14" w:rsidRDefault="007175C5" w:rsidP="007175C5">
      <w:pPr>
        <w:tabs>
          <w:tab w:val="left" w:pos="458"/>
        </w:tabs>
        <w:jc w:val="both"/>
        <w:rPr>
          <w:lang w:val="en-US"/>
        </w:rPr>
      </w:pPr>
      <w:r w:rsidRPr="007175C5">
        <w:rPr>
          <w:lang w:val="en-US"/>
        </w:rPr>
        <w:t xml:space="preserve">7) </w:t>
      </w:r>
      <w:proofErr w:type="spellStart"/>
      <w:r w:rsidRPr="007175C5">
        <w:rPr>
          <w:lang w:val="en-US"/>
        </w:rPr>
        <w:t>Granitsa</w:t>
      </w:r>
      <w:proofErr w:type="spellEnd"/>
      <w:r w:rsidRPr="007175C5">
        <w:rPr>
          <w:lang w:val="en-US"/>
        </w:rPr>
        <w:t xml:space="preserve">, Yu. V. Methodology for assessing the impact of inflationary expectations and sentiments of economic agents on the investment risk of Russian regions / Yu. V. </w:t>
      </w:r>
      <w:proofErr w:type="spellStart"/>
      <w:r w:rsidRPr="007175C5">
        <w:rPr>
          <w:lang w:val="en-US"/>
        </w:rPr>
        <w:t>Granitsa</w:t>
      </w:r>
      <w:proofErr w:type="spellEnd"/>
      <w:r w:rsidRPr="007175C5">
        <w:rPr>
          <w:lang w:val="en-US"/>
        </w:rPr>
        <w:t xml:space="preserve"> // Russia: trends and development prospects: Yearbook, Kursk, June 04–05, 2021. - Moscow: Institute of Scientific Information on Social Sciences of the Russian Academy of Sciences, 2021. - P. 983-989.</w:t>
      </w:r>
    </w:p>
    <w:p w:rsidR="00124C56" w:rsidRPr="00095D14" w:rsidRDefault="00124C56" w:rsidP="00B25C7D">
      <w:pPr>
        <w:tabs>
          <w:tab w:val="left" w:pos="458"/>
        </w:tabs>
        <w:jc w:val="center"/>
        <w:rPr>
          <w:lang w:val="en-US"/>
        </w:rPr>
      </w:pPr>
    </w:p>
    <w:p w:rsidR="00124C56" w:rsidRPr="00095D14" w:rsidRDefault="00124C56" w:rsidP="00B25C7D">
      <w:pPr>
        <w:tabs>
          <w:tab w:val="left" w:pos="458"/>
        </w:tabs>
        <w:jc w:val="center"/>
        <w:rPr>
          <w:lang w:val="en-US"/>
        </w:rPr>
      </w:pPr>
    </w:p>
    <w:p w:rsidR="00124C56" w:rsidRPr="00095D14" w:rsidRDefault="00124C56" w:rsidP="00B25C7D">
      <w:pPr>
        <w:tabs>
          <w:tab w:val="left" w:pos="458"/>
        </w:tabs>
        <w:jc w:val="center"/>
        <w:rPr>
          <w:lang w:val="en-US"/>
        </w:rPr>
      </w:pPr>
    </w:p>
    <w:sectPr w:rsidR="00124C56" w:rsidRPr="00095D14" w:rsidSect="00392C83">
      <w:pgSz w:w="11900" w:h="1682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64C6F" w:rsidRDefault="00D64C6F" w:rsidP="00FA3A57">
      <w:r>
        <w:separator/>
      </w:r>
    </w:p>
  </w:endnote>
  <w:endnote w:type="continuationSeparator" w:id="0">
    <w:p w:rsidR="00D64C6F" w:rsidRDefault="00D64C6F" w:rsidP="00FA3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64C6F" w:rsidRDefault="00D64C6F" w:rsidP="00FA3A57">
      <w:r>
        <w:separator/>
      </w:r>
    </w:p>
  </w:footnote>
  <w:footnote w:type="continuationSeparator" w:id="0">
    <w:p w:rsidR="00D64C6F" w:rsidRDefault="00D64C6F" w:rsidP="00FA3A5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D92201"/>
    <w:multiLevelType w:val="hybridMultilevel"/>
    <w:tmpl w:val="815C1C3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6734AD"/>
    <w:multiLevelType w:val="hybridMultilevel"/>
    <w:tmpl w:val="73ECA9EE"/>
    <w:lvl w:ilvl="0" w:tplc="88DCFD3C">
      <w:start w:val="1"/>
      <w:numFmt w:val="decimal"/>
      <w:lvlText w:val="%1."/>
      <w:lvlJc w:val="left"/>
      <w:pPr>
        <w:ind w:left="35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78" w:hanging="360"/>
      </w:pPr>
    </w:lvl>
    <w:lvl w:ilvl="2" w:tplc="0419001B" w:tentative="1">
      <w:start w:val="1"/>
      <w:numFmt w:val="lowerRoman"/>
      <w:lvlText w:val="%3."/>
      <w:lvlJc w:val="right"/>
      <w:pPr>
        <w:ind w:left="1798" w:hanging="180"/>
      </w:pPr>
    </w:lvl>
    <w:lvl w:ilvl="3" w:tplc="0419000F" w:tentative="1">
      <w:start w:val="1"/>
      <w:numFmt w:val="decimal"/>
      <w:lvlText w:val="%4."/>
      <w:lvlJc w:val="left"/>
      <w:pPr>
        <w:ind w:left="2518" w:hanging="360"/>
      </w:pPr>
    </w:lvl>
    <w:lvl w:ilvl="4" w:tplc="04190019" w:tentative="1">
      <w:start w:val="1"/>
      <w:numFmt w:val="lowerLetter"/>
      <w:lvlText w:val="%5."/>
      <w:lvlJc w:val="left"/>
      <w:pPr>
        <w:ind w:left="3238" w:hanging="360"/>
      </w:pPr>
    </w:lvl>
    <w:lvl w:ilvl="5" w:tplc="0419001B" w:tentative="1">
      <w:start w:val="1"/>
      <w:numFmt w:val="lowerRoman"/>
      <w:lvlText w:val="%6."/>
      <w:lvlJc w:val="right"/>
      <w:pPr>
        <w:ind w:left="3958" w:hanging="180"/>
      </w:pPr>
    </w:lvl>
    <w:lvl w:ilvl="6" w:tplc="0419000F" w:tentative="1">
      <w:start w:val="1"/>
      <w:numFmt w:val="decimal"/>
      <w:lvlText w:val="%7."/>
      <w:lvlJc w:val="left"/>
      <w:pPr>
        <w:ind w:left="4678" w:hanging="360"/>
      </w:pPr>
    </w:lvl>
    <w:lvl w:ilvl="7" w:tplc="04190019" w:tentative="1">
      <w:start w:val="1"/>
      <w:numFmt w:val="lowerLetter"/>
      <w:lvlText w:val="%8."/>
      <w:lvlJc w:val="left"/>
      <w:pPr>
        <w:ind w:left="5398" w:hanging="360"/>
      </w:pPr>
    </w:lvl>
    <w:lvl w:ilvl="8" w:tplc="0419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2" w15:restartNumberingAfterBreak="0">
    <w:nsid w:val="144B25E4"/>
    <w:multiLevelType w:val="hybridMultilevel"/>
    <w:tmpl w:val="BA108270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1D0AF8"/>
    <w:multiLevelType w:val="hybridMultilevel"/>
    <w:tmpl w:val="F0848EC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825772A"/>
    <w:multiLevelType w:val="hybridMultilevel"/>
    <w:tmpl w:val="D1F8D5D0"/>
    <w:lvl w:ilvl="0" w:tplc="4976A26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2F8"/>
    <w:multiLevelType w:val="hybridMultilevel"/>
    <w:tmpl w:val="15D0510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1021E2"/>
    <w:multiLevelType w:val="hybridMultilevel"/>
    <w:tmpl w:val="2B42D75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5C976253"/>
    <w:multiLevelType w:val="hybridMultilevel"/>
    <w:tmpl w:val="CAFE25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192411E"/>
    <w:multiLevelType w:val="hybridMultilevel"/>
    <w:tmpl w:val="CD76D2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BF113E7"/>
    <w:multiLevelType w:val="hybridMultilevel"/>
    <w:tmpl w:val="F0848EC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8"/>
  </w:num>
  <w:num w:numId="5">
    <w:abstractNumId w:val="7"/>
  </w:num>
  <w:num w:numId="6">
    <w:abstractNumId w:val="6"/>
  </w:num>
  <w:num w:numId="7">
    <w:abstractNumId w:val="3"/>
  </w:num>
  <w:num w:numId="8">
    <w:abstractNumId w:val="9"/>
  </w:num>
  <w:num w:numId="9">
    <w:abstractNumId w:val="1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5BFD"/>
    <w:rsid w:val="000012E3"/>
    <w:rsid w:val="00005F53"/>
    <w:rsid w:val="00010A51"/>
    <w:rsid w:val="0002701D"/>
    <w:rsid w:val="000272D0"/>
    <w:rsid w:val="0003563D"/>
    <w:rsid w:val="00044E74"/>
    <w:rsid w:val="00047AE8"/>
    <w:rsid w:val="00055A2E"/>
    <w:rsid w:val="00061CFF"/>
    <w:rsid w:val="0006748F"/>
    <w:rsid w:val="000720B5"/>
    <w:rsid w:val="00074667"/>
    <w:rsid w:val="000761CB"/>
    <w:rsid w:val="000867D0"/>
    <w:rsid w:val="00090F36"/>
    <w:rsid w:val="00095D14"/>
    <w:rsid w:val="000A0C0A"/>
    <w:rsid w:val="000B56E0"/>
    <w:rsid w:val="000B7BEA"/>
    <w:rsid w:val="000B7E0D"/>
    <w:rsid w:val="000C5B05"/>
    <w:rsid w:val="000C6514"/>
    <w:rsid w:val="000D3B94"/>
    <w:rsid w:val="000E194B"/>
    <w:rsid w:val="000E622C"/>
    <w:rsid w:val="00101561"/>
    <w:rsid w:val="001078E2"/>
    <w:rsid w:val="001100AE"/>
    <w:rsid w:val="001135D9"/>
    <w:rsid w:val="00115CE6"/>
    <w:rsid w:val="00124C56"/>
    <w:rsid w:val="00127E18"/>
    <w:rsid w:val="001440B7"/>
    <w:rsid w:val="001500AA"/>
    <w:rsid w:val="00157252"/>
    <w:rsid w:val="00167EDE"/>
    <w:rsid w:val="0017158B"/>
    <w:rsid w:val="00173A56"/>
    <w:rsid w:val="00185DA0"/>
    <w:rsid w:val="00190252"/>
    <w:rsid w:val="001A0798"/>
    <w:rsid w:val="001A6D29"/>
    <w:rsid w:val="001D3FCF"/>
    <w:rsid w:val="001E125C"/>
    <w:rsid w:val="001E16DF"/>
    <w:rsid w:val="001E3E97"/>
    <w:rsid w:val="001E3FB7"/>
    <w:rsid w:val="001E61C4"/>
    <w:rsid w:val="001F2B56"/>
    <w:rsid w:val="001F5F92"/>
    <w:rsid w:val="00211EED"/>
    <w:rsid w:val="00214639"/>
    <w:rsid w:val="00216354"/>
    <w:rsid w:val="00220A5E"/>
    <w:rsid w:val="0022724F"/>
    <w:rsid w:val="002300E3"/>
    <w:rsid w:val="002353F6"/>
    <w:rsid w:val="00237347"/>
    <w:rsid w:val="002375C5"/>
    <w:rsid w:val="00243636"/>
    <w:rsid w:val="002441A3"/>
    <w:rsid w:val="00272934"/>
    <w:rsid w:val="00280454"/>
    <w:rsid w:val="0028202F"/>
    <w:rsid w:val="002841C5"/>
    <w:rsid w:val="00285344"/>
    <w:rsid w:val="00293AF3"/>
    <w:rsid w:val="002A3117"/>
    <w:rsid w:val="002A36A1"/>
    <w:rsid w:val="002A6D69"/>
    <w:rsid w:val="002B35D2"/>
    <w:rsid w:val="002B39CA"/>
    <w:rsid w:val="002B424F"/>
    <w:rsid w:val="002B4CBC"/>
    <w:rsid w:val="002B69C1"/>
    <w:rsid w:val="002C321E"/>
    <w:rsid w:val="002D31B2"/>
    <w:rsid w:val="002E0DA2"/>
    <w:rsid w:val="002F7E1E"/>
    <w:rsid w:val="0030042E"/>
    <w:rsid w:val="00310291"/>
    <w:rsid w:val="00312880"/>
    <w:rsid w:val="00315F3D"/>
    <w:rsid w:val="0031628B"/>
    <w:rsid w:val="003167EE"/>
    <w:rsid w:val="0032623D"/>
    <w:rsid w:val="00336F12"/>
    <w:rsid w:val="00342A54"/>
    <w:rsid w:val="00344A69"/>
    <w:rsid w:val="00352D6D"/>
    <w:rsid w:val="00367AE9"/>
    <w:rsid w:val="00371FD3"/>
    <w:rsid w:val="00376224"/>
    <w:rsid w:val="003816FA"/>
    <w:rsid w:val="00392C83"/>
    <w:rsid w:val="00393117"/>
    <w:rsid w:val="003965F0"/>
    <w:rsid w:val="003A3944"/>
    <w:rsid w:val="003A4B5B"/>
    <w:rsid w:val="003A620D"/>
    <w:rsid w:val="003A6418"/>
    <w:rsid w:val="003A70C8"/>
    <w:rsid w:val="003A7489"/>
    <w:rsid w:val="003B0673"/>
    <w:rsid w:val="003B1317"/>
    <w:rsid w:val="003B13BC"/>
    <w:rsid w:val="003B355F"/>
    <w:rsid w:val="003C16D9"/>
    <w:rsid w:val="003C4C4A"/>
    <w:rsid w:val="003C548B"/>
    <w:rsid w:val="003D783E"/>
    <w:rsid w:val="003D7D0E"/>
    <w:rsid w:val="003E0A6C"/>
    <w:rsid w:val="003E2D0B"/>
    <w:rsid w:val="003E5E45"/>
    <w:rsid w:val="003F1BFF"/>
    <w:rsid w:val="003F7F9E"/>
    <w:rsid w:val="0040091F"/>
    <w:rsid w:val="00410AC2"/>
    <w:rsid w:val="004156FA"/>
    <w:rsid w:val="0042504E"/>
    <w:rsid w:val="004250F7"/>
    <w:rsid w:val="004318A1"/>
    <w:rsid w:val="00434BF2"/>
    <w:rsid w:val="00463639"/>
    <w:rsid w:val="00471073"/>
    <w:rsid w:val="0047241F"/>
    <w:rsid w:val="004916C0"/>
    <w:rsid w:val="00495BFD"/>
    <w:rsid w:val="004B2C47"/>
    <w:rsid w:val="004B5AA5"/>
    <w:rsid w:val="004C128C"/>
    <w:rsid w:val="004C184C"/>
    <w:rsid w:val="004C3AA5"/>
    <w:rsid w:val="004C6B8E"/>
    <w:rsid w:val="004E0655"/>
    <w:rsid w:val="004E0E40"/>
    <w:rsid w:val="004F0483"/>
    <w:rsid w:val="004F4FA1"/>
    <w:rsid w:val="00503F7B"/>
    <w:rsid w:val="005131E3"/>
    <w:rsid w:val="00516F4B"/>
    <w:rsid w:val="00530DED"/>
    <w:rsid w:val="0054732B"/>
    <w:rsid w:val="0055674E"/>
    <w:rsid w:val="0056449F"/>
    <w:rsid w:val="00565177"/>
    <w:rsid w:val="00570CF9"/>
    <w:rsid w:val="005767AD"/>
    <w:rsid w:val="005816AA"/>
    <w:rsid w:val="00582800"/>
    <w:rsid w:val="005845F0"/>
    <w:rsid w:val="00584AAE"/>
    <w:rsid w:val="0059267D"/>
    <w:rsid w:val="005A1457"/>
    <w:rsid w:val="005A14AE"/>
    <w:rsid w:val="005A248C"/>
    <w:rsid w:val="005A577F"/>
    <w:rsid w:val="005A6EDF"/>
    <w:rsid w:val="005B1B62"/>
    <w:rsid w:val="005B2C4B"/>
    <w:rsid w:val="005B5EED"/>
    <w:rsid w:val="005C3CF4"/>
    <w:rsid w:val="005C4C7C"/>
    <w:rsid w:val="005C581A"/>
    <w:rsid w:val="005C6127"/>
    <w:rsid w:val="005C7243"/>
    <w:rsid w:val="005E52DC"/>
    <w:rsid w:val="005F643F"/>
    <w:rsid w:val="00603770"/>
    <w:rsid w:val="00605379"/>
    <w:rsid w:val="00607E69"/>
    <w:rsid w:val="00610B5B"/>
    <w:rsid w:val="00622839"/>
    <w:rsid w:val="00627BC6"/>
    <w:rsid w:val="0064221D"/>
    <w:rsid w:val="00647079"/>
    <w:rsid w:val="006607C6"/>
    <w:rsid w:val="0066519A"/>
    <w:rsid w:val="00667EBF"/>
    <w:rsid w:val="006701EB"/>
    <w:rsid w:val="00671084"/>
    <w:rsid w:val="00673804"/>
    <w:rsid w:val="006A2850"/>
    <w:rsid w:val="006A79FD"/>
    <w:rsid w:val="006B2001"/>
    <w:rsid w:val="006B5C4B"/>
    <w:rsid w:val="006C3418"/>
    <w:rsid w:val="006C4977"/>
    <w:rsid w:val="006C5257"/>
    <w:rsid w:val="006D6DD7"/>
    <w:rsid w:val="006D6E1C"/>
    <w:rsid w:val="006D7C82"/>
    <w:rsid w:val="006E159D"/>
    <w:rsid w:val="006E1E4D"/>
    <w:rsid w:val="006E3870"/>
    <w:rsid w:val="006F162E"/>
    <w:rsid w:val="006F19AB"/>
    <w:rsid w:val="00712A5E"/>
    <w:rsid w:val="007175C5"/>
    <w:rsid w:val="00723D0F"/>
    <w:rsid w:val="00731C9D"/>
    <w:rsid w:val="0073751A"/>
    <w:rsid w:val="00741AD5"/>
    <w:rsid w:val="007548B6"/>
    <w:rsid w:val="00764B14"/>
    <w:rsid w:val="00774D59"/>
    <w:rsid w:val="007A2880"/>
    <w:rsid w:val="007C2AC0"/>
    <w:rsid w:val="007D3563"/>
    <w:rsid w:val="007D4653"/>
    <w:rsid w:val="007D5C0B"/>
    <w:rsid w:val="007E7AF4"/>
    <w:rsid w:val="007F6331"/>
    <w:rsid w:val="007F69DB"/>
    <w:rsid w:val="00807B5B"/>
    <w:rsid w:val="008324B9"/>
    <w:rsid w:val="00833D0A"/>
    <w:rsid w:val="00837F79"/>
    <w:rsid w:val="0084464F"/>
    <w:rsid w:val="00845E51"/>
    <w:rsid w:val="00846C4E"/>
    <w:rsid w:val="0085025C"/>
    <w:rsid w:val="008533E6"/>
    <w:rsid w:val="00864432"/>
    <w:rsid w:val="008650CA"/>
    <w:rsid w:val="00866AFC"/>
    <w:rsid w:val="00872A97"/>
    <w:rsid w:val="00875774"/>
    <w:rsid w:val="0088056E"/>
    <w:rsid w:val="00894BF4"/>
    <w:rsid w:val="008A10F4"/>
    <w:rsid w:val="008A6151"/>
    <w:rsid w:val="008B76EC"/>
    <w:rsid w:val="008C131C"/>
    <w:rsid w:val="008C274B"/>
    <w:rsid w:val="008C6657"/>
    <w:rsid w:val="008C7893"/>
    <w:rsid w:val="008D5E8C"/>
    <w:rsid w:val="008F14CD"/>
    <w:rsid w:val="008F20F9"/>
    <w:rsid w:val="00916518"/>
    <w:rsid w:val="00916BF8"/>
    <w:rsid w:val="00920FC3"/>
    <w:rsid w:val="009250F0"/>
    <w:rsid w:val="00934010"/>
    <w:rsid w:val="00934D75"/>
    <w:rsid w:val="00943046"/>
    <w:rsid w:val="009575AE"/>
    <w:rsid w:val="009579A1"/>
    <w:rsid w:val="00960320"/>
    <w:rsid w:val="0099682B"/>
    <w:rsid w:val="009A0584"/>
    <w:rsid w:val="009A4F4A"/>
    <w:rsid w:val="009B5AC5"/>
    <w:rsid w:val="009C13E5"/>
    <w:rsid w:val="009C1BC7"/>
    <w:rsid w:val="009D089A"/>
    <w:rsid w:val="009D0CCC"/>
    <w:rsid w:val="009D7D33"/>
    <w:rsid w:val="009E5344"/>
    <w:rsid w:val="00A0108E"/>
    <w:rsid w:val="00A161B7"/>
    <w:rsid w:val="00A22F33"/>
    <w:rsid w:val="00A269C1"/>
    <w:rsid w:val="00A27D65"/>
    <w:rsid w:val="00A304B6"/>
    <w:rsid w:val="00A3428F"/>
    <w:rsid w:val="00A359C9"/>
    <w:rsid w:val="00A36116"/>
    <w:rsid w:val="00A40AB5"/>
    <w:rsid w:val="00A55ADC"/>
    <w:rsid w:val="00A731FD"/>
    <w:rsid w:val="00A8554B"/>
    <w:rsid w:val="00A86C88"/>
    <w:rsid w:val="00A94D75"/>
    <w:rsid w:val="00AA11ED"/>
    <w:rsid w:val="00AA2254"/>
    <w:rsid w:val="00AA2B28"/>
    <w:rsid w:val="00AA3A9E"/>
    <w:rsid w:val="00AB1462"/>
    <w:rsid w:val="00AB428D"/>
    <w:rsid w:val="00AC7B37"/>
    <w:rsid w:val="00AD1F65"/>
    <w:rsid w:val="00AD6D78"/>
    <w:rsid w:val="00AE0975"/>
    <w:rsid w:val="00AE380F"/>
    <w:rsid w:val="00AE7B75"/>
    <w:rsid w:val="00AE7D01"/>
    <w:rsid w:val="00AF025D"/>
    <w:rsid w:val="00AF50EE"/>
    <w:rsid w:val="00AF665A"/>
    <w:rsid w:val="00B04776"/>
    <w:rsid w:val="00B06343"/>
    <w:rsid w:val="00B12B0A"/>
    <w:rsid w:val="00B145C2"/>
    <w:rsid w:val="00B14C9F"/>
    <w:rsid w:val="00B15464"/>
    <w:rsid w:val="00B15E9F"/>
    <w:rsid w:val="00B25C7D"/>
    <w:rsid w:val="00B451DF"/>
    <w:rsid w:val="00B573B7"/>
    <w:rsid w:val="00B6616A"/>
    <w:rsid w:val="00B673D0"/>
    <w:rsid w:val="00B803D0"/>
    <w:rsid w:val="00B87979"/>
    <w:rsid w:val="00B91A93"/>
    <w:rsid w:val="00B92453"/>
    <w:rsid w:val="00B93A6A"/>
    <w:rsid w:val="00BA0165"/>
    <w:rsid w:val="00BA471E"/>
    <w:rsid w:val="00BB3689"/>
    <w:rsid w:val="00BD403F"/>
    <w:rsid w:val="00BE188A"/>
    <w:rsid w:val="00BE60C8"/>
    <w:rsid w:val="00BF3152"/>
    <w:rsid w:val="00BF7D2B"/>
    <w:rsid w:val="00C01F17"/>
    <w:rsid w:val="00C15D7A"/>
    <w:rsid w:val="00C160AA"/>
    <w:rsid w:val="00C161F8"/>
    <w:rsid w:val="00C237E9"/>
    <w:rsid w:val="00C24F77"/>
    <w:rsid w:val="00C2698C"/>
    <w:rsid w:val="00C27CCB"/>
    <w:rsid w:val="00C359B3"/>
    <w:rsid w:val="00C412A2"/>
    <w:rsid w:val="00C432A5"/>
    <w:rsid w:val="00C45FB9"/>
    <w:rsid w:val="00C54564"/>
    <w:rsid w:val="00C546B3"/>
    <w:rsid w:val="00C56D67"/>
    <w:rsid w:val="00C575C1"/>
    <w:rsid w:val="00C85726"/>
    <w:rsid w:val="00C95B8C"/>
    <w:rsid w:val="00CA065E"/>
    <w:rsid w:val="00CA1B3F"/>
    <w:rsid w:val="00CA554A"/>
    <w:rsid w:val="00CB0494"/>
    <w:rsid w:val="00CB2ACC"/>
    <w:rsid w:val="00CB3642"/>
    <w:rsid w:val="00CB42AC"/>
    <w:rsid w:val="00CB7C07"/>
    <w:rsid w:val="00CC31D9"/>
    <w:rsid w:val="00CC6D65"/>
    <w:rsid w:val="00CC6FD2"/>
    <w:rsid w:val="00CD479D"/>
    <w:rsid w:val="00CD5A7A"/>
    <w:rsid w:val="00CE2CA2"/>
    <w:rsid w:val="00CE34B2"/>
    <w:rsid w:val="00CF1612"/>
    <w:rsid w:val="00CF1777"/>
    <w:rsid w:val="00D0324B"/>
    <w:rsid w:val="00D05AEF"/>
    <w:rsid w:val="00D11894"/>
    <w:rsid w:val="00D11C9F"/>
    <w:rsid w:val="00D12BD9"/>
    <w:rsid w:val="00D20257"/>
    <w:rsid w:val="00D20A5A"/>
    <w:rsid w:val="00D20EFE"/>
    <w:rsid w:val="00D215B7"/>
    <w:rsid w:val="00D33D03"/>
    <w:rsid w:val="00D3708D"/>
    <w:rsid w:val="00D44910"/>
    <w:rsid w:val="00D62A45"/>
    <w:rsid w:val="00D62A49"/>
    <w:rsid w:val="00D64C6F"/>
    <w:rsid w:val="00D70B8E"/>
    <w:rsid w:val="00D74744"/>
    <w:rsid w:val="00D95E0A"/>
    <w:rsid w:val="00D96CC4"/>
    <w:rsid w:val="00D972B2"/>
    <w:rsid w:val="00D972F4"/>
    <w:rsid w:val="00DA40A4"/>
    <w:rsid w:val="00DA4C46"/>
    <w:rsid w:val="00DB50F4"/>
    <w:rsid w:val="00DB5FCF"/>
    <w:rsid w:val="00DB7C4E"/>
    <w:rsid w:val="00DC0DDC"/>
    <w:rsid w:val="00DC22D2"/>
    <w:rsid w:val="00DC78B0"/>
    <w:rsid w:val="00DD581D"/>
    <w:rsid w:val="00DD75B9"/>
    <w:rsid w:val="00DD783D"/>
    <w:rsid w:val="00DE5BF0"/>
    <w:rsid w:val="00DF2264"/>
    <w:rsid w:val="00DF6F2A"/>
    <w:rsid w:val="00E02D4E"/>
    <w:rsid w:val="00E10293"/>
    <w:rsid w:val="00E16462"/>
    <w:rsid w:val="00E23ABA"/>
    <w:rsid w:val="00E23CEF"/>
    <w:rsid w:val="00E2638A"/>
    <w:rsid w:val="00E34ACB"/>
    <w:rsid w:val="00E405D1"/>
    <w:rsid w:val="00E45081"/>
    <w:rsid w:val="00E45C74"/>
    <w:rsid w:val="00E47F36"/>
    <w:rsid w:val="00E714BD"/>
    <w:rsid w:val="00E771DC"/>
    <w:rsid w:val="00E77BC7"/>
    <w:rsid w:val="00E77EFC"/>
    <w:rsid w:val="00E971AF"/>
    <w:rsid w:val="00E97E15"/>
    <w:rsid w:val="00EA0900"/>
    <w:rsid w:val="00EA1A49"/>
    <w:rsid w:val="00EA6C34"/>
    <w:rsid w:val="00EB20A7"/>
    <w:rsid w:val="00EB51CF"/>
    <w:rsid w:val="00EB5910"/>
    <w:rsid w:val="00EC6619"/>
    <w:rsid w:val="00EC7412"/>
    <w:rsid w:val="00ED2FD2"/>
    <w:rsid w:val="00EE58AE"/>
    <w:rsid w:val="00EF6598"/>
    <w:rsid w:val="00F00C82"/>
    <w:rsid w:val="00F057DE"/>
    <w:rsid w:val="00F13665"/>
    <w:rsid w:val="00F32A7C"/>
    <w:rsid w:val="00F35316"/>
    <w:rsid w:val="00F4262A"/>
    <w:rsid w:val="00F433EE"/>
    <w:rsid w:val="00F43D19"/>
    <w:rsid w:val="00F50CE7"/>
    <w:rsid w:val="00F51B4E"/>
    <w:rsid w:val="00F57C9B"/>
    <w:rsid w:val="00F6052A"/>
    <w:rsid w:val="00F702D4"/>
    <w:rsid w:val="00F72EA4"/>
    <w:rsid w:val="00F73E6A"/>
    <w:rsid w:val="00F90B9A"/>
    <w:rsid w:val="00FA3A57"/>
    <w:rsid w:val="00FB3B76"/>
    <w:rsid w:val="00FB7269"/>
    <w:rsid w:val="00FC1DDC"/>
    <w:rsid w:val="00FD287A"/>
    <w:rsid w:val="00FD786D"/>
    <w:rsid w:val="00FE52DA"/>
    <w:rsid w:val="00FE535A"/>
    <w:rsid w:val="00FF2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4412F1"/>
  <w15:chartTrackingRefBased/>
  <w15:docId w15:val="{04F346C3-AA9A-6546-8BB0-26F04892B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a">
    <w:name w:val="Normal"/>
    <w:qFormat/>
    <w:rsid w:val="00047AE8"/>
    <w:rPr>
      <w:rFonts w:ascii="Times New Roman" w:eastAsia="Times New Roman" w:hAnsi="Times New Roman" w:cs="Times New Roman"/>
      <w:lang w:eastAsia="ru-RU"/>
    </w:rPr>
  </w:style>
  <w:style w:type="paragraph" w:styleId="2">
    <w:name w:val="heading 2"/>
    <w:basedOn w:val="a"/>
    <w:link w:val="20"/>
    <w:uiPriority w:val="9"/>
    <w:qFormat/>
    <w:rsid w:val="00CA1B3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"/>
    <w:next w:val="a"/>
    <w:link w:val="30"/>
    <w:uiPriority w:val="9"/>
    <w:unhideWhenUsed/>
    <w:qFormat/>
    <w:rsid w:val="00047AE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igtext">
    <w:name w:val="bigtext"/>
    <w:basedOn w:val="a"/>
    <w:rsid w:val="001E3E97"/>
    <w:pPr>
      <w:spacing w:before="100" w:beforeAutospacing="1" w:after="100" w:afterAutospacing="1"/>
    </w:pPr>
  </w:style>
  <w:style w:type="character" w:styleId="a3">
    <w:name w:val="Hyperlink"/>
    <w:basedOn w:val="a0"/>
    <w:uiPriority w:val="99"/>
    <w:unhideWhenUsed/>
    <w:rsid w:val="001E3E97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unhideWhenUsed/>
    <w:rsid w:val="003C16D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3C16D9"/>
    <w:rPr>
      <w:rFonts w:ascii="Courier New" w:eastAsia="Times New Roman" w:hAnsi="Courier New" w:cs="Courier New"/>
      <w:sz w:val="20"/>
      <w:szCs w:val="20"/>
      <w:lang w:eastAsia="ru-RU"/>
    </w:rPr>
  </w:style>
  <w:style w:type="table" w:styleId="a4">
    <w:name w:val="Table Grid"/>
    <w:basedOn w:val="a1"/>
    <w:uiPriority w:val="39"/>
    <w:rsid w:val="005F64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y2iqfc">
    <w:name w:val="y2iqfc"/>
    <w:basedOn w:val="a0"/>
    <w:rsid w:val="00237347"/>
  </w:style>
  <w:style w:type="character" w:customStyle="1" w:styleId="20">
    <w:name w:val="Заголовок 2 Знак"/>
    <w:basedOn w:val="a0"/>
    <w:link w:val="2"/>
    <w:uiPriority w:val="9"/>
    <w:rsid w:val="00CA1B3F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5">
    <w:name w:val="Unresolved Mention"/>
    <w:basedOn w:val="a0"/>
    <w:uiPriority w:val="99"/>
    <w:rsid w:val="005B1B62"/>
    <w:rPr>
      <w:color w:val="605E5C"/>
      <w:shd w:val="clear" w:color="auto" w:fill="E1DFDD"/>
    </w:rPr>
  </w:style>
  <w:style w:type="paragraph" w:styleId="a6">
    <w:name w:val="List Paragraph"/>
    <w:basedOn w:val="a"/>
    <w:uiPriority w:val="34"/>
    <w:qFormat/>
    <w:rsid w:val="00CB2ACC"/>
    <w:pPr>
      <w:ind w:left="720"/>
      <w:contextualSpacing/>
    </w:pPr>
  </w:style>
  <w:style w:type="paragraph" w:styleId="a7">
    <w:name w:val="Normal (Web)"/>
    <w:basedOn w:val="a"/>
    <w:uiPriority w:val="99"/>
    <w:semiHidden/>
    <w:unhideWhenUsed/>
    <w:rsid w:val="000E194B"/>
    <w:pPr>
      <w:spacing w:before="100" w:beforeAutospacing="1" w:after="100" w:afterAutospacing="1"/>
    </w:pPr>
  </w:style>
  <w:style w:type="character" w:customStyle="1" w:styleId="30">
    <w:name w:val="Заголовок 3 Знак"/>
    <w:basedOn w:val="a0"/>
    <w:link w:val="3"/>
    <w:uiPriority w:val="9"/>
    <w:rsid w:val="00047AE8"/>
    <w:rPr>
      <w:rFonts w:asciiTheme="majorHAnsi" w:eastAsiaTheme="majorEastAsia" w:hAnsiTheme="majorHAnsi" w:cstheme="majorBidi"/>
      <w:color w:val="1F3763" w:themeColor="accent1" w:themeShade="7F"/>
      <w:lang w:eastAsia="ru-RU"/>
    </w:rPr>
  </w:style>
  <w:style w:type="character" w:styleId="HTML1">
    <w:name w:val="HTML Code"/>
    <w:basedOn w:val="a0"/>
    <w:uiPriority w:val="99"/>
    <w:semiHidden/>
    <w:unhideWhenUsed/>
    <w:rsid w:val="00B803D0"/>
    <w:rPr>
      <w:rFonts w:ascii="Courier New" w:eastAsia="Times New Roman" w:hAnsi="Courier New" w:cs="Courier New"/>
      <w:sz w:val="20"/>
      <w:szCs w:val="20"/>
    </w:rPr>
  </w:style>
  <w:style w:type="paragraph" w:styleId="a8">
    <w:name w:val="header"/>
    <w:basedOn w:val="a"/>
    <w:link w:val="a9"/>
    <w:uiPriority w:val="99"/>
    <w:unhideWhenUsed/>
    <w:rsid w:val="00FA3A57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FA3A57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"/>
    <w:link w:val="ab"/>
    <w:uiPriority w:val="99"/>
    <w:unhideWhenUsed/>
    <w:rsid w:val="00FA3A57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FA3A57"/>
    <w:rPr>
      <w:rFonts w:ascii="Times New Roman" w:eastAsia="Times New Roman" w:hAnsi="Times New Roman" w:cs="Times New Roman"/>
      <w:lang w:eastAsia="ru-RU"/>
    </w:rPr>
  </w:style>
  <w:style w:type="paragraph" w:styleId="ac">
    <w:name w:val="Body Text"/>
    <w:basedOn w:val="a"/>
    <w:link w:val="ad"/>
    <w:uiPriority w:val="1"/>
    <w:qFormat/>
    <w:rsid w:val="00723D0F"/>
    <w:pPr>
      <w:widowControl w:val="0"/>
      <w:autoSpaceDE w:val="0"/>
      <w:autoSpaceDN w:val="0"/>
    </w:pPr>
    <w:rPr>
      <w:rFonts w:ascii="Georgia" w:eastAsia="Georgia" w:hAnsi="Georgia" w:cs="Georgia"/>
      <w:lang w:eastAsia="en-US"/>
    </w:rPr>
  </w:style>
  <w:style w:type="character" w:customStyle="1" w:styleId="ad">
    <w:name w:val="Основной текст Знак"/>
    <w:basedOn w:val="a0"/>
    <w:link w:val="ac"/>
    <w:uiPriority w:val="1"/>
    <w:rsid w:val="00723D0F"/>
    <w:rPr>
      <w:rFonts w:ascii="Georgia" w:eastAsia="Georgia" w:hAnsi="Georgia" w:cs="Georgia"/>
    </w:rPr>
  </w:style>
  <w:style w:type="paragraph" w:customStyle="1" w:styleId="TableParagraph">
    <w:name w:val="Table Paragraph"/>
    <w:basedOn w:val="a"/>
    <w:uiPriority w:val="1"/>
    <w:qFormat/>
    <w:rsid w:val="00095D14"/>
    <w:pPr>
      <w:widowControl w:val="0"/>
      <w:autoSpaceDE w:val="0"/>
      <w:autoSpaceDN w:val="0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964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3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2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20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3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0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7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6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5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45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53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1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5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9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15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72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96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1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61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3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94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6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8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1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76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0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36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53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6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107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137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60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524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689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image" Target="media/image1.png"/><Relationship Id="rId18" Type="http://schemas.openxmlformats.org/officeDocument/2006/relationships/hyperlink" Target="https://elibrary.ru/contents.asp?id=45708020&amp;selid=45708023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image" Target="media/image5.tiff"/><Relationship Id="rId2" Type="http://schemas.openxmlformats.org/officeDocument/2006/relationships/numbering" Target="numbering.xml"/><Relationship Id="rId16" Type="http://schemas.openxmlformats.org/officeDocument/2006/relationships/image" Target="media/image4.tiff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image" Target="media/image3.tiff"/><Relationship Id="rId10" Type="http://schemas.openxmlformats.org/officeDocument/2006/relationships/diagramQuickStyle" Target="diagrams/quickStyle1.xml"/><Relationship Id="rId19" Type="http://schemas.openxmlformats.org/officeDocument/2006/relationships/hyperlink" Target="https://elibrary.ru/contents.asp?id=43986692&amp;selid=43986720" TargetMode="Externa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image" Target="media/image2.tiff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7E9BFF62-AE67-144E-A96E-9C52D2662319}" type="doc">
      <dgm:prSet loTypeId="urn:microsoft.com/office/officeart/2005/8/layout/process4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ru-RU"/>
        </a:p>
      </dgm:t>
    </dgm:pt>
    <dgm:pt modelId="{12FBDD6D-37CF-A445-B961-27404FDD1CFB}">
      <dgm:prSet phldrT="[Текст]" custT="1"/>
      <dgm:spPr/>
      <dgm:t>
        <a:bodyPr/>
        <a:lstStyle/>
        <a:p>
          <a:pPr algn="ctr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Исследование статистических свойств показателя</a:t>
          </a:r>
        </a:p>
      </dgm:t>
    </dgm:pt>
    <dgm:pt modelId="{537463F6-E2A1-1C4E-9837-123B12AD1B13}" type="parTrans" cxnId="{A59C1F8D-8B16-A849-9162-62AF874D1A96}">
      <dgm:prSet/>
      <dgm:spPr/>
      <dgm:t>
        <a:bodyPr/>
        <a:lstStyle/>
        <a:p>
          <a:pPr algn="ctr"/>
          <a:endParaRPr lang="ru-RU"/>
        </a:p>
      </dgm:t>
    </dgm:pt>
    <dgm:pt modelId="{9CA2EE3E-6044-5949-A0B0-57115D443361}" type="sibTrans" cxnId="{A59C1F8D-8B16-A849-9162-62AF874D1A96}">
      <dgm:prSet/>
      <dgm:spPr/>
      <dgm:t>
        <a:bodyPr/>
        <a:lstStyle/>
        <a:p>
          <a:pPr algn="ctr"/>
          <a:endParaRPr lang="ru-RU"/>
        </a:p>
      </dgm:t>
    </dgm:pt>
    <dgm:pt modelId="{DECCEDCE-FAD0-F34F-BD95-F27BFF159BE9}">
      <dgm:prSet phldrT="[Текст]" custT="1"/>
      <dgm:spPr/>
      <dgm:t>
        <a:bodyPr/>
        <a:lstStyle/>
        <a:p>
          <a:pPr algn="ctr"/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стандартное отклонение</a:t>
          </a:r>
        </a:p>
      </dgm:t>
    </dgm:pt>
    <dgm:pt modelId="{A577F1E0-B0F0-2E48-B276-F8FB697D498E}" type="parTrans" cxnId="{194BD01A-E52C-E549-A4FA-5205FFC92B2B}">
      <dgm:prSet/>
      <dgm:spPr/>
      <dgm:t>
        <a:bodyPr/>
        <a:lstStyle/>
        <a:p>
          <a:pPr algn="ctr"/>
          <a:endParaRPr lang="ru-RU"/>
        </a:p>
      </dgm:t>
    </dgm:pt>
    <dgm:pt modelId="{597246DB-05D3-DD43-A37D-7B4DE573ED25}" type="sibTrans" cxnId="{194BD01A-E52C-E549-A4FA-5205FFC92B2B}">
      <dgm:prSet/>
      <dgm:spPr/>
      <dgm:t>
        <a:bodyPr/>
        <a:lstStyle/>
        <a:p>
          <a:pPr algn="ctr"/>
          <a:endParaRPr lang="ru-RU"/>
        </a:p>
      </dgm:t>
    </dgm:pt>
    <dgm:pt modelId="{AA55A375-E5A1-284C-9B65-F5C10B06549C}">
      <dgm:prSet phldrT="[Текст]"/>
      <dgm:spPr/>
      <dgm:t>
        <a:bodyPr/>
        <a:lstStyle/>
        <a:p>
          <a:pPr algn="ctr"/>
          <a:r>
            <a:rPr lang="ru-RU">
              <a:latin typeface="Times New Roman" panose="02020603050405020304" pitchFamily="18" charset="0"/>
              <a:cs typeface="Times New Roman" panose="02020603050405020304" pitchFamily="18" charset="0"/>
            </a:rPr>
            <a:t>среднее значение </a:t>
          </a:r>
        </a:p>
      </dgm:t>
    </dgm:pt>
    <dgm:pt modelId="{807F97D2-A4C0-9142-83FD-EAA7B4DD5135}" type="parTrans" cxnId="{4418FDC0-FB8B-A841-B121-D5D85F10BA4A}">
      <dgm:prSet/>
      <dgm:spPr/>
      <dgm:t>
        <a:bodyPr/>
        <a:lstStyle/>
        <a:p>
          <a:pPr algn="ctr"/>
          <a:endParaRPr lang="ru-RU"/>
        </a:p>
      </dgm:t>
    </dgm:pt>
    <dgm:pt modelId="{38B31115-81C4-9C47-8400-A6D012EBCD02}" type="sibTrans" cxnId="{4418FDC0-FB8B-A841-B121-D5D85F10BA4A}">
      <dgm:prSet/>
      <dgm:spPr/>
      <dgm:t>
        <a:bodyPr/>
        <a:lstStyle/>
        <a:p>
          <a:pPr algn="ctr"/>
          <a:endParaRPr lang="ru-RU"/>
        </a:p>
      </dgm:t>
    </dgm:pt>
    <dgm:pt modelId="{9C2589B7-CA5B-334F-ACFC-EBAB733FE3A8}">
      <dgm:prSet phldrT="[Текст]" custT="1"/>
      <dgm:spPr/>
      <dgm:t>
        <a:bodyPr/>
        <a:lstStyle/>
        <a:p>
          <a:pPr algn="ctr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Дифференцирование нестационарных временных рядов</a:t>
          </a:r>
        </a:p>
      </dgm:t>
    </dgm:pt>
    <dgm:pt modelId="{6CCC0147-EA36-5149-BA27-256FE5310B67}" type="parTrans" cxnId="{B22B0BB4-4CEA-834B-9AB0-6B6090E92A36}">
      <dgm:prSet/>
      <dgm:spPr/>
      <dgm:t>
        <a:bodyPr/>
        <a:lstStyle/>
        <a:p>
          <a:pPr algn="ctr"/>
          <a:endParaRPr lang="ru-RU"/>
        </a:p>
      </dgm:t>
    </dgm:pt>
    <dgm:pt modelId="{C1DA59C6-FB84-C844-88B1-BE2BEAF3362B}" type="sibTrans" cxnId="{B22B0BB4-4CEA-834B-9AB0-6B6090E92A36}">
      <dgm:prSet/>
      <dgm:spPr/>
      <dgm:t>
        <a:bodyPr/>
        <a:lstStyle/>
        <a:p>
          <a:pPr algn="ctr"/>
          <a:endParaRPr lang="ru-RU"/>
        </a:p>
      </dgm:t>
    </dgm:pt>
    <dgm:pt modelId="{FCA598B1-1D6F-FC4E-95A0-410DEF4703BA}">
      <dgm:prSet phldrT="[Текст]" custT="1"/>
      <dgm:spPr/>
      <dgm:t>
        <a:bodyPr/>
        <a:lstStyle/>
        <a:p>
          <a:pPr algn="ctr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Выделение компонентов ряда</a:t>
          </a:r>
        </a:p>
      </dgm:t>
    </dgm:pt>
    <dgm:pt modelId="{3BA7B29E-D4A7-CE43-A7EB-CE56A6AC679B}" type="parTrans" cxnId="{4DCAB334-71DF-0B41-B930-99BE2CBA3E07}">
      <dgm:prSet/>
      <dgm:spPr/>
      <dgm:t>
        <a:bodyPr/>
        <a:lstStyle/>
        <a:p>
          <a:pPr algn="ctr"/>
          <a:endParaRPr lang="ru-RU"/>
        </a:p>
      </dgm:t>
    </dgm:pt>
    <dgm:pt modelId="{B725781B-827D-9542-A143-D2DA720AE638}" type="sibTrans" cxnId="{4DCAB334-71DF-0B41-B930-99BE2CBA3E07}">
      <dgm:prSet/>
      <dgm:spPr/>
      <dgm:t>
        <a:bodyPr/>
        <a:lstStyle/>
        <a:p>
          <a:pPr algn="ctr"/>
          <a:endParaRPr lang="ru-RU"/>
        </a:p>
      </dgm:t>
    </dgm:pt>
    <dgm:pt modelId="{F408702B-C4D8-DB47-9C2E-2EE5755E3CFC}">
      <dgm:prSet phldrT="[Текст]"/>
      <dgm:spPr/>
      <dgm:t>
        <a:bodyPr/>
        <a:lstStyle/>
        <a:p>
          <a:pPr algn="ctr"/>
          <a:r>
            <a:rPr lang="ru-RU">
              <a:latin typeface="Times New Roman" panose="02020603050405020304" pitchFamily="18" charset="0"/>
              <a:cs typeface="Times New Roman" panose="02020603050405020304" pitchFamily="18" charset="0"/>
            </a:rPr>
            <a:t>тренд</a:t>
          </a:r>
        </a:p>
      </dgm:t>
    </dgm:pt>
    <dgm:pt modelId="{3EC18C01-6A4B-874F-9F94-DD1268FDBB5B}" type="parTrans" cxnId="{BFE3D736-BA8C-AD42-90DD-348377E459AF}">
      <dgm:prSet/>
      <dgm:spPr/>
      <dgm:t>
        <a:bodyPr/>
        <a:lstStyle/>
        <a:p>
          <a:pPr algn="ctr"/>
          <a:endParaRPr lang="ru-RU"/>
        </a:p>
      </dgm:t>
    </dgm:pt>
    <dgm:pt modelId="{A4B03F47-0FBC-7349-952D-4F72B045A7CD}" type="sibTrans" cxnId="{BFE3D736-BA8C-AD42-90DD-348377E459AF}">
      <dgm:prSet/>
      <dgm:spPr/>
      <dgm:t>
        <a:bodyPr/>
        <a:lstStyle/>
        <a:p>
          <a:pPr algn="ctr"/>
          <a:endParaRPr lang="ru-RU"/>
        </a:p>
      </dgm:t>
    </dgm:pt>
    <dgm:pt modelId="{7C36023D-70F8-D24C-87AC-0AF262F382FD}">
      <dgm:prSet phldrT="[Текст]"/>
      <dgm:spPr/>
      <dgm:t>
        <a:bodyPr/>
        <a:lstStyle/>
        <a:p>
          <a:pPr algn="ctr"/>
          <a:r>
            <a:rPr lang="ru-RU">
              <a:latin typeface="Times New Roman" panose="02020603050405020304" pitchFamily="18" charset="0"/>
              <a:cs typeface="Times New Roman" panose="02020603050405020304" pitchFamily="18" charset="0"/>
            </a:rPr>
            <a:t>сезонность</a:t>
          </a:r>
        </a:p>
      </dgm:t>
    </dgm:pt>
    <dgm:pt modelId="{AA901F02-A1B3-6747-B1BF-40069A1B42A8}" type="parTrans" cxnId="{62BECFA5-F585-1A49-B418-59E1DB5F7D50}">
      <dgm:prSet/>
      <dgm:spPr/>
      <dgm:t>
        <a:bodyPr/>
        <a:lstStyle/>
        <a:p>
          <a:pPr algn="ctr"/>
          <a:endParaRPr lang="ru-RU"/>
        </a:p>
      </dgm:t>
    </dgm:pt>
    <dgm:pt modelId="{DB9B10CE-70E5-BC4F-92D5-9EBA0AAD187B}" type="sibTrans" cxnId="{62BECFA5-F585-1A49-B418-59E1DB5F7D50}">
      <dgm:prSet/>
      <dgm:spPr/>
      <dgm:t>
        <a:bodyPr/>
        <a:lstStyle/>
        <a:p>
          <a:pPr algn="ctr"/>
          <a:endParaRPr lang="ru-RU"/>
        </a:p>
      </dgm:t>
    </dgm:pt>
    <dgm:pt modelId="{EE0B3956-EAA3-1D43-B606-F97418D4B9ED}">
      <dgm:prSet/>
      <dgm:spPr/>
      <dgm:t>
        <a:bodyPr/>
        <a:lstStyle/>
        <a:p>
          <a:pPr algn="ctr"/>
          <a:r>
            <a:rPr lang="ru-RU">
              <a:latin typeface="Times New Roman" panose="02020603050405020304" pitchFamily="18" charset="0"/>
              <a:cs typeface="Times New Roman" panose="02020603050405020304" pitchFamily="18" charset="0"/>
            </a:rPr>
            <a:t>тест Дики-Фуллера</a:t>
          </a:r>
        </a:p>
      </dgm:t>
    </dgm:pt>
    <dgm:pt modelId="{2FAA9396-D279-5444-9187-1E4DA1E6E6BF}" type="parTrans" cxnId="{B9572D02-7D17-034E-B48E-A724660B716C}">
      <dgm:prSet/>
      <dgm:spPr/>
      <dgm:t>
        <a:bodyPr/>
        <a:lstStyle/>
        <a:p>
          <a:pPr algn="ctr"/>
          <a:endParaRPr lang="ru-RU"/>
        </a:p>
      </dgm:t>
    </dgm:pt>
    <dgm:pt modelId="{FEAAF82C-3142-414C-9EF1-891948B3E1F6}" type="sibTrans" cxnId="{B9572D02-7D17-034E-B48E-A724660B716C}">
      <dgm:prSet/>
      <dgm:spPr/>
      <dgm:t>
        <a:bodyPr/>
        <a:lstStyle/>
        <a:p>
          <a:pPr algn="ctr"/>
          <a:endParaRPr lang="ru-RU"/>
        </a:p>
      </dgm:t>
    </dgm:pt>
    <dgm:pt modelId="{BA1840DE-4E12-0C4E-91D3-CE4CC1630EC4}">
      <dgm:prSet custT="1"/>
      <dgm:spPr/>
      <dgm:t>
        <a:bodyPr/>
        <a:lstStyle/>
        <a:p>
          <a:pPr algn="ctr"/>
          <a:r>
            <a:rPr lang="ru-RU" sz="1200" b="0" i="0" u="none">
              <a:latin typeface="Times New Roman" panose="02020603050405020304" pitchFamily="18" charset="0"/>
              <a:cs typeface="Times New Roman" panose="02020603050405020304" pitchFamily="18" charset="0"/>
            </a:rPr>
            <a:t>Формирование тестовой выборки (10%)</a:t>
          </a:r>
          <a:endParaRPr lang="en-US" sz="1200" b="0" i="0" u="none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3F571E4-B6C8-8640-8685-8B66DB795059}" type="parTrans" cxnId="{36723560-FEDB-1549-B2AA-691FDC50FAF7}">
      <dgm:prSet/>
      <dgm:spPr/>
      <dgm:t>
        <a:bodyPr/>
        <a:lstStyle/>
        <a:p>
          <a:pPr algn="ctr"/>
          <a:endParaRPr lang="ru-RU"/>
        </a:p>
      </dgm:t>
    </dgm:pt>
    <dgm:pt modelId="{FF7D4C4B-692E-0940-8D3A-085C9D36731B}" type="sibTrans" cxnId="{36723560-FEDB-1549-B2AA-691FDC50FAF7}">
      <dgm:prSet/>
      <dgm:spPr/>
      <dgm:t>
        <a:bodyPr/>
        <a:lstStyle/>
        <a:p>
          <a:pPr algn="ctr"/>
          <a:endParaRPr lang="ru-RU"/>
        </a:p>
      </dgm:t>
    </dgm:pt>
    <dgm:pt modelId="{9F9A005B-415F-E24B-A093-A4C9EFCE2B16}">
      <dgm:prSet/>
      <dgm:spPr/>
      <dgm:t>
        <a:bodyPr/>
        <a:lstStyle/>
        <a:p>
          <a:pPr algn="ctr"/>
          <a:r>
            <a:rPr lang="en-US" b="0" i="0" u="none"/>
            <a:t>delta = X</a:t>
          </a:r>
          <a:r>
            <a:rPr lang="ru-RU" b="0" i="0" u="none"/>
            <a:t> </a:t>
          </a:r>
          <a:r>
            <a:rPr lang="en-US" b="0" i="0" u="none"/>
            <a:t>(t+1) - X</a:t>
          </a:r>
          <a:r>
            <a:rPr lang="ru-RU" b="0" i="0" u="none"/>
            <a:t> </a:t>
          </a:r>
          <a:r>
            <a:rPr lang="en-US" b="0" i="0" u="none"/>
            <a:t>(t)</a:t>
          </a:r>
          <a:endParaRPr lang="en-US"/>
        </a:p>
      </dgm:t>
    </dgm:pt>
    <dgm:pt modelId="{953EE23C-373C-E94F-8C38-492EF8020C0E}" type="parTrans" cxnId="{0A33530D-BF23-AE49-83BF-79E7DED172FA}">
      <dgm:prSet/>
      <dgm:spPr/>
      <dgm:t>
        <a:bodyPr/>
        <a:lstStyle/>
        <a:p>
          <a:pPr algn="ctr"/>
          <a:endParaRPr lang="ru-RU"/>
        </a:p>
      </dgm:t>
    </dgm:pt>
    <dgm:pt modelId="{80AF99CE-7C00-1E4A-B994-9A8D433CD16B}" type="sibTrans" cxnId="{0A33530D-BF23-AE49-83BF-79E7DED172FA}">
      <dgm:prSet/>
      <dgm:spPr/>
      <dgm:t>
        <a:bodyPr/>
        <a:lstStyle/>
        <a:p>
          <a:pPr algn="ctr"/>
          <a:endParaRPr lang="ru-RU"/>
        </a:p>
      </dgm:t>
    </dgm:pt>
    <dgm:pt modelId="{0A31FC88-1D99-7C41-8BDB-B0A4720E38BB}">
      <dgm:prSet/>
      <dgm:spPr/>
      <dgm:t>
        <a:bodyPr/>
        <a:lstStyle/>
        <a:p>
          <a:pPr algn="ctr"/>
          <a:r>
            <a:rPr lang="en-US" b="0" i="0" u="none"/>
            <a:t>X_hat(t) + delta1 = X(t+1)</a:t>
          </a:r>
          <a:endParaRPr lang="ru-RU"/>
        </a:p>
      </dgm:t>
    </dgm:pt>
    <dgm:pt modelId="{18C97E04-C141-DC47-99E4-2B96F200793B}" type="parTrans" cxnId="{06DD5962-877F-194F-8A6F-E21CFD3F93FB}">
      <dgm:prSet/>
      <dgm:spPr/>
      <dgm:t>
        <a:bodyPr/>
        <a:lstStyle/>
        <a:p>
          <a:pPr algn="ctr"/>
          <a:endParaRPr lang="ru-RU"/>
        </a:p>
      </dgm:t>
    </dgm:pt>
    <dgm:pt modelId="{8EF35D53-F4EF-0B44-965D-3982636055B6}" type="sibTrans" cxnId="{06DD5962-877F-194F-8A6F-E21CFD3F93FB}">
      <dgm:prSet/>
      <dgm:spPr/>
      <dgm:t>
        <a:bodyPr/>
        <a:lstStyle/>
        <a:p>
          <a:pPr algn="ctr"/>
          <a:endParaRPr lang="ru-RU"/>
        </a:p>
      </dgm:t>
    </dgm:pt>
    <dgm:pt modelId="{64AB61A1-DDF4-6C47-B96A-6848541E3B4C}">
      <dgm:prSet custT="1"/>
      <dgm:spPr/>
      <dgm:t>
        <a:bodyPr/>
        <a:lstStyle/>
        <a:p>
          <a:pPr algn="ctr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Оценка качества модели и прогноз на ее основе</a:t>
          </a:r>
        </a:p>
      </dgm:t>
    </dgm:pt>
    <dgm:pt modelId="{87633C80-48B1-9240-A40D-D29577676405}" type="parTrans" cxnId="{CD1AB8E4-2116-AB46-BC42-24F7B0C0B465}">
      <dgm:prSet/>
      <dgm:spPr/>
      <dgm:t>
        <a:bodyPr/>
        <a:lstStyle/>
        <a:p>
          <a:pPr algn="ctr"/>
          <a:endParaRPr lang="ru-RU"/>
        </a:p>
      </dgm:t>
    </dgm:pt>
    <dgm:pt modelId="{9F15AEE9-B95A-A347-BCD9-58D46B8D50D4}" type="sibTrans" cxnId="{CD1AB8E4-2116-AB46-BC42-24F7B0C0B465}">
      <dgm:prSet/>
      <dgm:spPr/>
      <dgm:t>
        <a:bodyPr/>
        <a:lstStyle/>
        <a:p>
          <a:pPr algn="ctr"/>
          <a:endParaRPr lang="ru-RU"/>
        </a:p>
      </dgm:t>
    </dgm:pt>
    <dgm:pt modelId="{09450F92-86B5-8D43-AA7E-780F577019A3}" type="pres">
      <dgm:prSet presAssocID="{7E9BFF62-AE67-144E-A96E-9C52D2662319}" presName="Name0" presStyleCnt="0">
        <dgm:presLayoutVars>
          <dgm:dir/>
          <dgm:animLvl val="lvl"/>
          <dgm:resizeHandles val="exact"/>
        </dgm:presLayoutVars>
      </dgm:prSet>
      <dgm:spPr/>
    </dgm:pt>
    <dgm:pt modelId="{34386330-5447-3641-AFE2-EEAD59563E30}" type="pres">
      <dgm:prSet presAssocID="{64AB61A1-DDF4-6C47-B96A-6848541E3B4C}" presName="boxAndChildren" presStyleCnt="0"/>
      <dgm:spPr/>
    </dgm:pt>
    <dgm:pt modelId="{D34924B9-CB43-DE4B-BE30-082ADD3AA8C5}" type="pres">
      <dgm:prSet presAssocID="{64AB61A1-DDF4-6C47-B96A-6848541E3B4C}" presName="parentTextBox" presStyleLbl="node1" presStyleIdx="0" presStyleCnt="5" custLinFactNeighborX="13" custLinFactNeighborY="340"/>
      <dgm:spPr/>
    </dgm:pt>
    <dgm:pt modelId="{223F4FCA-79CC-3040-9216-1F2CA1BD519D}" type="pres">
      <dgm:prSet presAssocID="{B725781B-827D-9542-A143-D2DA720AE638}" presName="sp" presStyleCnt="0"/>
      <dgm:spPr/>
    </dgm:pt>
    <dgm:pt modelId="{E262A51A-AF35-0845-B155-1F5D23FD22FA}" type="pres">
      <dgm:prSet presAssocID="{FCA598B1-1D6F-FC4E-95A0-410DEF4703BA}" presName="arrowAndChildren" presStyleCnt="0"/>
      <dgm:spPr/>
    </dgm:pt>
    <dgm:pt modelId="{3AB5C4EF-DE1F-8C45-AFF4-1825F3517592}" type="pres">
      <dgm:prSet presAssocID="{FCA598B1-1D6F-FC4E-95A0-410DEF4703BA}" presName="parentTextArrow" presStyleLbl="node1" presStyleIdx="0" presStyleCnt="5"/>
      <dgm:spPr/>
    </dgm:pt>
    <dgm:pt modelId="{59036C76-B72F-9347-8E60-B7A2AD3AE55C}" type="pres">
      <dgm:prSet presAssocID="{FCA598B1-1D6F-FC4E-95A0-410DEF4703BA}" presName="arrow" presStyleLbl="node1" presStyleIdx="1" presStyleCnt="5"/>
      <dgm:spPr/>
    </dgm:pt>
    <dgm:pt modelId="{01DB327C-5B12-484E-BF9F-BED3F9B7DB63}" type="pres">
      <dgm:prSet presAssocID="{FCA598B1-1D6F-FC4E-95A0-410DEF4703BA}" presName="descendantArrow" presStyleCnt="0"/>
      <dgm:spPr/>
    </dgm:pt>
    <dgm:pt modelId="{DD5EA377-5C4D-1C46-8962-1493E5EC87CA}" type="pres">
      <dgm:prSet presAssocID="{F408702B-C4D8-DB47-9C2E-2EE5755E3CFC}" presName="childTextArrow" presStyleLbl="fgAccFollowNode1" presStyleIdx="0" presStyleCnt="7">
        <dgm:presLayoutVars>
          <dgm:bulletEnabled val="1"/>
        </dgm:presLayoutVars>
      </dgm:prSet>
      <dgm:spPr/>
    </dgm:pt>
    <dgm:pt modelId="{0ABA8BF6-F0A3-F242-B4BE-5F7B55FA010A}" type="pres">
      <dgm:prSet presAssocID="{7C36023D-70F8-D24C-87AC-0AF262F382FD}" presName="childTextArrow" presStyleLbl="fgAccFollowNode1" presStyleIdx="1" presStyleCnt="7">
        <dgm:presLayoutVars>
          <dgm:bulletEnabled val="1"/>
        </dgm:presLayoutVars>
      </dgm:prSet>
      <dgm:spPr/>
    </dgm:pt>
    <dgm:pt modelId="{481059F3-A9E3-BA48-BB29-1A23DC395214}" type="pres">
      <dgm:prSet presAssocID="{FF7D4C4B-692E-0940-8D3A-085C9D36731B}" presName="sp" presStyleCnt="0"/>
      <dgm:spPr/>
    </dgm:pt>
    <dgm:pt modelId="{60228922-C13D-7941-8C69-CAB1271E6199}" type="pres">
      <dgm:prSet presAssocID="{BA1840DE-4E12-0C4E-91D3-CE4CC1630EC4}" presName="arrowAndChildren" presStyleCnt="0"/>
      <dgm:spPr/>
    </dgm:pt>
    <dgm:pt modelId="{B21E8F0F-A284-9948-9837-518D1EE55186}" type="pres">
      <dgm:prSet presAssocID="{BA1840DE-4E12-0C4E-91D3-CE4CC1630EC4}" presName="parentTextArrow" presStyleLbl="node1" presStyleIdx="2" presStyleCnt="5"/>
      <dgm:spPr/>
    </dgm:pt>
    <dgm:pt modelId="{DFA00A37-2179-8B46-941B-E18BB37F4476}" type="pres">
      <dgm:prSet presAssocID="{C1DA59C6-FB84-C844-88B1-BE2BEAF3362B}" presName="sp" presStyleCnt="0"/>
      <dgm:spPr/>
    </dgm:pt>
    <dgm:pt modelId="{DDF88753-65CC-4949-9C3D-52E14F673763}" type="pres">
      <dgm:prSet presAssocID="{9C2589B7-CA5B-334F-ACFC-EBAB733FE3A8}" presName="arrowAndChildren" presStyleCnt="0"/>
      <dgm:spPr/>
    </dgm:pt>
    <dgm:pt modelId="{E087E71C-9236-9B45-A0D7-EF139AA1B684}" type="pres">
      <dgm:prSet presAssocID="{9C2589B7-CA5B-334F-ACFC-EBAB733FE3A8}" presName="parentTextArrow" presStyleLbl="node1" presStyleIdx="2" presStyleCnt="5"/>
      <dgm:spPr/>
    </dgm:pt>
    <dgm:pt modelId="{C94E543E-D48C-1F4E-A91E-CD4A4AEE56EE}" type="pres">
      <dgm:prSet presAssocID="{9C2589B7-CA5B-334F-ACFC-EBAB733FE3A8}" presName="arrow" presStyleLbl="node1" presStyleIdx="3" presStyleCnt="5"/>
      <dgm:spPr/>
    </dgm:pt>
    <dgm:pt modelId="{145E4D6F-6867-A340-B5AC-21BAA3DA6622}" type="pres">
      <dgm:prSet presAssocID="{9C2589B7-CA5B-334F-ACFC-EBAB733FE3A8}" presName="descendantArrow" presStyleCnt="0"/>
      <dgm:spPr/>
    </dgm:pt>
    <dgm:pt modelId="{7E940C53-E075-F040-A5D1-659AF6354F93}" type="pres">
      <dgm:prSet presAssocID="{9F9A005B-415F-E24B-A093-A4C9EFCE2B16}" presName="childTextArrow" presStyleLbl="fgAccFollowNode1" presStyleIdx="2" presStyleCnt="7">
        <dgm:presLayoutVars>
          <dgm:bulletEnabled val="1"/>
        </dgm:presLayoutVars>
      </dgm:prSet>
      <dgm:spPr/>
    </dgm:pt>
    <dgm:pt modelId="{DA9F6271-F673-F940-89B0-A420F4784895}" type="pres">
      <dgm:prSet presAssocID="{0A31FC88-1D99-7C41-8BDB-B0A4720E38BB}" presName="childTextArrow" presStyleLbl="fgAccFollowNode1" presStyleIdx="3" presStyleCnt="7">
        <dgm:presLayoutVars>
          <dgm:bulletEnabled val="1"/>
        </dgm:presLayoutVars>
      </dgm:prSet>
      <dgm:spPr/>
    </dgm:pt>
    <dgm:pt modelId="{C2FF079B-21B1-8D49-83CE-635D97A1DA11}" type="pres">
      <dgm:prSet presAssocID="{9CA2EE3E-6044-5949-A0B0-57115D443361}" presName="sp" presStyleCnt="0"/>
      <dgm:spPr/>
    </dgm:pt>
    <dgm:pt modelId="{EC5D3002-8013-584E-B0BE-DB939F0413C9}" type="pres">
      <dgm:prSet presAssocID="{12FBDD6D-37CF-A445-B961-27404FDD1CFB}" presName="arrowAndChildren" presStyleCnt="0"/>
      <dgm:spPr/>
    </dgm:pt>
    <dgm:pt modelId="{4EAD1A00-6827-4142-BFFD-883E3EDA403A}" type="pres">
      <dgm:prSet presAssocID="{12FBDD6D-37CF-A445-B961-27404FDD1CFB}" presName="parentTextArrow" presStyleLbl="node1" presStyleIdx="3" presStyleCnt="5"/>
      <dgm:spPr/>
    </dgm:pt>
    <dgm:pt modelId="{5F535740-825C-BD4F-AB90-C643CC4B3AD4}" type="pres">
      <dgm:prSet presAssocID="{12FBDD6D-37CF-A445-B961-27404FDD1CFB}" presName="arrow" presStyleLbl="node1" presStyleIdx="4" presStyleCnt="5"/>
      <dgm:spPr/>
    </dgm:pt>
    <dgm:pt modelId="{6A143124-761F-6044-91A9-99EB88A4D09A}" type="pres">
      <dgm:prSet presAssocID="{12FBDD6D-37CF-A445-B961-27404FDD1CFB}" presName="descendantArrow" presStyleCnt="0"/>
      <dgm:spPr/>
    </dgm:pt>
    <dgm:pt modelId="{862B5195-23F7-7C4B-B89C-30F4015CC874}" type="pres">
      <dgm:prSet presAssocID="{DECCEDCE-FAD0-F34F-BD95-F27BFF159BE9}" presName="childTextArrow" presStyleLbl="fgAccFollowNode1" presStyleIdx="4" presStyleCnt="7">
        <dgm:presLayoutVars>
          <dgm:bulletEnabled val="1"/>
        </dgm:presLayoutVars>
      </dgm:prSet>
      <dgm:spPr/>
    </dgm:pt>
    <dgm:pt modelId="{B3297F71-ABE5-B944-94CC-C85CECE6D076}" type="pres">
      <dgm:prSet presAssocID="{AA55A375-E5A1-284C-9B65-F5C10B06549C}" presName="childTextArrow" presStyleLbl="fgAccFollowNode1" presStyleIdx="5" presStyleCnt="7">
        <dgm:presLayoutVars>
          <dgm:bulletEnabled val="1"/>
        </dgm:presLayoutVars>
      </dgm:prSet>
      <dgm:spPr/>
    </dgm:pt>
    <dgm:pt modelId="{E6377925-BF19-AD4E-A26D-B609151E8918}" type="pres">
      <dgm:prSet presAssocID="{EE0B3956-EAA3-1D43-B606-F97418D4B9ED}" presName="childTextArrow" presStyleLbl="fgAccFollowNode1" presStyleIdx="6" presStyleCnt="7">
        <dgm:presLayoutVars>
          <dgm:bulletEnabled val="1"/>
        </dgm:presLayoutVars>
      </dgm:prSet>
      <dgm:spPr/>
    </dgm:pt>
  </dgm:ptLst>
  <dgm:cxnLst>
    <dgm:cxn modelId="{B9572D02-7D17-034E-B48E-A724660B716C}" srcId="{12FBDD6D-37CF-A445-B961-27404FDD1CFB}" destId="{EE0B3956-EAA3-1D43-B606-F97418D4B9ED}" srcOrd="2" destOrd="0" parTransId="{2FAA9396-D279-5444-9187-1E4DA1E6E6BF}" sibTransId="{FEAAF82C-3142-414C-9EF1-891948B3E1F6}"/>
    <dgm:cxn modelId="{0A33530D-BF23-AE49-83BF-79E7DED172FA}" srcId="{9C2589B7-CA5B-334F-ACFC-EBAB733FE3A8}" destId="{9F9A005B-415F-E24B-A093-A4C9EFCE2B16}" srcOrd="0" destOrd="0" parTransId="{953EE23C-373C-E94F-8C38-492EF8020C0E}" sibTransId="{80AF99CE-7C00-1E4A-B994-9A8D433CD16B}"/>
    <dgm:cxn modelId="{01863017-3BFB-2343-8852-D45C71197AD6}" type="presOf" srcId="{9C2589B7-CA5B-334F-ACFC-EBAB733FE3A8}" destId="{C94E543E-D48C-1F4E-A91E-CD4A4AEE56EE}" srcOrd="1" destOrd="0" presId="urn:microsoft.com/office/officeart/2005/8/layout/process4"/>
    <dgm:cxn modelId="{194BD01A-E52C-E549-A4FA-5205FFC92B2B}" srcId="{12FBDD6D-37CF-A445-B961-27404FDD1CFB}" destId="{DECCEDCE-FAD0-F34F-BD95-F27BFF159BE9}" srcOrd="0" destOrd="0" parTransId="{A577F1E0-B0F0-2E48-B276-F8FB697D498E}" sibTransId="{597246DB-05D3-DD43-A37D-7B4DE573ED25}"/>
    <dgm:cxn modelId="{4DCAB334-71DF-0B41-B930-99BE2CBA3E07}" srcId="{7E9BFF62-AE67-144E-A96E-9C52D2662319}" destId="{FCA598B1-1D6F-FC4E-95A0-410DEF4703BA}" srcOrd="3" destOrd="0" parTransId="{3BA7B29E-D4A7-CE43-A7EB-CE56A6AC679B}" sibTransId="{B725781B-827D-9542-A143-D2DA720AE638}"/>
    <dgm:cxn modelId="{BFE3D736-BA8C-AD42-90DD-348377E459AF}" srcId="{FCA598B1-1D6F-FC4E-95A0-410DEF4703BA}" destId="{F408702B-C4D8-DB47-9C2E-2EE5755E3CFC}" srcOrd="0" destOrd="0" parTransId="{3EC18C01-6A4B-874F-9F94-DD1268FDBB5B}" sibTransId="{A4B03F47-0FBC-7349-952D-4F72B045A7CD}"/>
    <dgm:cxn modelId="{052F1638-087B-D44E-A832-37EE8D0407F5}" type="presOf" srcId="{12FBDD6D-37CF-A445-B961-27404FDD1CFB}" destId="{5F535740-825C-BD4F-AB90-C643CC4B3AD4}" srcOrd="1" destOrd="0" presId="urn:microsoft.com/office/officeart/2005/8/layout/process4"/>
    <dgm:cxn modelId="{DFC06855-2391-9247-ACCF-5C7D79887FA4}" type="presOf" srcId="{BA1840DE-4E12-0C4E-91D3-CE4CC1630EC4}" destId="{B21E8F0F-A284-9948-9837-518D1EE55186}" srcOrd="0" destOrd="0" presId="urn:microsoft.com/office/officeart/2005/8/layout/process4"/>
    <dgm:cxn modelId="{36723560-FEDB-1549-B2AA-691FDC50FAF7}" srcId="{7E9BFF62-AE67-144E-A96E-9C52D2662319}" destId="{BA1840DE-4E12-0C4E-91D3-CE4CC1630EC4}" srcOrd="2" destOrd="0" parTransId="{13F571E4-B6C8-8640-8685-8B66DB795059}" sibTransId="{FF7D4C4B-692E-0940-8D3A-085C9D36731B}"/>
    <dgm:cxn modelId="{06DD5962-877F-194F-8A6F-E21CFD3F93FB}" srcId="{9C2589B7-CA5B-334F-ACFC-EBAB733FE3A8}" destId="{0A31FC88-1D99-7C41-8BDB-B0A4720E38BB}" srcOrd="1" destOrd="0" parTransId="{18C97E04-C141-DC47-99E4-2B96F200793B}" sibTransId="{8EF35D53-F4EF-0B44-965D-3982636055B6}"/>
    <dgm:cxn modelId="{CA1D2669-E27E-F148-ADF9-5108FB083C4F}" type="presOf" srcId="{12FBDD6D-37CF-A445-B961-27404FDD1CFB}" destId="{4EAD1A00-6827-4142-BFFD-883E3EDA403A}" srcOrd="0" destOrd="0" presId="urn:microsoft.com/office/officeart/2005/8/layout/process4"/>
    <dgm:cxn modelId="{DF8D1A6C-85B8-4E41-8D22-2C25242E1566}" type="presOf" srcId="{9F9A005B-415F-E24B-A093-A4C9EFCE2B16}" destId="{7E940C53-E075-F040-A5D1-659AF6354F93}" srcOrd="0" destOrd="0" presId="urn:microsoft.com/office/officeart/2005/8/layout/process4"/>
    <dgm:cxn modelId="{5503CA79-832E-7D4B-9D11-90E5117E803A}" type="presOf" srcId="{DECCEDCE-FAD0-F34F-BD95-F27BFF159BE9}" destId="{862B5195-23F7-7C4B-B89C-30F4015CC874}" srcOrd="0" destOrd="0" presId="urn:microsoft.com/office/officeart/2005/8/layout/process4"/>
    <dgm:cxn modelId="{B374177C-8F77-8B48-98A1-1BB76D15B630}" type="presOf" srcId="{EE0B3956-EAA3-1D43-B606-F97418D4B9ED}" destId="{E6377925-BF19-AD4E-A26D-B609151E8918}" srcOrd="0" destOrd="0" presId="urn:microsoft.com/office/officeart/2005/8/layout/process4"/>
    <dgm:cxn modelId="{F2BD1183-486F-4146-919F-D8CE07F651A6}" type="presOf" srcId="{7C36023D-70F8-D24C-87AC-0AF262F382FD}" destId="{0ABA8BF6-F0A3-F242-B4BE-5F7B55FA010A}" srcOrd="0" destOrd="0" presId="urn:microsoft.com/office/officeart/2005/8/layout/process4"/>
    <dgm:cxn modelId="{A59C1F8D-8B16-A849-9162-62AF874D1A96}" srcId="{7E9BFF62-AE67-144E-A96E-9C52D2662319}" destId="{12FBDD6D-37CF-A445-B961-27404FDD1CFB}" srcOrd="0" destOrd="0" parTransId="{537463F6-E2A1-1C4E-9837-123B12AD1B13}" sibTransId="{9CA2EE3E-6044-5949-A0B0-57115D443361}"/>
    <dgm:cxn modelId="{62BECFA5-F585-1A49-B418-59E1DB5F7D50}" srcId="{FCA598B1-1D6F-FC4E-95A0-410DEF4703BA}" destId="{7C36023D-70F8-D24C-87AC-0AF262F382FD}" srcOrd="1" destOrd="0" parTransId="{AA901F02-A1B3-6747-B1BF-40069A1B42A8}" sibTransId="{DB9B10CE-70E5-BC4F-92D5-9EBA0AAD187B}"/>
    <dgm:cxn modelId="{B22B0BB4-4CEA-834B-9AB0-6B6090E92A36}" srcId="{7E9BFF62-AE67-144E-A96E-9C52D2662319}" destId="{9C2589B7-CA5B-334F-ACFC-EBAB733FE3A8}" srcOrd="1" destOrd="0" parTransId="{6CCC0147-EA36-5149-BA27-256FE5310B67}" sibTransId="{C1DA59C6-FB84-C844-88B1-BE2BEAF3362B}"/>
    <dgm:cxn modelId="{BAB00DBA-A8F7-634A-A289-5024614B2F6F}" type="presOf" srcId="{0A31FC88-1D99-7C41-8BDB-B0A4720E38BB}" destId="{DA9F6271-F673-F940-89B0-A420F4784895}" srcOrd="0" destOrd="0" presId="urn:microsoft.com/office/officeart/2005/8/layout/process4"/>
    <dgm:cxn modelId="{8A4AFCBC-DAC3-4C45-9E70-EEDD17BB8F3B}" type="presOf" srcId="{7E9BFF62-AE67-144E-A96E-9C52D2662319}" destId="{09450F92-86B5-8D43-AA7E-780F577019A3}" srcOrd="0" destOrd="0" presId="urn:microsoft.com/office/officeart/2005/8/layout/process4"/>
    <dgm:cxn modelId="{4418FDC0-FB8B-A841-B121-D5D85F10BA4A}" srcId="{12FBDD6D-37CF-A445-B961-27404FDD1CFB}" destId="{AA55A375-E5A1-284C-9B65-F5C10B06549C}" srcOrd="1" destOrd="0" parTransId="{807F97D2-A4C0-9142-83FD-EAA7B4DD5135}" sibTransId="{38B31115-81C4-9C47-8400-A6D012EBCD02}"/>
    <dgm:cxn modelId="{9E9988C6-41FF-DA4E-848B-45302D26192E}" type="presOf" srcId="{FCA598B1-1D6F-FC4E-95A0-410DEF4703BA}" destId="{3AB5C4EF-DE1F-8C45-AFF4-1825F3517592}" srcOrd="0" destOrd="0" presId="urn:microsoft.com/office/officeart/2005/8/layout/process4"/>
    <dgm:cxn modelId="{2FAE22DA-4893-4A4C-9A26-AE1F21BA9831}" type="presOf" srcId="{AA55A375-E5A1-284C-9B65-F5C10B06549C}" destId="{B3297F71-ABE5-B944-94CC-C85CECE6D076}" srcOrd="0" destOrd="0" presId="urn:microsoft.com/office/officeart/2005/8/layout/process4"/>
    <dgm:cxn modelId="{CD1AB8E4-2116-AB46-BC42-24F7B0C0B465}" srcId="{7E9BFF62-AE67-144E-A96E-9C52D2662319}" destId="{64AB61A1-DDF4-6C47-B96A-6848541E3B4C}" srcOrd="4" destOrd="0" parTransId="{87633C80-48B1-9240-A40D-D29577676405}" sibTransId="{9F15AEE9-B95A-A347-BCD9-58D46B8D50D4}"/>
    <dgm:cxn modelId="{A7415CE5-EFAA-8F47-A4F2-CF238EEF4F7A}" type="presOf" srcId="{9C2589B7-CA5B-334F-ACFC-EBAB733FE3A8}" destId="{E087E71C-9236-9B45-A0D7-EF139AA1B684}" srcOrd="0" destOrd="0" presId="urn:microsoft.com/office/officeart/2005/8/layout/process4"/>
    <dgm:cxn modelId="{FA6ABDF2-D0EB-214D-A7B2-7BA17816AF61}" type="presOf" srcId="{64AB61A1-DDF4-6C47-B96A-6848541E3B4C}" destId="{D34924B9-CB43-DE4B-BE30-082ADD3AA8C5}" srcOrd="0" destOrd="0" presId="urn:microsoft.com/office/officeart/2005/8/layout/process4"/>
    <dgm:cxn modelId="{01459FF6-4D42-1A44-87DD-229EDF493888}" type="presOf" srcId="{F408702B-C4D8-DB47-9C2E-2EE5755E3CFC}" destId="{DD5EA377-5C4D-1C46-8962-1493E5EC87CA}" srcOrd="0" destOrd="0" presId="urn:microsoft.com/office/officeart/2005/8/layout/process4"/>
    <dgm:cxn modelId="{61AC8EFA-C0EE-324A-B8EE-55D93AF154F3}" type="presOf" srcId="{FCA598B1-1D6F-FC4E-95A0-410DEF4703BA}" destId="{59036C76-B72F-9347-8E60-B7A2AD3AE55C}" srcOrd="1" destOrd="0" presId="urn:microsoft.com/office/officeart/2005/8/layout/process4"/>
    <dgm:cxn modelId="{69A197A2-33F1-AE4C-B71C-CB6D787763C9}" type="presParOf" srcId="{09450F92-86B5-8D43-AA7E-780F577019A3}" destId="{34386330-5447-3641-AFE2-EEAD59563E30}" srcOrd="0" destOrd="0" presId="urn:microsoft.com/office/officeart/2005/8/layout/process4"/>
    <dgm:cxn modelId="{05CC0C11-E29E-D749-9402-F738920A97AE}" type="presParOf" srcId="{34386330-5447-3641-AFE2-EEAD59563E30}" destId="{D34924B9-CB43-DE4B-BE30-082ADD3AA8C5}" srcOrd="0" destOrd="0" presId="urn:microsoft.com/office/officeart/2005/8/layout/process4"/>
    <dgm:cxn modelId="{50D2DD42-3C5F-7E4A-B591-39967AB39317}" type="presParOf" srcId="{09450F92-86B5-8D43-AA7E-780F577019A3}" destId="{223F4FCA-79CC-3040-9216-1F2CA1BD519D}" srcOrd="1" destOrd="0" presId="urn:microsoft.com/office/officeart/2005/8/layout/process4"/>
    <dgm:cxn modelId="{B19C3054-19F8-2342-B2FA-71EA30C18422}" type="presParOf" srcId="{09450F92-86B5-8D43-AA7E-780F577019A3}" destId="{E262A51A-AF35-0845-B155-1F5D23FD22FA}" srcOrd="2" destOrd="0" presId="urn:microsoft.com/office/officeart/2005/8/layout/process4"/>
    <dgm:cxn modelId="{EFD9D09E-FFC0-AD4D-BD51-22F23DEF5413}" type="presParOf" srcId="{E262A51A-AF35-0845-B155-1F5D23FD22FA}" destId="{3AB5C4EF-DE1F-8C45-AFF4-1825F3517592}" srcOrd="0" destOrd="0" presId="urn:microsoft.com/office/officeart/2005/8/layout/process4"/>
    <dgm:cxn modelId="{6B1120BB-BF80-CC42-9347-D9B1EA630E05}" type="presParOf" srcId="{E262A51A-AF35-0845-B155-1F5D23FD22FA}" destId="{59036C76-B72F-9347-8E60-B7A2AD3AE55C}" srcOrd="1" destOrd="0" presId="urn:microsoft.com/office/officeart/2005/8/layout/process4"/>
    <dgm:cxn modelId="{38982238-AD2C-5A47-8D8D-F4C11972828C}" type="presParOf" srcId="{E262A51A-AF35-0845-B155-1F5D23FD22FA}" destId="{01DB327C-5B12-484E-BF9F-BED3F9B7DB63}" srcOrd="2" destOrd="0" presId="urn:microsoft.com/office/officeart/2005/8/layout/process4"/>
    <dgm:cxn modelId="{DB9F52D7-C364-AE4B-96BF-E40E9EE7C30C}" type="presParOf" srcId="{01DB327C-5B12-484E-BF9F-BED3F9B7DB63}" destId="{DD5EA377-5C4D-1C46-8962-1493E5EC87CA}" srcOrd="0" destOrd="0" presId="urn:microsoft.com/office/officeart/2005/8/layout/process4"/>
    <dgm:cxn modelId="{2AE3F523-6179-B142-98A8-EB2E2AE729EB}" type="presParOf" srcId="{01DB327C-5B12-484E-BF9F-BED3F9B7DB63}" destId="{0ABA8BF6-F0A3-F242-B4BE-5F7B55FA010A}" srcOrd="1" destOrd="0" presId="urn:microsoft.com/office/officeart/2005/8/layout/process4"/>
    <dgm:cxn modelId="{860D02D2-FEEE-2344-8AD1-F981998271F2}" type="presParOf" srcId="{09450F92-86B5-8D43-AA7E-780F577019A3}" destId="{481059F3-A9E3-BA48-BB29-1A23DC395214}" srcOrd="3" destOrd="0" presId="urn:microsoft.com/office/officeart/2005/8/layout/process4"/>
    <dgm:cxn modelId="{4B63BE18-1FCA-E145-B9F2-6C235DD2C7CC}" type="presParOf" srcId="{09450F92-86B5-8D43-AA7E-780F577019A3}" destId="{60228922-C13D-7941-8C69-CAB1271E6199}" srcOrd="4" destOrd="0" presId="urn:microsoft.com/office/officeart/2005/8/layout/process4"/>
    <dgm:cxn modelId="{39966381-C56A-5549-AA20-7AC9580A7E77}" type="presParOf" srcId="{60228922-C13D-7941-8C69-CAB1271E6199}" destId="{B21E8F0F-A284-9948-9837-518D1EE55186}" srcOrd="0" destOrd="0" presId="urn:microsoft.com/office/officeart/2005/8/layout/process4"/>
    <dgm:cxn modelId="{9A18CD18-823E-6048-AA8C-38ACB0A6F80F}" type="presParOf" srcId="{09450F92-86B5-8D43-AA7E-780F577019A3}" destId="{DFA00A37-2179-8B46-941B-E18BB37F4476}" srcOrd="5" destOrd="0" presId="urn:microsoft.com/office/officeart/2005/8/layout/process4"/>
    <dgm:cxn modelId="{D5ACEFAF-C11F-E84E-AB5F-247DCFB4086B}" type="presParOf" srcId="{09450F92-86B5-8D43-AA7E-780F577019A3}" destId="{DDF88753-65CC-4949-9C3D-52E14F673763}" srcOrd="6" destOrd="0" presId="urn:microsoft.com/office/officeart/2005/8/layout/process4"/>
    <dgm:cxn modelId="{419FD2EE-399A-4542-9AD8-619FF88ADFC7}" type="presParOf" srcId="{DDF88753-65CC-4949-9C3D-52E14F673763}" destId="{E087E71C-9236-9B45-A0D7-EF139AA1B684}" srcOrd="0" destOrd="0" presId="urn:microsoft.com/office/officeart/2005/8/layout/process4"/>
    <dgm:cxn modelId="{D6C8CBB4-E1BF-0843-BC6E-60D07F953C49}" type="presParOf" srcId="{DDF88753-65CC-4949-9C3D-52E14F673763}" destId="{C94E543E-D48C-1F4E-A91E-CD4A4AEE56EE}" srcOrd="1" destOrd="0" presId="urn:microsoft.com/office/officeart/2005/8/layout/process4"/>
    <dgm:cxn modelId="{5527B230-279A-0B4E-90AB-EDF4019C7679}" type="presParOf" srcId="{DDF88753-65CC-4949-9C3D-52E14F673763}" destId="{145E4D6F-6867-A340-B5AC-21BAA3DA6622}" srcOrd="2" destOrd="0" presId="urn:microsoft.com/office/officeart/2005/8/layout/process4"/>
    <dgm:cxn modelId="{E5DF30D8-DBC2-FD4A-BCFA-07CC0084B27C}" type="presParOf" srcId="{145E4D6F-6867-A340-B5AC-21BAA3DA6622}" destId="{7E940C53-E075-F040-A5D1-659AF6354F93}" srcOrd="0" destOrd="0" presId="urn:microsoft.com/office/officeart/2005/8/layout/process4"/>
    <dgm:cxn modelId="{71C0B387-7C79-CC41-8285-3E0863C25114}" type="presParOf" srcId="{145E4D6F-6867-A340-B5AC-21BAA3DA6622}" destId="{DA9F6271-F673-F940-89B0-A420F4784895}" srcOrd="1" destOrd="0" presId="urn:microsoft.com/office/officeart/2005/8/layout/process4"/>
    <dgm:cxn modelId="{877107E9-DE92-D049-94FF-1F9C10A789AC}" type="presParOf" srcId="{09450F92-86B5-8D43-AA7E-780F577019A3}" destId="{C2FF079B-21B1-8D49-83CE-635D97A1DA11}" srcOrd="7" destOrd="0" presId="urn:microsoft.com/office/officeart/2005/8/layout/process4"/>
    <dgm:cxn modelId="{8A0C8DD6-A543-9F4D-B21C-EC19A858A4FD}" type="presParOf" srcId="{09450F92-86B5-8D43-AA7E-780F577019A3}" destId="{EC5D3002-8013-584E-B0BE-DB939F0413C9}" srcOrd="8" destOrd="0" presId="urn:microsoft.com/office/officeart/2005/8/layout/process4"/>
    <dgm:cxn modelId="{6DF5FD56-DD80-6C41-A411-2659EDAE900A}" type="presParOf" srcId="{EC5D3002-8013-584E-B0BE-DB939F0413C9}" destId="{4EAD1A00-6827-4142-BFFD-883E3EDA403A}" srcOrd="0" destOrd="0" presId="urn:microsoft.com/office/officeart/2005/8/layout/process4"/>
    <dgm:cxn modelId="{08EFE47F-8964-2449-B06C-B7C997F3017F}" type="presParOf" srcId="{EC5D3002-8013-584E-B0BE-DB939F0413C9}" destId="{5F535740-825C-BD4F-AB90-C643CC4B3AD4}" srcOrd="1" destOrd="0" presId="urn:microsoft.com/office/officeart/2005/8/layout/process4"/>
    <dgm:cxn modelId="{EFD2FEAD-3E11-0F4F-B8F2-B0EB5D0214D4}" type="presParOf" srcId="{EC5D3002-8013-584E-B0BE-DB939F0413C9}" destId="{6A143124-761F-6044-91A9-99EB88A4D09A}" srcOrd="2" destOrd="0" presId="urn:microsoft.com/office/officeart/2005/8/layout/process4"/>
    <dgm:cxn modelId="{0D6AD808-6D75-3E45-ABA0-5B143DD757E0}" type="presParOf" srcId="{6A143124-761F-6044-91A9-99EB88A4D09A}" destId="{862B5195-23F7-7C4B-B89C-30F4015CC874}" srcOrd="0" destOrd="0" presId="urn:microsoft.com/office/officeart/2005/8/layout/process4"/>
    <dgm:cxn modelId="{597FC7E0-BB20-6F40-9D87-22589EAD0C15}" type="presParOf" srcId="{6A143124-761F-6044-91A9-99EB88A4D09A}" destId="{B3297F71-ABE5-B944-94CC-C85CECE6D076}" srcOrd="1" destOrd="0" presId="urn:microsoft.com/office/officeart/2005/8/layout/process4"/>
    <dgm:cxn modelId="{AF3726D4-A2A0-D04E-9F89-6603FFF99139}" type="presParOf" srcId="{6A143124-761F-6044-91A9-99EB88A4D09A}" destId="{E6377925-BF19-AD4E-A26D-B609151E8918}" srcOrd="2" destOrd="0" presId="urn:microsoft.com/office/officeart/2005/8/layout/process4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34924B9-CB43-DE4B-BE30-082ADD3AA8C5}">
      <dsp:nvSpPr>
        <dsp:cNvPr id="0" name=""/>
        <dsp:cNvSpPr/>
      </dsp:nvSpPr>
      <dsp:spPr>
        <a:xfrm>
          <a:off x="0" y="1974219"/>
          <a:ext cx="4550797" cy="32370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5344" tIns="85344" rIns="85344" bIns="85344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Оценка качества модели и прогноз на ее основе</a:t>
          </a:r>
        </a:p>
      </dsp:txBody>
      <dsp:txXfrm>
        <a:off x="0" y="1974219"/>
        <a:ext cx="4550797" cy="323707"/>
      </dsp:txXfrm>
    </dsp:sp>
    <dsp:sp modelId="{59036C76-B72F-9347-8E60-B7A2AD3AE55C}">
      <dsp:nvSpPr>
        <dsp:cNvPr id="0" name=""/>
        <dsp:cNvSpPr/>
      </dsp:nvSpPr>
      <dsp:spPr>
        <a:xfrm rot="10800000">
          <a:off x="0" y="1480115"/>
          <a:ext cx="4550797" cy="497861"/>
        </a:xfrm>
        <a:prstGeom prst="upArrowCallou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5344" tIns="85344" rIns="85344" bIns="85344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Выделение компонентов ряда</a:t>
          </a:r>
        </a:p>
      </dsp:txBody>
      <dsp:txXfrm rot="-10800000">
        <a:off x="0" y="1480115"/>
        <a:ext cx="4550797" cy="174749"/>
      </dsp:txXfrm>
    </dsp:sp>
    <dsp:sp modelId="{DD5EA377-5C4D-1C46-8962-1493E5EC87CA}">
      <dsp:nvSpPr>
        <dsp:cNvPr id="0" name=""/>
        <dsp:cNvSpPr/>
      </dsp:nvSpPr>
      <dsp:spPr>
        <a:xfrm>
          <a:off x="0" y="1654865"/>
          <a:ext cx="2275398" cy="148860"/>
        </a:xfrm>
        <a:prstGeom prst="rect">
          <a:avLst/>
        </a:prstGeom>
        <a:solidFill>
          <a:schemeClr val="accen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008" tIns="11430" rIns="64008" bIns="1143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тренд</a:t>
          </a:r>
        </a:p>
      </dsp:txBody>
      <dsp:txXfrm>
        <a:off x="0" y="1654865"/>
        <a:ext cx="2275398" cy="148860"/>
      </dsp:txXfrm>
    </dsp:sp>
    <dsp:sp modelId="{0ABA8BF6-F0A3-F242-B4BE-5F7B55FA010A}">
      <dsp:nvSpPr>
        <dsp:cNvPr id="0" name=""/>
        <dsp:cNvSpPr/>
      </dsp:nvSpPr>
      <dsp:spPr>
        <a:xfrm>
          <a:off x="2275398" y="1654865"/>
          <a:ext cx="2275398" cy="148860"/>
        </a:xfrm>
        <a:prstGeom prst="rect">
          <a:avLst/>
        </a:prstGeom>
        <a:solidFill>
          <a:schemeClr val="accen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008" tIns="11430" rIns="64008" bIns="1143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сезонность</a:t>
          </a:r>
        </a:p>
      </dsp:txBody>
      <dsp:txXfrm>
        <a:off x="2275398" y="1654865"/>
        <a:ext cx="2275398" cy="148860"/>
      </dsp:txXfrm>
    </dsp:sp>
    <dsp:sp modelId="{B21E8F0F-A284-9948-9837-518D1EE55186}">
      <dsp:nvSpPr>
        <dsp:cNvPr id="0" name=""/>
        <dsp:cNvSpPr/>
      </dsp:nvSpPr>
      <dsp:spPr>
        <a:xfrm rot="10800000">
          <a:off x="0" y="987109"/>
          <a:ext cx="4550797" cy="497861"/>
        </a:xfrm>
        <a:prstGeom prst="upArrowCallou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5344" tIns="85344" rIns="85344" bIns="85344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b="0" i="0" u="none" kern="1200">
              <a:latin typeface="Times New Roman" panose="02020603050405020304" pitchFamily="18" charset="0"/>
              <a:cs typeface="Times New Roman" panose="02020603050405020304" pitchFamily="18" charset="0"/>
            </a:rPr>
            <a:t>Формирование тестовой выборки (10%)</a:t>
          </a:r>
          <a:endParaRPr lang="en-US" sz="1200" b="0" i="0" u="none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 rot="10800000">
        <a:off x="0" y="987109"/>
        <a:ext cx="4550797" cy="323495"/>
      </dsp:txXfrm>
    </dsp:sp>
    <dsp:sp modelId="{C94E543E-D48C-1F4E-A91E-CD4A4AEE56EE}">
      <dsp:nvSpPr>
        <dsp:cNvPr id="0" name=""/>
        <dsp:cNvSpPr/>
      </dsp:nvSpPr>
      <dsp:spPr>
        <a:xfrm rot="10800000">
          <a:off x="0" y="494104"/>
          <a:ext cx="4550797" cy="497861"/>
        </a:xfrm>
        <a:prstGeom prst="upArrowCallou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5344" tIns="85344" rIns="85344" bIns="85344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Дифференцирование нестационарных временных рядов</a:t>
          </a:r>
        </a:p>
      </dsp:txBody>
      <dsp:txXfrm rot="-10800000">
        <a:off x="0" y="494104"/>
        <a:ext cx="4550797" cy="174749"/>
      </dsp:txXfrm>
    </dsp:sp>
    <dsp:sp modelId="{7E940C53-E075-F040-A5D1-659AF6354F93}">
      <dsp:nvSpPr>
        <dsp:cNvPr id="0" name=""/>
        <dsp:cNvSpPr/>
      </dsp:nvSpPr>
      <dsp:spPr>
        <a:xfrm>
          <a:off x="0" y="668853"/>
          <a:ext cx="2275398" cy="148860"/>
        </a:xfrm>
        <a:prstGeom prst="rect">
          <a:avLst/>
        </a:prstGeom>
        <a:solidFill>
          <a:schemeClr val="accen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008" tIns="11430" rIns="64008" bIns="1143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900" b="0" i="0" u="none" kern="1200"/>
            <a:t>delta = X</a:t>
          </a:r>
          <a:r>
            <a:rPr lang="ru-RU" sz="900" b="0" i="0" u="none" kern="1200"/>
            <a:t> </a:t>
          </a:r>
          <a:r>
            <a:rPr lang="en-US" sz="900" b="0" i="0" u="none" kern="1200"/>
            <a:t>(t+1) - X</a:t>
          </a:r>
          <a:r>
            <a:rPr lang="ru-RU" sz="900" b="0" i="0" u="none" kern="1200"/>
            <a:t> </a:t>
          </a:r>
          <a:r>
            <a:rPr lang="en-US" sz="900" b="0" i="0" u="none" kern="1200"/>
            <a:t>(t)</a:t>
          </a:r>
          <a:endParaRPr lang="en-US" sz="900" kern="1200"/>
        </a:p>
      </dsp:txBody>
      <dsp:txXfrm>
        <a:off x="0" y="668853"/>
        <a:ext cx="2275398" cy="148860"/>
      </dsp:txXfrm>
    </dsp:sp>
    <dsp:sp modelId="{DA9F6271-F673-F940-89B0-A420F4784895}">
      <dsp:nvSpPr>
        <dsp:cNvPr id="0" name=""/>
        <dsp:cNvSpPr/>
      </dsp:nvSpPr>
      <dsp:spPr>
        <a:xfrm>
          <a:off x="2275398" y="668853"/>
          <a:ext cx="2275398" cy="148860"/>
        </a:xfrm>
        <a:prstGeom prst="rect">
          <a:avLst/>
        </a:prstGeom>
        <a:solidFill>
          <a:schemeClr val="accen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008" tIns="11430" rIns="64008" bIns="1143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900" b="0" i="0" u="none" kern="1200"/>
            <a:t>X_hat(t) + delta1 = X(t+1)</a:t>
          </a:r>
          <a:endParaRPr lang="ru-RU" sz="900" kern="1200"/>
        </a:p>
      </dsp:txBody>
      <dsp:txXfrm>
        <a:off x="2275398" y="668853"/>
        <a:ext cx="2275398" cy="148860"/>
      </dsp:txXfrm>
    </dsp:sp>
    <dsp:sp modelId="{5F535740-825C-BD4F-AB90-C643CC4B3AD4}">
      <dsp:nvSpPr>
        <dsp:cNvPr id="0" name=""/>
        <dsp:cNvSpPr/>
      </dsp:nvSpPr>
      <dsp:spPr>
        <a:xfrm rot="10800000">
          <a:off x="0" y="1098"/>
          <a:ext cx="4550797" cy="497861"/>
        </a:xfrm>
        <a:prstGeom prst="upArrowCallou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5344" tIns="85344" rIns="85344" bIns="85344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Исследование статистических свойств показателя</a:t>
          </a:r>
        </a:p>
      </dsp:txBody>
      <dsp:txXfrm rot="-10800000">
        <a:off x="0" y="1098"/>
        <a:ext cx="4550797" cy="174749"/>
      </dsp:txXfrm>
    </dsp:sp>
    <dsp:sp modelId="{862B5195-23F7-7C4B-B89C-30F4015CC874}">
      <dsp:nvSpPr>
        <dsp:cNvPr id="0" name=""/>
        <dsp:cNvSpPr/>
      </dsp:nvSpPr>
      <dsp:spPr>
        <a:xfrm>
          <a:off x="2222" y="175847"/>
          <a:ext cx="1515450" cy="148860"/>
        </a:xfrm>
        <a:prstGeom prst="rect">
          <a:avLst/>
        </a:prstGeom>
        <a:solidFill>
          <a:schemeClr val="accen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008" tIns="11430" rIns="64008" bIns="1143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стандартное отклонение</a:t>
          </a:r>
        </a:p>
      </dsp:txBody>
      <dsp:txXfrm>
        <a:off x="2222" y="175847"/>
        <a:ext cx="1515450" cy="148860"/>
      </dsp:txXfrm>
    </dsp:sp>
    <dsp:sp modelId="{B3297F71-ABE5-B944-94CC-C85CECE6D076}">
      <dsp:nvSpPr>
        <dsp:cNvPr id="0" name=""/>
        <dsp:cNvSpPr/>
      </dsp:nvSpPr>
      <dsp:spPr>
        <a:xfrm>
          <a:off x="1517673" y="175847"/>
          <a:ext cx="1515450" cy="148860"/>
        </a:xfrm>
        <a:prstGeom prst="rect">
          <a:avLst/>
        </a:prstGeom>
        <a:solidFill>
          <a:schemeClr val="accen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008" tIns="11430" rIns="64008" bIns="1143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среднее значение </a:t>
          </a:r>
        </a:p>
      </dsp:txBody>
      <dsp:txXfrm>
        <a:off x="1517673" y="175847"/>
        <a:ext cx="1515450" cy="148860"/>
      </dsp:txXfrm>
    </dsp:sp>
    <dsp:sp modelId="{E6377925-BF19-AD4E-A26D-B609151E8918}">
      <dsp:nvSpPr>
        <dsp:cNvPr id="0" name=""/>
        <dsp:cNvSpPr/>
      </dsp:nvSpPr>
      <dsp:spPr>
        <a:xfrm>
          <a:off x="3033123" y="175847"/>
          <a:ext cx="1515450" cy="148860"/>
        </a:xfrm>
        <a:prstGeom prst="rect">
          <a:avLst/>
        </a:prstGeom>
        <a:solidFill>
          <a:schemeClr val="accen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008" tIns="11430" rIns="64008" bIns="1143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тест Дики-Фуллера</a:t>
          </a:r>
        </a:p>
      </dsp:txBody>
      <dsp:txXfrm>
        <a:off x="3033123" y="175847"/>
        <a:ext cx="1515450" cy="14886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rocess4">
  <dgm:title val=""/>
  <dgm:desc val=""/>
  <dgm:catLst>
    <dgm:cat type="process" pri="16000"/>
    <dgm:cat type="list" pri="20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alg type="lin">
      <dgm:param type="linDir" val="fromB"/>
    </dgm:alg>
    <dgm:shape xmlns:r="http://schemas.openxmlformats.org/officeDocument/2006/relationships" r:blip="">
      <dgm:adjLst/>
    </dgm:shape>
    <dgm:presOf/>
    <dgm:constrLst>
      <dgm:constr type="h" for="ch" forName="boxAndChildren" refType="h"/>
      <dgm:constr type="h" for="ch" forName="arrowAndChildren" refType="h" refFor="ch" refForName="boxAndChildren" op="equ" fact="1.538"/>
      <dgm:constr type="w" for="ch" forName="arrowAndChildren" refType="w"/>
      <dgm:constr type="w" for="ch" forName="boxAndChildren" refType="w"/>
      <dgm:constr type="h" for="ch" forName="sp" refType="h" fact="-0.015"/>
      <dgm:constr type="primFontSz" for="des" forName="parentTextBox" val="65"/>
      <dgm:constr type="primFontSz" for="des" forName="parentTextArrow" refType="primFontSz" refFor="des" refForName="parentTextBox" op="equ"/>
      <dgm:constr type="primFontSz" for="des" forName="childTextArrow" val="65"/>
      <dgm:constr type="primFontSz" for="des" forName="childTextBox" refType="primFontSz" refFor="des" refForName="childTextArrow" op="equ"/>
    </dgm:constrLst>
    <dgm:ruleLst/>
    <dgm:forEach name="Name1" axis="ch" ptType="node" st="-1" step="-1">
      <dgm:choose name="Name2">
        <dgm:if name="Name3" axis="self" ptType="node" func="revPos" op="equ" val="1">
          <dgm:layoutNode name="boxAndChildren">
            <dgm:alg type="composite"/>
            <dgm:shape xmlns:r="http://schemas.openxmlformats.org/officeDocument/2006/relationships" r:blip="">
              <dgm:adjLst/>
            </dgm:shape>
            <dgm:presOf/>
            <dgm:choose name="Name4">
              <dgm:if name="Name5" axis="ch" ptType="node" func="cnt" op="gte" val="1">
                <dgm:constrLst>
                  <dgm:constr type="w" for="ch" forName="parentTextBox" refType="w"/>
                  <dgm:constr type="h" for="ch" forName="parentTextBox" refType="h" fact="0.54"/>
                  <dgm:constr type="t" for="ch" forName="parentTextBox"/>
                  <dgm:constr type="w" for="ch" forName="entireBox" refType="w"/>
                  <dgm:constr type="h" for="ch" forName="entireBox" refType="h"/>
                  <dgm:constr type="w" for="ch" forName="descendantBox" refType="w"/>
                  <dgm:constr type="b" for="ch" forName="descendantBox" refType="h" fact="0.98"/>
                  <dgm:constr type="h" for="ch" forName="descendantBox" refType="h" fact="0.46"/>
                </dgm:constrLst>
              </dgm:if>
              <dgm:else name="Name6">
                <dgm:constrLst>
                  <dgm:constr type="w" for="ch" forName="parentTextBox" refType="w"/>
                  <dgm:constr type="h" for="ch" forName="parentTextBox" refType="h"/>
                </dgm:constrLst>
              </dgm:else>
            </dgm:choose>
            <dgm:ruleLst/>
            <dgm:layoutNode name="parentTextBox">
              <dgm:alg type="tx"/>
              <dgm:choose name="Name7">
                <dgm:if name="Name8" axis="ch" ptType="node" func="cnt" op="gte" val="1">
                  <dgm:shape xmlns:r="http://schemas.openxmlformats.org/officeDocument/2006/relationships" type="rect" r:blip="" zOrderOff="1" hideGeom="1">
                    <dgm:adjLst/>
                  </dgm:shape>
                </dgm:if>
                <dgm:else name="Name9">
                  <dgm:shape xmlns:r="http://schemas.openxmlformats.org/officeDocument/2006/relationships" type="rect" r:blip="">
                    <dgm:adjLst/>
                  </dgm:shape>
                </dgm:else>
              </dgm:choose>
              <dgm:presOf axis="self"/>
              <dgm:constrLst/>
              <dgm:ruleLst>
                <dgm:rule type="primFontSz" val="5" fact="NaN" max="NaN"/>
              </dgm:ruleLst>
            </dgm:layoutNode>
            <dgm:choose name="Name10">
              <dgm:if name="Name11" axis="ch" ptType="node" func="cnt" op="gte" val="1">
                <dgm:layoutNode name="entireBox">
                  <dgm:alg type="sp"/>
                  <dgm:shape xmlns:r="http://schemas.openxmlformats.org/officeDocument/2006/relationships" type="rect" r:blip="">
                    <dgm:adjLst/>
                  </dgm:shape>
                  <dgm:presOf axis="self"/>
                  <dgm:constrLst/>
                  <dgm:ruleLst/>
                </dgm:layoutNode>
                <dgm:layoutNode name="descendantBox" styleLbl="fgAccFollowNode1">
                  <dgm:choose name="Name12">
                    <dgm:if name="Name13" func="var" arg="dir" op="equ" val="norm">
                      <dgm:alg type="lin"/>
                    </dgm:if>
                    <dgm:else name="Name14">
                      <dgm:alg type="lin">
                        <dgm:param type="linDir" val="fromR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w" for="ch" forName="childTextBox" refType="w"/>
                    <dgm:constr type="h" for="ch" forName="childTextBox" refType="h"/>
                  </dgm:constrLst>
                  <dgm:ruleLst/>
                  <dgm:forEach name="Name15" axis="ch" ptType="node">
                    <dgm:layoutNode name="childTextBox" styleLbl="fgAccFollowNode1">
                      <dgm:varLst>
                        <dgm:bulletEnabled val="1"/>
                      </dgm:varLst>
                      <dgm:alg type="tx"/>
                      <dgm:shape xmlns:r="http://schemas.openxmlformats.org/officeDocument/2006/relationships" type="rect" r:blip="">
                        <dgm:adjLst/>
                      </dgm:shape>
                      <dgm:presOf axis="desOrSelf" ptType="node"/>
                      <dgm:constrLst>
                        <dgm:constr type="tMarg" refType="primFontSz" fact="0.1"/>
                        <dgm:constr type="bMarg" refType="primFontSz" fact="0.1"/>
                      </dgm:constrLst>
                      <dgm:ruleLst>
                        <dgm:rule type="primFontSz" val="5" fact="NaN" max="NaN"/>
                      </dgm:ruleLst>
                    </dgm:layoutNode>
                  </dgm:forEach>
                </dgm:layoutNode>
              </dgm:if>
              <dgm:else name="Name16"/>
            </dgm:choose>
          </dgm:layoutNode>
        </dgm:if>
        <dgm:else name="Name17">
          <dgm:layoutNode name="arrowAndChildren">
            <dgm:alg type="composite"/>
            <dgm:shape xmlns:r="http://schemas.openxmlformats.org/officeDocument/2006/relationships" r:blip="">
              <dgm:adjLst/>
            </dgm:shape>
            <dgm:presOf/>
            <dgm:choose name="Name18">
              <dgm:if name="Name19" axis="ch" ptType="node" func="cnt" op="gte" val="1">
                <dgm:constrLst>
                  <dgm:constr type="w" for="ch" forName="parentTextArrow" refType="w"/>
                  <dgm:constr type="t" for="ch" forName="parentTextArrow"/>
                  <dgm:constr type="h" for="ch" forName="parentTextArrow" refType="h" fact="0.351"/>
                  <dgm:constr type="w" for="ch" forName="arrow" refType="w"/>
                  <dgm:constr type="h" for="ch" forName="arrow" refType="h"/>
                  <dgm:constr type="w" for="ch" forName="descendantArrow" refType="w"/>
                  <dgm:constr type="b" for="ch" forName="descendantArrow" refType="h" fact="0.65"/>
                  <dgm:constr type="h" for="ch" forName="descendantArrow" refType="h" fact="0.299"/>
                </dgm:constrLst>
              </dgm:if>
              <dgm:else name="Name20">
                <dgm:constrLst>
                  <dgm:constr type="w" for="ch" forName="parentTextArrow" refType="w"/>
                  <dgm:constr type="h" for="ch" forName="parentTextArrow" refType="h"/>
                </dgm:constrLst>
              </dgm:else>
            </dgm:choose>
            <dgm:ruleLst/>
            <dgm:layoutNode name="parentTextArrow">
              <dgm:alg type="tx"/>
              <dgm:choose name="Name21">
                <dgm:if name="Name22" axis="ch" ptType="node" func="cnt" op="gte" val="1">
                  <dgm:shape xmlns:r="http://schemas.openxmlformats.org/officeDocument/2006/relationships" type="rect" r:blip="" zOrderOff="1" hideGeom="1">
                    <dgm:adjLst/>
                  </dgm:shape>
                </dgm:if>
                <dgm:else name="Name23">
                  <dgm:shape xmlns:r="http://schemas.openxmlformats.org/officeDocument/2006/relationships" rot="180" type="upArrowCallout" r:blip="">
                    <dgm:adjLst/>
                  </dgm:shape>
                </dgm:else>
              </dgm:choose>
              <dgm:presOf axis="self"/>
              <dgm:constrLst/>
              <dgm:ruleLst>
                <dgm:rule type="primFontSz" val="5" fact="NaN" max="NaN"/>
              </dgm:ruleLst>
            </dgm:layoutNode>
            <dgm:choose name="Name24">
              <dgm:if name="Name25" axis="ch" ptType="node" func="cnt" op="gte" val="1">
                <dgm:layoutNode name="arrow">
                  <dgm:alg type="sp"/>
                  <dgm:shape xmlns:r="http://schemas.openxmlformats.org/officeDocument/2006/relationships" rot="180" type="upArrowCallout" r:blip="">
                    <dgm:adjLst/>
                  </dgm:shape>
                  <dgm:presOf axis="self"/>
                  <dgm:constrLst/>
                  <dgm:ruleLst/>
                </dgm:layoutNode>
                <dgm:layoutNode name="descendantArrow">
                  <dgm:choose name="Name26">
                    <dgm:if name="Name27" func="var" arg="dir" op="equ" val="norm">
                      <dgm:alg type="lin"/>
                    </dgm:if>
                    <dgm:else name="Name28">
                      <dgm:alg type="lin">
                        <dgm:param type="linDir" val="fromR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w" for="ch" forName="childTextArrow" refType="w"/>
                    <dgm:constr type="h" for="ch" forName="childTextArrow" refType="h"/>
                  </dgm:constrLst>
                  <dgm:ruleLst/>
                  <dgm:forEach name="Name29" axis="ch" ptType="node">
                    <dgm:layoutNode name="childTextArrow" styleLbl="fgAccFollowNode1">
                      <dgm:varLst>
                        <dgm:bulletEnabled val="1"/>
                      </dgm:varLst>
                      <dgm:alg type="tx"/>
                      <dgm:shape xmlns:r="http://schemas.openxmlformats.org/officeDocument/2006/relationships" type="rect" r:blip="">
                        <dgm:adjLst/>
                      </dgm:shape>
                      <dgm:presOf axis="desOrSelf" ptType="node"/>
                      <dgm:constrLst>
                        <dgm:constr type="tMarg" refType="primFontSz" fact="0.1"/>
                        <dgm:constr type="bMarg" refType="primFontSz" fact="0.1"/>
                      </dgm:constrLst>
                      <dgm:ruleLst>
                        <dgm:rule type="primFontSz" val="5" fact="NaN" max="NaN"/>
                      </dgm:ruleLst>
                    </dgm:layoutNode>
                  </dgm:forEach>
                </dgm:layoutNode>
              </dgm:if>
              <dgm:else name="Name30"/>
            </dgm:choose>
          </dgm:layoutNode>
        </dgm:else>
      </dgm:choose>
      <dgm:forEach name="Name31" axis="precedSib" ptType="sibTrans" st="-1" cnt="1">
        <dgm:layoutNode name="sp">
          <dgm:alg type="sp"/>
          <dgm:shape xmlns:r="http://schemas.openxmlformats.org/officeDocument/2006/relationships" r:blip="">
            <dgm:adjLst/>
          </dgm:shape>
          <dgm:presOf axis="self"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58A547D-2724-B44E-BD18-F576637DE9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6</Pages>
  <Words>1847</Words>
  <Characters>10529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ygranica@yandex.ru</dc:creator>
  <cp:keywords/>
  <dc:description/>
  <cp:lastModifiedBy>Пользователь Microsoft Office</cp:lastModifiedBy>
  <cp:revision>25</cp:revision>
  <dcterms:created xsi:type="dcterms:W3CDTF">2022-06-10T16:55:00Z</dcterms:created>
  <dcterms:modified xsi:type="dcterms:W3CDTF">2022-06-10T19:17:00Z</dcterms:modified>
</cp:coreProperties>
</file>