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58F6" w:rsidRPr="006D02A5" w:rsidRDefault="00DA58F6" w:rsidP="00DA58F6">
      <w:pPr>
        <w:spacing w:after="0" w:line="240" w:lineRule="auto"/>
        <w:rPr>
          <w:rFonts w:ascii="Times New Roman" w:hAnsi="Times New Roman" w:cs="Times New Roman"/>
          <w:b/>
          <w:sz w:val="24"/>
          <w:szCs w:val="24"/>
        </w:rPr>
      </w:pPr>
      <w:r w:rsidRPr="006D02A5">
        <w:rPr>
          <w:rFonts w:ascii="Times New Roman" w:hAnsi="Times New Roman" w:cs="Times New Roman"/>
          <w:b/>
          <w:sz w:val="24"/>
          <w:szCs w:val="24"/>
        </w:rPr>
        <w:t>УДК</w:t>
      </w:r>
      <w:r>
        <w:rPr>
          <w:rFonts w:ascii="Times New Roman" w:hAnsi="Times New Roman" w:cs="Times New Roman"/>
          <w:b/>
          <w:sz w:val="24"/>
          <w:szCs w:val="24"/>
        </w:rPr>
        <w:t xml:space="preserve"> - 332</w:t>
      </w:r>
    </w:p>
    <w:p w:rsidR="00DA58F6" w:rsidRPr="00910510" w:rsidRDefault="00DA58F6" w:rsidP="00DA58F6">
      <w:pPr>
        <w:spacing w:after="0" w:line="240" w:lineRule="auto"/>
        <w:jc w:val="right"/>
        <w:rPr>
          <w:rFonts w:ascii="Times New Roman" w:hAnsi="Times New Roman" w:cs="Times New Roman"/>
          <w:sz w:val="24"/>
          <w:szCs w:val="24"/>
        </w:rPr>
      </w:pPr>
      <w:proofErr w:type="spellStart"/>
      <w:r w:rsidRPr="00910510">
        <w:rPr>
          <w:rFonts w:ascii="Times New Roman" w:hAnsi="Times New Roman" w:cs="Times New Roman"/>
          <w:sz w:val="24"/>
          <w:szCs w:val="24"/>
        </w:rPr>
        <w:t>Баязитова</w:t>
      </w:r>
      <w:proofErr w:type="spellEnd"/>
      <w:r w:rsidRPr="00910510">
        <w:rPr>
          <w:rFonts w:ascii="Times New Roman" w:hAnsi="Times New Roman" w:cs="Times New Roman"/>
          <w:sz w:val="24"/>
          <w:szCs w:val="24"/>
        </w:rPr>
        <w:t xml:space="preserve"> Р.Н. </w:t>
      </w:r>
    </w:p>
    <w:p w:rsidR="00DA58F6" w:rsidRPr="00910510" w:rsidRDefault="00DA58F6" w:rsidP="00DA58F6">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Н</w:t>
      </w:r>
      <w:r w:rsidRPr="00910510">
        <w:rPr>
          <w:rFonts w:ascii="Times New Roman" w:hAnsi="Times New Roman" w:cs="Times New Roman"/>
          <w:sz w:val="24"/>
          <w:szCs w:val="24"/>
        </w:rPr>
        <w:t xml:space="preserve">аучный руководитель: </w:t>
      </w:r>
      <w:r>
        <w:rPr>
          <w:rFonts w:ascii="Times New Roman" w:hAnsi="Times New Roman" w:cs="Times New Roman"/>
          <w:sz w:val="24"/>
          <w:szCs w:val="24"/>
        </w:rPr>
        <w:t xml:space="preserve">к.э.н., доцент </w:t>
      </w:r>
      <w:proofErr w:type="spellStart"/>
      <w:r>
        <w:rPr>
          <w:rFonts w:ascii="Times New Roman" w:hAnsi="Times New Roman" w:cs="Times New Roman"/>
          <w:sz w:val="24"/>
          <w:szCs w:val="24"/>
        </w:rPr>
        <w:t>Токтамышева</w:t>
      </w:r>
      <w:proofErr w:type="spellEnd"/>
      <w:r>
        <w:rPr>
          <w:rFonts w:ascii="Times New Roman" w:hAnsi="Times New Roman" w:cs="Times New Roman"/>
          <w:sz w:val="24"/>
          <w:szCs w:val="24"/>
        </w:rPr>
        <w:t xml:space="preserve"> Ю.С.</w:t>
      </w:r>
    </w:p>
    <w:p w:rsidR="00DA58F6" w:rsidRPr="00910510" w:rsidRDefault="00DA58F6" w:rsidP="00DA58F6">
      <w:pPr>
        <w:spacing w:after="0" w:line="240" w:lineRule="auto"/>
        <w:jc w:val="center"/>
        <w:rPr>
          <w:rFonts w:ascii="Times New Roman" w:hAnsi="Times New Roman" w:cs="Times New Roman"/>
          <w:b/>
          <w:sz w:val="24"/>
          <w:szCs w:val="24"/>
        </w:rPr>
      </w:pPr>
    </w:p>
    <w:p w:rsidR="00DA58F6" w:rsidRPr="00910510" w:rsidRDefault="00DA58F6" w:rsidP="00DA58F6">
      <w:pPr>
        <w:spacing w:after="0" w:line="240" w:lineRule="auto"/>
        <w:jc w:val="center"/>
        <w:rPr>
          <w:rFonts w:ascii="Times New Roman" w:hAnsi="Times New Roman" w:cs="Times New Roman"/>
          <w:b/>
          <w:sz w:val="24"/>
          <w:szCs w:val="24"/>
        </w:rPr>
      </w:pPr>
      <w:r w:rsidRPr="00910510">
        <w:rPr>
          <w:rFonts w:ascii="Times New Roman" w:hAnsi="Times New Roman" w:cs="Times New Roman"/>
          <w:b/>
          <w:sz w:val="24"/>
          <w:szCs w:val="24"/>
        </w:rPr>
        <w:t>ОЦЕНКА ВЛИЯНИЯ НЕФТЕГАЗОВЫХ КОМПАНИЙ РЕСПУБЛИКИ БАШКОРТОСТАН НА ЕЕ РАЗВИТИЕ</w:t>
      </w:r>
    </w:p>
    <w:p w:rsidR="00DA58F6" w:rsidRPr="00E81AFE" w:rsidRDefault="00DA58F6" w:rsidP="00DA58F6">
      <w:pPr>
        <w:spacing w:after="0" w:line="240" w:lineRule="auto"/>
        <w:ind w:firstLine="708"/>
        <w:jc w:val="both"/>
        <w:rPr>
          <w:rFonts w:ascii="Times New Roman" w:hAnsi="Times New Roman" w:cs="Times New Roman"/>
          <w:sz w:val="24"/>
          <w:szCs w:val="24"/>
        </w:rPr>
      </w:pPr>
    </w:p>
    <w:p w:rsidR="00DA58F6" w:rsidRPr="00910510" w:rsidRDefault="00DA58F6" w:rsidP="00DA58F6">
      <w:pPr>
        <w:spacing w:after="0" w:line="240" w:lineRule="auto"/>
        <w:ind w:firstLine="708"/>
        <w:jc w:val="both"/>
        <w:rPr>
          <w:rFonts w:ascii="Times New Roman" w:hAnsi="Times New Roman" w:cs="Times New Roman"/>
          <w:i/>
          <w:sz w:val="24"/>
          <w:szCs w:val="24"/>
        </w:rPr>
      </w:pPr>
      <w:r w:rsidRPr="00910510">
        <w:rPr>
          <w:rFonts w:ascii="Times New Roman" w:hAnsi="Times New Roman" w:cs="Times New Roman"/>
          <w:i/>
          <w:sz w:val="24"/>
          <w:szCs w:val="24"/>
        </w:rPr>
        <w:t xml:space="preserve">В статье представлен анализ вклада предприятий нефтедобывающей и нефтеперерабатывающей отраслей Республики Башкортостан в социально-экономическое развитие региона. </w:t>
      </w:r>
      <w:r>
        <w:rPr>
          <w:rFonts w:ascii="Times New Roman" w:hAnsi="Times New Roman" w:cs="Times New Roman"/>
          <w:i/>
          <w:sz w:val="24"/>
          <w:szCs w:val="24"/>
        </w:rPr>
        <w:t>Выявлено, что б</w:t>
      </w:r>
      <w:r w:rsidRPr="00910510">
        <w:rPr>
          <w:rFonts w:ascii="Times New Roman" w:hAnsi="Times New Roman" w:cs="Times New Roman"/>
          <w:i/>
          <w:sz w:val="24"/>
          <w:szCs w:val="24"/>
        </w:rPr>
        <w:t xml:space="preserve">огатство территории Республики Башкортостан ресурсами и производственными фондами является ее конкурентным преимущество при высоком спросе на энергоресурсы на мировом рынке. </w:t>
      </w:r>
    </w:p>
    <w:p w:rsidR="00DA58F6" w:rsidRPr="00910510" w:rsidRDefault="00DA58F6" w:rsidP="00DA58F6">
      <w:pPr>
        <w:spacing w:after="0" w:line="240" w:lineRule="auto"/>
        <w:ind w:firstLine="708"/>
        <w:jc w:val="both"/>
        <w:rPr>
          <w:rFonts w:ascii="Times New Roman" w:hAnsi="Times New Roman" w:cs="Times New Roman"/>
          <w:sz w:val="24"/>
          <w:szCs w:val="24"/>
        </w:rPr>
      </w:pPr>
      <w:r w:rsidRPr="00910510">
        <w:rPr>
          <w:rFonts w:ascii="Times New Roman" w:hAnsi="Times New Roman" w:cs="Times New Roman"/>
          <w:i/>
          <w:sz w:val="24"/>
          <w:szCs w:val="24"/>
        </w:rPr>
        <w:t xml:space="preserve">Ключевые слова: нефтегазовая компания, экспорт, региональный бюджет, цена на нефть, налоговые поступления, выручка. </w:t>
      </w:r>
    </w:p>
    <w:p w:rsidR="00DA58F6" w:rsidRPr="00910510" w:rsidRDefault="00DA58F6" w:rsidP="00DA58F6">
      <w:pPr>
        <w:spacing w:after="0" w:line="240" w:lineRule="auto"/>
        <w:ind w:firstLine="708"/>
        <w:jc w:val="both"/>
        <w:rPr>
          <w:rFonts w:ascii="Times New Roman" w:hAnsi="Times New Roman" w:cs="Times New Roman"/>
          <w:sz w:val="24"/>
          <w:szCs w:val="24"/>
        </w:rPr>
      </w:pPr>
    </w:p>
    <w:p w:rsidR="00DA58F6" w:rsidRPr="00910510" w:rsidRDefault="00DA58F6" w:rsidP="00DA58F6">
      <w:pPr>
        <w:spacing w:after="0" w:line="240" w:lineRule="auto"/>
        <w:ind w:firstLine="708"/>
        <w:jc w:val="both"/>
        <w:rPr>
          <w:rFonts w:ascii="Times New Roman" w:hAnsi="Times New Roman" w:cs="Times New Roman"/>
          <w:sz w:val="24"/>
          <w:szCs w:val="24"/>
        </w:rPr>
      </w:pPr>
      <w:r w:rsidRPr="00910510">
        <w:rPr>
          <w:rFonts w:ascii="Times New Roman" w:hAnsi="Times New Roman" w:cs="Times New Roman"/>
          <w:sz w:val="24"/>
          <w:szCs w:val="24"/>
        </w:rPr>
        <w:t>Результаты деятельности компаний влияют на формирование в экономике региона инвестиционных ресурсов, обеспечени</w:t>
      </w:r>
      <w:r>
        <w:rPr>
          <w:rFonts w:ascii="Times New Roman" w:hAnsi="Times New Roman" w:cs="Times New Roman"/>
          <w:sz w:val="24"/>
          <w:szCs w:val="24"/>
        </w:rPr>
        <w:t>е</w:t>
      </w:r>
      <w:r w:rsidRPr="00910510">
        <w:rPr>
          <w:rFonts w:ascii="Times New Roman" w:hAnsi="Times New Roman" w:cs="Times New Roman"/>
          <w:sz w:val="24"/>
          <w:szCs w:val="24"/>
        </w:rPr>
        <w:t xml:space="preserve"> не только внутренней, но и внешней платежеспособности в стране, поддержани</w:t>
      </w:r>
      <w:r>
        <w:rPr>
          <w:rFonts w:ascii="Times New Roman" w:hAnsi="Times New Roman" w:cs="Times New Roman"/>
          <w:sz w:val="24"/>
          <w:szCs w:val="24"/>
        </w:rPr>
        <w:t>е</w:t>
      </w:r>
      <w:r w:rsidRPr="00910510">
        <w:rPr>
          <w:rFonts w:ascii="Times New Roman" w:hAnsi="Times New Roman" w:cs="Times New Roman"/>
          <w:sz w:val="24"/>
          <w:szCs w:val="24"/>
        </w:rPr>
        <w:t xml:space="preserve"> развития и внедрения инновационных технологий и т.д. Экономика такого региона России как Республика Башкортостан (РБ) зависит от доходов нефтегазовых компаний, за счет которых увеличивается и региональный бюджет. Изучим это на примере крупнейшей компании отрасли в регионе – ПАО АНК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 xml:space="preserve">». Это позволит оценить ее влияние на развитие республики. </w:t>
      </w:r>
    </w:p>
    <w:p w:rsidR="00DA58F6" w:rsidRPr="00910510" w:rsidRDefault="00DA58F6" w:rsidP="00DA58F6">
      <w:pPr>
        <w:spacing w:after="0" w:line="240" w:lineRule="auto"/>
        <w:ind w:firstLine="709"/>
        <w:jc w:val="both"/>
        <w:rPr>
          <w:rFonts w:ascii="Times New Roman" w:hAnsi="Times New Roman" w:cs="Times New Roman"/>
          <w:sz w:val="24"/>
          <w:szCs w:val="24"/>
        </w:rPr>
      </w:pPr>
      <w:r w:rsidRPr="00910510">
        <w:rPr>
          <w:rFonts w:ascii="Times New Roman" w:hAnsi="Times New Roman" w:cs="Times New Roman"/>
          <w:sz w:val="24"/>
          <w:szCs w:val="24"/>
        </w:rPr>
        <w:t>ПАО АНК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 – одна из крупнейших компаний в России, которая осуществляет деятельность по добыче, переработке и продаже нефти и нефтепродуктов. К примеру, в 2015 году доля «</w:t>
      </w:r>
      <w:proofErr w:type="spellStart"/>
      <w:r w:rsidRPr="00910510">
        <w:rPr>
          <w:rFonts w:ascii="Times New Roman" w:hAnsi="Times New Roman" w:cs="Times New Roman"/>
          <w:sz w:val="24"/>
          <w:szCs w:val="24"/>
        </w:rPr>
        <w:t>Башнефти</w:t>
      </w:r>
      <w:proofErr w:type="spellEnd"/>
      <w:r w:rsidRPr="00910510">
        <w:rPr>
          <w:rFonts w:ascii="Times New Roman" w:hAnsi="Times New Roman" w:cs="Times New Roman"/>
          <w:sz w:val="24"/>
          <w:szCs w:val="24"/>
        </w:rPr>
        <w:t>» в общероссийской добыче нефти составляла 3,7% и доля в переработке 6,8%, соответственно [2]. Добыча нефти в РБ ведется следующими вертикально-интегрированными компаниями: ООО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-Добыча», ООО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-Полюс», ООО «Нефтяная компания ВОСТОК НАО», ООО «</w:t>
      </w:r>
      <w:proofErr w:type="spellStart"/>
      <w:r w:rsidRPr="00910510">
        <w:rPr>
          <w:rFonts w:ascii="Times New Roman" w:hAnsi="Times New Roman" w:cs="Times New Roman"/>
          <w:sz w:val="24"/>
          <w:szCs w:val="24"/>
        </w:rPr>
        <w:t>Бурнефтегаз</w:t>
      </w:r>
      <w:proofErr w:type="spellEnd"/>
      <w:r w:rsidRPr="00910510">
        <w:rPr>
          <w:rFonts w:ascii="Times New Roman" w:hAnsi="Times New Roman" w:cs="Times New Roman"/>
          <w:sz w:val="24"/>
          <w:szCs w:val="24"/>
        </w:rPr>
        <w:t>», ООО «</w:t>
      </w:r>
      <w:proofErr w:type="spellStart"/>
      <w:r w:rsidRPr="00910510">
        <w:rPr>
          <w:rFonts w:ascii="Times New Roman" w:hAnsi="Times New Roman" w:cs="Times New Roman"/>
          <w:sz w:val="24"/>
          <w:szCs w:val="24"/>
        </w:rPr>
        <w:t>БашНИПИнефть</w:t>
      </w:r>
      <w:proofErr w:type="spellEnd"/>
      <w:r w:rsidRPr="00910510">
        <w:rPr>
          <w:rFonts w:ascii="Times New Roman" w:hAnsi="Times New Roman" w:cs="Times New Roman"/>
          <w:sz w:val="24"/>
          <w:szCs w:val="24"/>
        </w:rPr>
        <w:t xml:space="preserve">» [2]. В промышленной эксплуатации находится всего 180 месторождений и основные из них расположены в РБ. Помимо этого, развиваются перспективные активы на других территориях — Тимано-Печоре и Западной Сибири, которые являются важным двигателем роста добычи нефти. </w:t>
      </w:r>
    </w:p>
    <w:p w:rsidR="00DA58F6" w:rsidRPr="00910510" w:rsidRDefault="00DA58F6" w:rsidP="00DA58F6">
      <w:pPr>
        <w:spacing w:after="0" w:line="240" w:lineRule="auto"/>
        <w:ind w:firstLine="708"/>
        <w:jc w:val="both"/>
        <w:rPr>
          <w:rFonts w:ascii="Times New Roman" w:hAnsi="Times New Roman" w:cs="Times New Roman"/>
          <w:sz w:val="24"/>
          <w:szCs w:val="24"/>
        </w:rPr>
      </w:pPr>
      <w:r w:rsidRPr="00910510">
        <w:rPr>
          <w:rFonts w:ascii="Times New Roman" w:hAnsi="Times New Roman" w:cs="Times New Roman"/>
          <w:sz w:val="24"/>
          <w:szCs w:val="24"/>
        </w:rPr>
        <w:t>В Республике Башкортостан сохраняется высокий темп прироста объемов добычи нефти (</w:t>
      </w:r>
      <w:r>
        <w:rPr>
          <w:rFonts w:ascii="Times New Roman" w:hAnsi="Times New Roman" w:cs="Times New Roman"/>
          <w:sz w:val="24"/>
          <w:szCs w:val="24"/>
        </w:rPr>
        <w:t>р</w:t>
      </w:r>
      <w:r w:rsidRPr="00910510">
        <w:rPr>
          <w:rFonts w:ascii="Times New Roman" w:hAnsi="Times New Roman" w:cs="Times New Roman"/>
          <w:sz w:val="24"/>
          <w:szCs w:val="24"/>
        </w:rPr>
        <w:t xml:space="preserve">исунок 1). </w:t>
      </w:r>
    </w:p>
    <w:p w:rsidR="00DA58F6" w:rsidRPr="00910510" w:rsidRDefault="00DA58F6" w:rsidP="00DA58F6">
      <w:pPr>
        <w:spacing w:after="0" w:line="240" w:lineRule="auto"/>
        <w:ind w:firstLine="708"/>
        <w:jc w:val="both"/>
        <w:rPr>
          <w:rFonts w:ascii="Times New Roman" w:hAnsi="Times New Roman" w:cs="Times New Roman"/>
          <w:sz w:val="24"/>
          <w:szCs w:val="24"/>
        </w:rPr>
      </w:pPr>
    </w:p>
    <w:p w:rsidR="00DA58F6" w:rsidRPr="00910510" w:rsidRDefault="00DA58F6" w:rsidP="00DA58F6">
      <w:pPr>
        <w:spacing w:after="0" w:line="240" w:lineRule="auto"/>
        <w:jc w:val="both"/>
        <w:rPr>
          <w:rFonts w:ascii="Times New Roman" w:hAnsi="Times New Roman" w:cs="Times New Roman"/>
          <w:sz w:val="24"/>
          <w:szCs w:val="24"/>
        </w:rPr>
      </w:pPr>
      <w:r w:rsidRPr="00910510">
        <w:rPr>
          <w:noProof/>
          <w:sz w:val="24"/>
          <w:szCs w:val="24"/>
          <w:lang w:eastAsia="ru-RU"/>
        </w:rPr>
        <w:drawing>
          <wp:inline distT="0" distB="0" distL="0" distR="0" wp14:anchorId="12A19B57" wp14:editId="5CD11991">
            <wp:extent cx="5905500" cy="20955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DA58F6" w:rsidRPr="00910510" w:rsidRDefault="00DA58F6" w:rsidP="00DA58F6">
      <w:pPr>
        <w:spacing w:after="0" w:line="240" w:lineRule="auto"/>
        <w:jc w:val="center"/>
        <w:rPr>
          <w:rFonts w:ascii="Times New Roman" w:hAnsi="Times New Roman" w:cs="Times New Roman"/>
          <w:sz w:val="24"/>
          <w:szCs w:val="24"/>
        </w:rPr>
      </w:pPr>
      <w:r w:rsidRPr="00910510">
        <w:rPr>
          <w:rFonts w:ascii="Times New Roman" w:hAnsi="Times New Roman" w:cs="Times New Roman"/>
          <w:sz w:val="24"/>
          <w:szCs w:val="24"/>
        </w:rPr>
        <w:t>Рисунок 1 - Объемы добычи сырой нефти в Республике Башкортостан за 2012-2016 г., млн. т.</w:t>
      </w:r>
    </w:p>
    <w:p w:rsidR="00DA58F6" w:rsidRPr="006D02A5" w:rsidRDefault="00DA58F6" w:rsidP="00DA58F6">
      <w:pPr>
        <w:spacing w:line="240" w:lineRule="auto"/>
        <w:jc w:val="both"/>
        <w:rPr>
          <w:rFonts w:ascii="Times New Roman" w:hAnsi="Times New Roman" w:cs="Times New Roman"/>
          <w:sz w:val="24"/>
          <w:szCs w:val="24"/>
        </w:rPr>
      </w:pPr>
      <w:r w:rsidRPr="00910510">
        <w:rPr>
          <w:rFonts w:ascii="Times New Roman" w:hAnsi="Times New Roman" w:cs="Times New Roman"/>
          <w:sz w:val="24"/>
          <w:szCs w:val="24"/>
        </w:rPr>
        <w:t>Источник: составлено автором по [2].</w:t>
      </w:r>
    </w:p>
    <w:p w:rsidR="00DA58F6" w:rsidRPr="00910510" w:rsidRDefault="00DA58F6" w:rsidP="00DA58F6">
      <w:pPr>
        <w:autoSpaceDE w:val="0"/>
        <w:autoSpaceDN w:val="0"/>
        <w:adjustRightInd w:val="0"/>
        <w:spacing w:after="0" w:line="240" w:lineRule="auto"/>
        <w:ind w:firstLine="709"/>
        <w:jc w:val="both"/>
        <w:rPr>
          <w:rFonts w:ascii="Times New Roman" w:hAnsi="Times New Roman" w:cs="Times New Roman"/>
          <w:sz w:val="24"/>
          <w:szCs w:val="24"/>
        </w:rPr>
      </w:pPr>
      <w:r w:rsidRPr="00910510">
        <w:rPr>
          <w:rFonts w:ascii="Times New Roman" w:hAnsi="Times New Roman" w:cs="Times New Roman"/>
          <w:sz w:val="24"/>
          <w:szCs w:val="24"/>
        </w:rPr>
        <w:lastRenderedPageBreak/>
        <w:t xml:space="preserve">Исходя из данных, представленных на рисунке 1, можно сделать вывод о том, что добыча нефти с каждым годом увеличивается, к примеру, в 2016 году добыча нефти составила 21,4 млн тонн, что на 7,4% превышает показатель 2015 года. Рост добычи нефти достигается за счет эффективной реализации программы эксплуатационного бурения высокопродуктивных горизонтальных скважин, а также использования современных технологий повышения </w:t>
      </w:r>
      <w:proofErr w:type="spellStart"/>
      <w:r w:rsidRPr="00910510">
        <w:rPr>
          <w:rFonts w:ascii="Times New Roman" w:hAnsi="Times New Roman" w:cs="Times New Roman"/>
          <w:sz w:val="24"/>
          <w:szCs w:val="24"/>
        </w:rPr>
        <w:t>нефтеотдачи</w:t>
      </w:r>
      <w:proofErr w:type="spellEnd"/>
      <w:r w:rsidRPr="00910510">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910510">
        <w:rPr>
          <w:rFonts w:ascii="Times New Roman" w:hAnsi="Times New Roman" w:cs="Times New Roman"/>
          <w:sz w:val="24"/>
          <w:szCs w:val="24"/>
        </w:rPr>
        <w:t xml:space="preserve">Однако помимо увеличения объема добычи нефти большое значение имеет и цена на нефть, потому что РБ экспортирует сырье на мировой рынок. Как известно, цена на нефть может иметь значительные колебания, так как зависит от объемов спроса и предложения на нее на мировых рынках, а также от объемов ее добычи. </w:t>
      </w:r>
    </w:p>
    <w:p w:rsidR="00DA58F6" w:rsidRPr="00910510" w:rsidRDefault="00DA58F6" w:rsidP="00DA58F6">
      <w:pPr>
        <w:autoSpaceDE w:val="0"/>
        <w:autoSpaceDN w:val="0"/>
        <w:adjustRightInd w:val="0"/>
        <w:spacing w:after="0" w:line="240" w:lineRule="auto"/>
        <w:jc w:val="both"/>
        <w:rPr>
          <w:rFonts w:ascii="Times New Roman" w:hAnsi="Times New Roman" w:cs="Times New Roman"/>
          <w:sz w:val="24"/>
          <w:szCs w:val="24"/>
          <w:lang w:val="ba-RU"/>
        </w:rPr>
      </w:pPr>
    </w:p>
    <w:p w:rsidR="00DA58F6" w:rsidRPr="00910510" w:rsidRDefault="00DA58F6" w:rsidP="00DA58F6">
      <w:pPr>
        <w:spacing w:line="240" w:lineRule="auto"/>
        <w:jc w:val="both"/>
        <w:rPr>
          <w:rFonts w:ascii="Times New Roman" w:hAnsi="Times New Roman" w:cs="Times New Roman"/>
          <w:sz w:val="24"/>
          <w:szCs w:val="24"/>
        </w:rPr>
      </w:pPr>
      <w:r w:rsidRPr="00910510">
        <w:rPr>
          <w:noProof/>
          <w:sz w:val="24"/>
          <w:szCs w:val="24"/>
          <w:lang w:eastAsia="ru-RU"/>
        </w:rPr>
        <w:drawing>
          <wp:inline distT="0" distB="0" distL="0" distR="0" wp14:anchorId="5CCEBC05" wp14:editId="020FFEB0">
            <wp:extent cx="5924550" cy="2200275"/>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DA58F6" w:rsidRPr="00910510" w:rsidRDefault="00DA58F6" w:rsidP="00DA58F6">
      <w:pPr>
        <w:spacing w:after="0" w:line="240" w:lineRule="auto"/>
        <w:ind w:firstLine="709"/>
        <w:jc w:val="center"/>
        <w:rPr>
          <w:rFonts w:ascii="Times New Roman" w:hAnsi="Times New Roman" w:cs="Times New Roman"/>
          <w:sz w:val="24"/>
          <w:szCs w:val="24"/>
        </w:rPr>
      </w:pPr>
      <w:r w:rsidRPr="00910510">
        <w:rPr>
          <w:rFonts w:ascii="Times New Roman" w:hAnsi="Times New Roman" w:cs="Times New Roman"/>
          <w:sz w:val="24"/>
          <w:szCs w:val="24"/>
        </w:rPr>
        <w:t xml:space="preserve">Рисунок 2 – Взаимосвязь экспорта сырой нефти от цены на нефть марки </w:t>
      </w:r>
      <w:r w:rsidRPr="00910510">
        <w:rPr>
          <w:rFonts w:ascii="Times New Roman" w:hAnsi="Times New Roman" w:cs="Times New Roman"/>
          <w:sz w:val="24"/>
          <w:szCs w:val="24"/>
          <w:lang w:val="en-US"/>
        </w:rPr>
        <w:t>Urals</w:t>
      </w:r>
      <w:r w:rsidRPr="00910510">
        <w:rPr>
          <w:rFonts w:ascii="Times New Roman" w:hAnsi="Times New Roman" w:cs="Times New Roman"/>
          <w:sz w:val="24"/>
          <w:szCs w:val="24"/>
        </w:rPr>
        <w:t xml:space="preserve"> за 2012-2016г.</w:t>
      </w:r>
    </w:p>
    <w:p w:rsidR="00DA58F6" w:rsidRPr="00910510" w:rsidRDefault="00DA58F6" w:rsidP="00DA58F6">
      <w:pPr>
        <w:spacing w:line="240" w:lineRule="auto"/>
        <w:jc w:val="both"/>
        <w:rPr>
          <w:rFonts w:ascii="Times New Roman" w:hAnsi="Times New Roman" w:cs="Times New Roman"/>
          <w:sz w:val="24"/>
          <w:szCs w:val="24"/>
        </w:rPr>
      </w:pPr>
      <w:r w:rsidRPr="00910510">
        <w:rPr>
          <w:rFonts w:ascii="Times New Roman" w:hAnsi="Times New Roman" w:cs="Times New Roman"/>
          <w:sz w:val="24"/>
          <w:szCs w:val="24"/>
        </w:rPr>
        <w:t>Источник: составлено автором по[2].</w:t>
      </w:r>
    </w:p>
    <w:p w:rsidR="00DA58F6" w:rsidRPr="00910510" w:rsidRDefault="00DA58F6" w:rsidP="00DA58F6">
      <w:pPr>
        <w:spacing w:after="0" w:line="240" w:lineRule="auto"/>
        <w:ind w:firstLine="708"/>
        <w:jc w:val="both"/>
        <w:rPr>
          <w:rFonts w:ascii="Times New Roman" w:hAnsi="Times New Roman" w:cs="Times New Roman"/>
          <w:sz w:val="24"/>
          <w:szCs w:val="24"/>
        </w:rPr>
      </w:pPr>
      <w:r w:rsidRPr="00910510">
        <w:rPr>
          <w:rFonts w:ascii="Times New Roman" w:hAnsi="Times New Roman" w:cs="Times New Roman"/>
          <w:sz w:val="24"/>
          <w:szCs w:val="24"/>
        </w:rPr>
        <w:t xml:space="preserve">Исходя из данных, представленных на рисунке </w:t>
      </w:r>
      <w:r>
        <w:rPr>
          <w:rFonts w:ascii="Times New Roman" w:hAnsi="Times New Roman" w:cs="Times New Roman"/>
          <w:sz w:val="24"/>
          <w:szCs w:val="24"/>
        </w:rPr>
        <w:t>2</w:t>
      </w:r>
      <w:r w:rsidRPr="00910510">
        <w:rPr>
          <w:rFonts w:ascii="Times New Roman" w:hAnsi="Times New Roman" w:cs="Times New Roman"/>
          <w:sz w:val="24"/>
          <w:szCs w:val="24"/>
        </w:rPr>
        <w:t>, можно сделать вывод о том, что за период 2012-2016</w:t>
      </w:r>
      <w:r>
        <w:rPr>
          <w:rFonts w:ascii="Times New Roman" w:hAnsi="Times New Roman" w:cs="Times New Roman"/>
          <w:sz w:val="24"/>
          <w:szCs w:val="24"/>
        </w:rPr>
        <w:t xml:space="preserve"> г</w:t>
      </w:r>
      <w:r w:rsidRPr="00910510">
        <w:rPr>
          <w:rFonts w:ascii="Times New Roman" w:hAnsi="Times New Roman" w:cs="Times New Roman"/>
          <w:sz w:val="24"/>
          <w:szCs w:val="24"/>
        </w:rPr>
        <w:t xml:space="preserve">г. цена на нефть </w:t>
      </w:r>
      <w:r w:rsidRPr="00910510">
        <w:rPr>
          <w:rFonts w:ascii="Times New Roman" w:hAnsi="Times New Roman" w:cs="Times New Roman"/>
          <w:sz w:val="24"/>
          <w:szCs w:val="24"/>
          <w:lang w:val="en-US"/>
        </w:rPr>
        <w:t>Urals</w:t>
      </w:r>
      <w:r w:rsidRPr="00910510">
        <w:rPr>
          <w:rFonts w:ascii="Times New Roman" w:hAnsi="Times New Roman" w:cs="Times New Roman"/>
          <w:sz w:val="24"/>
          <w:szCs w:val="24"/>
        </w:rPr>
        <w:t xml:space="preserve"> упал</w:t>
      </w:r>
      <w:r w:rsidRPr="00910510">
        <w:rPr>
          <w:rFonts w:ascii="Times New Roman" w:hAnsi="Times New Roman" w:cs="Times New Roman"/>
          <w:sz w:val="24"/>
          <w:szCs w:val="24"/>
          <w:lang w:val="ba-RU"/>
        </w:rPr>
        <w:t>а</w:t>
      </w:r>
      <w:r>
        <w:rPr>
          <w:rFonts w:ascii="Times New Roman" w:hAnsi="Times New Roman" w:cs="Times New Roman"/>
          <w:sz w:val="24"/>
          <w:szCs w:val="24"/>
        </w:rPr>
        <w:t xml:space="preserve"> на 47,9%, а объем серой нефти </w:t>
      </w:r>
      <w:r w:rsidRPr="00910510">
        <w:rPr>
          <w:rFonts w:ascii="Times New Roman" w:hAnsi="Times New Roman" w:cs="Times New Roman"/>
          <w:sz w:val="24"/>
          <w:szCs w:val="24"/>
        </w:rPr>
        <w:t xml:space="preserve">вырос на 33,3%. Исследуем степень взаимосвязи между объемом экспорта нефти РБ и динамикой цены нефти марки </w:t>
      </w:r>
      <w:r w:rsidRPr="00910510">
        <w:rPr>
          <w:rFonts w:ascii="Times New Roman" w:hAnsi="Times New Roman" w:cs="Times New Roman"/>
          <w:sz w:val="24"/>
          <w:szCs w:val="24"/>
          <w:lang w:val="en-US"/>
        </w:rPr>
        <w:t>Urals</w:t>
      </w:r>
      <w:r w:rsidRPr="00910510">
        <w:rPr>
          <w:rFonts w:ascii="Times New Roman" w:hAnsi="Times New Roman" w:cs="Times New Roman"/>
          <w:sz w:val="24"/>
          <w:szCs w:val="24"/>
        </w:rPr>
        <w:t xml:space="preserve">. Для этого используем формулу </w:t>
      </w:r>
      <w:proofErr w:type="spellStart"/>
      <w:r w:rsidRPr="00910510">
        <w:rPr>
          <w:rFonts w:ascii="Times New Roman" w:hAnsi="Times New Roman" w:cs="Times New Roman"/>
          <w:sz w:val="24"/>
          <w:szCs w:val="24"/>
        </w:rPr>
        <w:t>Браве</w:t>
      </w:r>
      <w:proofErr w:type="spellEnd"/>
      <w:r w:rsidRPr="00910510">
        <w:rPr>
          <w:rFonts w:ascii="Times New Roman" w:hAnsi="Times New Roman" w:cs="Times New Roman"/>
          <w:sz w:val="24"/>
          <w:szCs w:val="24"/>
        </w:rPr>
        <w:t xml:space="preserve">-Пирсона и получим значение равное 0,9436 (94,36%). Объем экспорта РБ на 94,36% зависит от цены на нефть марки </w:t>
      </w:r>
      <w:r w:rsidRPr="00910510">
        <w:rPr>
          <w:rFonts w:ascii="Times New Roman" w:hAnsi="Times New Roman" w:cs="Times New Roman"/>
          <w:sz w:val="24"/>
          <w:szCs w:val="24"/>
          <w:lang w:val="en-US"/>
        </w:rPr>
        <w:t>Urals</w:t>
      </w:r>
      <w:r w:rsidRPr="00910510">
        <w:rPr>
          <w:rFonts w:ascii="Times New Roman" w:hAnsi="Times New Roman" w:cs="Times New Roman"/>
          <w:sz w:val="24"/>
          <w:szCs w:val="24"/>
        </w:rPr>
        <w:t xml:space="preserve">. Увеличение объемов вывоза оказывает положительное влияние на экономику РБ: растут доходы от продажи товаров, укрепляются экономические связи между регионами и т.д. Однако снижение цен на нефть на мировом рынке отрицательно повлияло на экономику региона. Так, темпы прироста ВРП РБ имели значения (%): </w:t>
      </w:r>
      <w:r w:rsidRPr="00910510">
        <w:rPr>
          <w:rFonts w:ascii="Times New Roman" w:hAnsi="Times New Roman" w:cs="Times New Roman"/>
          <w:sz w:val="24"/>
          <w:szCs w:val="24"/>
          <w:lang w:val="ba-RU"/>
        </w:rPr>
        <w:t>2010 г. – 5,2</w:t>
      </w:r>
      <w:r w:rsidRPr="00910510">
        <w:rPr>
          <w:rFonts w:ascii="Times New Roman" w:hAnsi="Times New Roman" w:cs="Times New Roman"/>
          <w:sz w:val="24"/>
          <w:szCs w:val="24"/>
        </w:rPr>
        <w:t xml:space="preserve">; 2012 г. – 4,4; 2014 г. – 1,9; 2015 г. – -1,7. </w:t>
      </w:r>
    </w:p>
    <w:p w:rsidR="00DA58F6" w:rsidRPr="00910510" w:rsidRDefault="00DA58F6" w:rsidP="00DA58F6">
      <w:pPr>
        <w:spacing w:after="0" w:line="240" w:lineRule="auto"/>
        <w:ind w:firstLine="708"/>
        <w:jc w:val="both"/>
        <w:rPr>
          <w:rFonts w:ascii="Times New Roman" w:hAnsi="Times New Roman" w:cs="Times New Roman"/>
          <w:sz w:val="24"/>
          <w:szCs w:val="24"/>
        </w:rPr>
      </w:pPr>
      <w:r w:rsidRPr="00910510">
        <w:rPr>
          <w:rFonts w:ascii="Times New Roman" w:hAnsi="Times New Roman" w:cs="Times New Roman"/>
          <w:sz w:val="24"/>
          <w:szCs w:val="24"/>
        </w:rPr>
        <w:t>Переработка нефти в РБ осуществляется в четырех крупных НПЗ: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-Уфанефтехим»,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-УНПЗ»,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-Новойл», ООО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 xml:space="preserve">-Сервис </w:t>
      </w:r>
      <w:proofErr w:type="gramStart"/>
      <w:r w:rsidRPr="00910510">
        <w:rPr>
          <w:rFonts w:ascii="Times New Roman" w:hAnsi="Times New Roman" w:cs="Times New Roman"/>
          <w:sz w:val="24"/>
          <w:szCs w:val="24"/>
        </w:rPr>
        <w:t>НПЗ»[</w:t>
      </w:r>
      <w:proofErr w:type="gramEnd"/>
      <w:r w:rsidRPr="00910510">
        <w:rPr>
          <w:rFonts w:ascii="Times New Roman" w:hAnsi="Times New Roman" w:cs="Times New Roman"/>
          <w:sz w:val="24"/>
          <w:szCs w:val="24"/>
        </w:rPr>
        <w:t xml:space="preserve">2]. Объем нефтепереработки в регионе с 2012 по 2014 г. растет до 21,7 млн. </w:t>
      </w:r>
      <w:proofErr w:type="gramStart"/>
      <w:r w:rsidRPr="00910510">
        <w:rPr>
          <w:rFonts w:ascii="Times New Roman" w:hAnsi="Times New Roman" w:cs="Times New Roman"/>
          <w:sz w:val="24"/>
          <w:szCs w:val="24"/>
        </w:rPr>
        <w:t>тонн.,</w:t>
      </w:r>
      <w:proofErr w:type="gramEnd"/>
      <w:r w:rsidRPr="00910510">
        <w:rPr>
          <w:rFonts w:ascii="Times New Roman" w:hAnsi="Times New Roman" w:cs="Times New Roman"/>
          <w:sz w:val="24"/>
          <w:szCs w:val="24"/>
        </w:rPr>
        <w:t xml:space="preserve"> однако с 2015 г. по 2016 г. наблюдается снижение на 15,6%. Несмотря на это, Республика Башкортостан сохраняет лидирующее место в России по этому показателю и имеет один из самых высоких уровней глубины переработки нефти (85,8% в 2016 г.). К тому же, планируется обеспечить рост объемов нефтепереработки при использовании высоких технологий в производстве. Помимо вывоза сырой нефти, также экспортируются и нефтепродукты (</w:t>
      </w:r>
      <w:r w:rsidRPr="00910510">
        <w:rPr>
          <w:rFonts w:ascii="Times New Roman" w:hAnsi="Times New Roman" w:cs="Times New Roman"/>
          <w:sz w:val="24"/>
          <w:szCs w:val="24"/>
          <w:lang w:val="ba-RU"/>
        </w:rPr>
        <w:t>рисунок 3</w:t>
      </w:r>
      <w:r w:rsidRPr="00910510">
        <w:rPr>
          <w:rFonts w:ascii="Times New Roman" w:hAnsi="Times New Roman" w:cs="Times New Roman"/>
          <w:sz w:val="24"/>
          <w:szCs w:val="24"/>
        </w:rPr>
        <w:t>).</w:t>
      </w:r>
    </w:p>
    <w:p w:rsidR="00DA58F6" w:rsidRPr="00910510" w:rsidRDefault="00DA58F6" w:rsidP="00DA58F6">
      <w:pPr>
        <w:spacing w:line="240" w:lineRule="auto"/>
        <w:jc w:val="both"/>
        <w:rPr>
          <w:rFonts w:ascii="Times New Roman" w:hAnsi="Times New Roman" w:cs="Times New Roman"/>
          <w:sz w:val="24"/>
          <w:szCs w:val="24"/>
        </w:rPr>
      </w:pPr>
    </w:p>
    <w:p w:rsidR="00DA58F6" w:rsidRPr="00910510" w:rsidRDefault="00DA58F6" w:rsidP="00DA58F6">
      <w:pPr>
        <w:spacing w:line="240" w:lineRule="auto"/>
        <w:jc w:val="both"/>
        <w:rPr>
          <w:rFonts w:ascii="Times New Roman" w:hAnsi="Times New Roman" w:cs="Times New Roman"/>
          <w:sz w:val="24"/>
          <w:szCs w:val="24"/>
        </w:rPr>
      </w:pPr>
      <w:r w:rsidRPr="00910510">
        <w:rPr>
          <w:noProof/>
          <w:sz w:val="24"/>
          <w:szCs w:val="24"/>
          <w:lang w:eastAsia="ru-RU"/>
        </w:rPr>
        <w:lastRenderedPageBreak/>
        <w:drawing>
          <wp:inline distT="0" distB="0" distL="0" distR="0" wp14:anchorId="3AAA4482" wp14:editId="31130D44">
            <wp:extent cx="5838825" cy="23812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DA58F6" w:rsidRPr="00910510" w:rsidRDefault="00DA58F6" w:rsidP="00DA58F6">
      <w:pPr>
        <w:spacing w:after="0" w:line="240" w:lineRule="auto"/>
        <w:ind w:firstLine="709"/>
        <w:jc w:val="center"/>
        <w:rPr>
          <w:rFonts w:ascii="Times New Roman" w:hAnsi="Times New Roman" w:cs="Times New Roman"/>
          <w:sz w:val="24"/>
          <w:szCs w:val="24"/>
        </w:rPr>
      </w:pPr>
      <w:r w:rsidRPr="00910510">
        <w:rPr>
          <w:rFonts w:ascii="Times New Roman" w:hAnsi="Times New Roman" w:cs="Times New Roman"/>
          <w:sz w:val="24"/>
          <w:szCs w:val="24"/>
        </w:rPr>
        <w:t>Рисунок 3 – Удельный вес продукции «</w:t>
      </w:r>
      <w:proofErr w:type="spellStart"/>
      <w:r w:rsidRPr="00910510">
        <w:rPr>
          <w:rFonts w:ascii="Times New Roman" w:hAnsi="Times New Roman" w:cs="Times New Roman"/>
          <w:sz w:val="24"/>
          <w:szCs w:val="24"/>
        </w:rPr>
        <w:t>Башнефти</w:t>
      </w:r>
      <w:proofErr w:type="spellEnd"/>
      <w:r w:rsidRPr="00910510">
        <w:rPr>
          <w:rFonts w:ascii="Times New Roman" w:hAnsi="Times New Roman" w:cs="Times New Roman"/>
          <w:sz w:val="24"/>
          <w:szCs w:val="24"/>
        </w:rPr>
        <w:t>» в общероссийских поставках нефтепродуктов (%)</w:t>
      </w:r>
    </w:p>
    <w:p w:rsidR="00DA58F6" w:rsidRPr="00910510" w:rsidRDefault="00DA58F6" w:rsidP="00DA58F6">
      <w:pPr>
        <w:spacing w:line="240" w:lineRule="auto"/>
        <w:jc w:val="both"/>
        <w:rPr>
          <w:rFonts w:ascii="Times New Roman" w:hAnsi="Times New Roman" w:cs="Times New Roman"/>
          <w:sz w:val="24"/>
          <w:szCs w:val="24"/>
          <w:lang w:val="ba-RU"/>
        </w:rPr>
      </w:pPr>
      <w:r w:rsidRPr="00910510">
        <w:rPr>
          <w:rFonts w:ascii="Times New Roman" w:hAnsi="Times New Roman" w:cs="Times New Roman"/>
          <w:sz w:val="24"/>
          <w:szCs w:val="24"/>
        </w:rPr>
        <w:t>Источник: составлено автором по [2]</w:t>
      </w:r>
      <w:r w:rsidRPr="00910510">
        <w:rPr>
          <w:rFonts w:ascii="Times New Roman" w:hAnsi="Times New Roman" w:cs="Times New Roman"/>
          <w:sz w:val="24"/>
          <w:szCs w:val="24"/>
          <w:lang w:val="ba-RU"/>
        </w:rPr>
        <w:t>.</w:t>
      </w:r>
    </w:p>
    <w:p w:rsidR="00DA58F6" w:rsidRPr="00910510" w:rsidRDefault="00DA58F6" w:rsidP="00DA58F6">
      <w:pPr>
        <w:spacing w:after="0" w:line="240" w:lineRule="auto"/>
        <w:ind w:firstLine="708"/>
        <w:jc w:val="both"/>
        <w:rPr>
          <w:rFonts w:ascii="Times New Roman" w:hAnsi="Times New Roman" w:cs="Times New Roman"/>
          <w:sz w:val="24"/>
          <w:szCs w:val="24"/>
          <w:lang w:val="ba-RU"/>
        </w:rPr>
      </w:pPr>
      <w:r w:rsidRPr="00910510">
        <w:rPr>
          <w:rFonts w:ascii="Times New Roman" w:hAnsi="Times New Roman" w:cs="Times New Roman"/>
          <w:sz w:val="24"/>
          <w:szCs w:val="24"/>
          <w:lang w:val="ba-RU"/>
        </w:rPr>
        <w:t>По данным, представленным на рисунке 3, можно утверждать, что высокспрос на автомобильный бензин республиканского производства – 12%. Если же рассмотреть выручку от поставки нефтепродуктов, то она стремительно росла вплоть</w:t>
      </w:r>
      <w:r w:rsidRPr="00910510">
        <w:rPr>
          <w:rFonts w:ascii="Times New Roman" w:hAnsi="Times New Roman" w:cs="Times New Roman"/>
          <w:sz w:val="24"/>
          <w:szCs w:val="24"/>
        </w:rPr>
        <w:t xml:space="preserve"> до 2014 г. (471,3 млрд. руб.)</w:t>
      </w:r>
      <w:r w:rsidRPr="00910510">
        <w:rPr>
          <w:rFonts w:ascii="Times New Roman" w:hAnsi="Times New Roman" w:cs="Times New Roman"/>
          <w:sz w:val="24"/>
          <w:szCs w:val="24"/>
          <w:lang w:val="ba-RU"/>
        </w:rPr>
        <w:t xml:space="preserve">, однако в 2015 г. упала на 7,4% и составила 436,3 млрд. рублей. Это произошло, в первую очередь, из-за неустойчивой ситуации на мировомрынке нефти и нефтепродуктов. </w:t>
      </w:r>
    </w:p>
    <w:p w:rsidR="00DA58F6" w:rsidRPr="00910510" w:rsidRDefault="00DA58F6" w:rsidP="00DA58F6">
      <w:pPr>
        <w:spacing w:after="0" w:line="240" w:lineRule="auto"/>
        <w:ind w:firstLine="708"/>
        <w:jc w:val="both"/>
        <w:rPr>
          <w:rFonts w:ascii="Times New Roman" w:hAnsi="Times New Roman" w:cs="Times New Roman"/>
          <w:sz w:val="24"/>
          <w:szCs w:val="24"/>
        </w:rPr>
      </w:pPr>
      <w:r w:rsidRPr="00910510">
        <w:rPr>
          <w:rFonts w:ascii="Times New Roman" w:hAnsi="Times New Roman" w:cs="Times New Roman"/>
          <w:sz w:val="24"/>
          <w:szCs w:val="24"/>
        </w:rPr>
        <w:t>Основу развития в Республике Башкортостан таких отраслей как нефтепереработка, нефтехимия, энергетика заложила</w:t>
      </w:r>
      <w:r>
        <w:rPr>
          <w:rFonts w:ascii="Times New Roman" w:hAnsi="Times New Roman" w:cs="Times New Roman"/>
          <w:sz w:val="24"/>
          <w:szCs w:val="24"/>
        </w:rPr>
        <w:t xml:space="preserve"> </w:t>
      </w:r>
      <w:r w:rsidRPr="00910510">
        <w:rPr>
          <w:rFonts w:ascii="Times New Roman" w:hAnsi="Times New Roman" w:cs="Times New Roman"/>
          <w:sz w:val="24"/>
          <w:szCs w:val="24"/>
        </w:rPr>
        <w:t>развивавшаяся десятилетиями нефтедобыча. Поступления в бюджет Республики Башкортостан от компании ПАО АНК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 xml:space="preserve">» за 2016 г. составили 40,3 млрд. руб., или же 53,16% в общем объеме доходов бюджета. В то же время, всего </w:t>
      </w:r>
      <w:proofErr w:type="spellStart"/>
      <w:r w:rsidRPr="00910510">
        <w:rPr>
          <w:rFonts w:ascii="Times New Roman" w:hAnsi="Times New Roman" w:cs="Times New Roman"/>
          <w:sz w:val="24"/>
          <w:szCs w:val="24"/>
        </w:rPr>
        <w:t>доходыбюджета</w:t>
      </w:r>
      <w:proofErr w:type="spellEnd"/>
      <w:r w:rsidRPr="00910510">
        <w:rPr>
          <w:rFonts w:ascii="Times New Roman" w:hAnsi="Times New Roman" w:cs="Times New Roman"/>
          <w:sz w:val="24"/>
          <w:szCs w:val="24"/>
        </w:rPr>
        <w:t xml:space="preserve"> РБ за 2016 г. составили 75,803 млрд. руб. Средства бюджета РБ в 2016 г. были направлены в следующих пропорциях: на национальную экономику – 29,5 млрд. руб., образование – 53,3 млрд. рублей, здравоохранение – 31,2 млрд. рублей, социальную политику – 22,7 млрд. рублей и др. [3, </w:t>
      </w:r>
      <w:r w:rsidRPr="00910510">
        <w:rPr>
          <w:rFonts w:ascii="Times New Roman" w:hAnsi="Times New Roman" w:cs="Times New Roman"/>
          <w:sz w:val="24"/>
          <w:szCs w:val="24"/>
          <w:lang w:val="en-US"/>
        </w:rPr>
        <w:t>c</w:t>
      </w:r>
      <w:r w:rsidRPr="00910510">
        <w:rPr>
          <w:rFonts w:ascii="Times New Roman" w:hAnsi="Times New Roman" w:cs="Times New Roman"/>
          <w:sz w:val="24"/>
          <w:szCs w:val="24"/>
        </w:rPr>
        <w:t>. 1074-1075]. ПАО АНК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 xml:space="preserve">» является не только крупнейшим налогоплательщиком в бюджет региона; компания финансирует многие проекты в республике. Благотворительная деятельность направлена на развитие инфраструктурных и социальных проектов. В 2016 г. общая сумма расходов на данную деятельность выросла до 2,1 млрд. руб. Так, компания является генеральным спонсором хоккейных клубов «Салават </w:t>
      </w:r>
      <w:proofErr w:type="spellStart"/>
      <w:r w:rsidRPr="00910510">
        <w:rPr>
          <w:rFonts w:ascii="Times New Roman" w:hAnsi="Times New Roman" w:cs="Times New Roman"/>
          <w:sz w:val="24"/>
          <w:szCs w:val="24"/>
        </w:rPr>
        <w:t>Юлаев</w:t>
      </w:r>
      <w:proofErr w:type="spellEnd"/>
      <w:r w:rsidRPr="00910510">
        <w:rPr>
          <w:rFonts w:ascii="Times New Roman" w:hAnsi="Times New Roman" w:cs="Times New Roman"/>
          <w:sz w:val="24"/>
          <w:szCs w:val="24"/>
        </w:rPr>
        <w:t xml:space="preserve">» и «Торос», а также поддерживает детские хоккейные школы и т.д. </w:t>
      </w:r>
    </w:p>
    <w:p w:rsidR="00DA58F6" w:rsidRPr="00910510" w:rsidRDefault="00DA58F6" w:rsidP="00DA58F6">
      <w:pPr>
        <w:spacing w:after="0" w:line="240" w:lineRule="auto"/>
        <w:ind w:firstLine="709"/>
        <w:jc w:val="both"/>
        <w:rPr>
          <w:rFonts w:ascii="Times New Roman" w:hAnsi="Times New Roman" w:cs="Times New Roman"/>
          <w:sz w:val="24"/>
          <w:szCs w:val="24"/>
        </w:rPr>
      </w:pPr>
      <w:r w:rsidRPr="00910510">
        <w:rPr>
          <w:rFonts w:ascii="Times New Roman" w:hAnsi="Times New Roman" w:cs="Times New Roman"/>
          <w:sz w:val="24"/>
          <w:szCs w:val="24"/>
        </w:rPr>
        <w:t xml:space="preserve">Таким образом, по данным </w:t>
      </w:r>
      <w:r w:rsidRPr="00910510">
        <w:rPr>
          <w:rFonts w:ascii="Times New Roman" w:hAnsi="Times New Roman" w:cs="Times New Roman"/>
          <w:bCs/>
          <w:sz w:val="24"/>
          <w:szCs w:val="24"/>
        </w:rPr>
        <w:t>проведенного</w:t>
      </w:r>
      <w:r>
        <w:rPr>
          <w:rFonts w:ascii="Times New Roman" w:hAnsi="Times New Roman" w:cs="Times New Roman"/>
          <w:bCs/>
          <w:sz w:val="24"/>
          <w:szCs w:val="24"/>
        </w:rPr>
        <w:t xml:space="preserve"> </w:t>
      </w:r>
      <w:r w:rsidRPr="00910510">
        <w:rPr>
          <w:rFonts w:ascii="Times New Roman" w:hAnsi="Times New Roman" w:cs="Times New Roman"/>
          <w:bCs/>
          <w:sz w:val="24"/>
          <w:szCs w:val="24"/>
        </w:rPr>
        <w:t>анализа</w:t>
      </w:r>
      <w:r>
        <w:rPr>
          <w:rFonts w:ascii="Times New Roman" w:hAnsi="Times New Roman" w:cs="Times New Roman"/>
          <w:bCs/>
          <w:sz w:val="24"/>
          <w:szCs w:val="24"/>
        </w:rPr>
        <w:t xml:space="preserve"> </w:t>
      </w:r>
      <w:r w:rsidRPr="00910510">
        <w:rPr>
          <w:rFonts w:ascii="Times New Roman" w:hAnsi="Times New Roman" w:cs="Times New Roman"/>
          <w:bCs/>
          <w:sz w:val="24"/>
          <w:szCs w:val="24"/>
        </w:rPr>
        <w:t>можно</w:t>
      </w:r>
      <w:r>
        <w:rPr>
          <w:rFonts w:ascii="Times New Roman" w:hAnsi="Times New Roman" w:cs="Times New Roman"/>
          <w:bCs/>
          <w:sz w:val="24"/>
          <w:szCs w:val="24"/>
        </w:rPr>
        <w:t xml:space="preserve"> </w:t>
      </w:r>
      <w:r w:rsidRPr="00910510">
        <w:rPr>
          <w:rFonts w:ascii="Times New Roman" w:hAnsi="Times New Roman" w:cs="Times New Roman"/>
          <w:bCs/>
          <w:sz w:val="24"/>
          <w:szCs w:val="24"/>
        </w:rPr>
        <w:t>сделать вывод о том</w:t>
      </w:r>
      <w:r w:rsidRPr="00910510">
        <w:rPr>
          <w:rFonts w:ascii="Times New Roman" w:hAnsi="Times New Roman" w:cs="Times New Roman"/>
          <w:sz w:val="24"/>
          <w:szCs w:val="24"/>
        </w:rPr>
        <w:t>, что нефтедобывающая и нефтеперерабатывающая отрасли вносят значительный вклад в развитие Республики Башкортостан. Так,</w:t>
      </w:r>
      <w:r>
        <w:rPr>
          <w:rFonts w:ascii="Times New Roman" w:hAnsi="Times New Roman" w:cs="Times New Roman"/>
          <w:sz w:val="24"/>
          <w:szCs w:val="24"/>
        </w:rPr>
        <w:t xml:space="preserve"> </w:t>
      </w:r>
      <w:r w:rsidRPr="00910510">
        <w:rPr>
          <w:rFonts w:ascii="Times New Roman" w:hAnsi="Times New Roman" w:cs="Times New Roman"/>
          <w:sz w:val="24"/>
          <w:szCs w:val="24"/>
        </w:rPr>
        <w:t>экспорт нефти и нефтепродуктов в другие регионы укрепляет экономические отношения, повышает конкурентоспособность РБ, а также способствует росту объемов товарооборота. Зависимость регионального бюджета от поступлений компании ПАО АНК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 высока, а доходы, поступающие в бюджет Республики Башкортостан, все больше зависят от налоговых поступлений нефтедобывающей и нефтеперерабатывающей отрасли. Значительный объем средств из бюджета, в первую очередь, направляется на социальную сферу и развитие общества</w:t>
      </w:r>
      <w:r w:rsidRPr="00910510">
        <w:rPr>
          <w:rFonts w:ascii="Times New Roman" w:hAnsi="Times New Roman" w:cs="Times New Roman"/>
          <w:sz w:val="24"/>
          <w:szCs w:val="24"/>
          <w:lang w:val="ba-RU"/>
        </w:rPr>
        <w:t>, ч</w:t>
      </w:r>
      <w:r w:rsidRPr="00910510">
        <w:rPr>
          <w:rFonts w:ascii="Times New Roman" w:hAnsi="Times New Roman" w:cs="Times New Roman"/>
          <w:sz w:val="24"/>
          <w:szCs w:val="24"/>
        </w:rPr>
        <w:t xml:space="preserve">то в дальнейшем и способствует росту благосостояния населения. </w:t>
      </w:r>
    </w:p>
    <w:p w:rsidR="00DA58F6" w:rsidRDefault="00DA58F6" w:rsidP="00DA58F6">
      <w:pPr>
        <w:spacing w:after="0" w:line="240" w:lineRule="auto"/>
        <w:ind w:firstLine="708"/>
        <w:jc w:val="center"/>
        <w:rPr>
          <w:rFonts w:ascii="Times New Roman" w:hAnsi="Times New Roman" w:cs="Times New Roman"/>
          <w:sz w:val="24"/>
          <w:szCs w:val="24"/>
        </w:rPr>
      </w:pPr>
    </w:p>
    <w:p w:rsidR="00DA58F6" w:rsidRDefault="00DA58F6" w:rsidP="00DA58F6">
      <w:pPr>
        <w:spacing w:after="0" w:line="240" w:lineRule="auto"/>
        <w:jc w:val="center"/>
        <w:rPr>
          <w:rFonts w:ascii="Times New Roman" w:hAnsi="Times New Roman" w:cs="Times New Roman"/>
          <w:b/>
          <w:sz w:val="24"/>
          <w:szCs w:val="24"/>
        </w:rPr>
      </w:pPr>
    </w:p>
    <w:p w:rsidR="00DA58F6" w:rsidRDefault="00DA58F6" w:rsidP="00DA58F6">
      <w:pPr>
        <w:spacing w:after="0" w:line="240" w:lineRule="auto"/>
        <w:jc w:val="center"/>
        <w:rPr>
          <w:rFonts w:ascii="Times New Roman" w:hAnsi="Times New Roman" w:cs="Times New Roman"/>
          <w:b/>
          <w:sz w:val="24"/>
          <w:szCs w:val="24"/>
        </w:rPr>
      </w:pPr>
    </w:p>
    <w:p w:rsidR="00DA58F6" w:rsidRDefault="00DA58F6" w:rsidP="00DA58F6">
      <w:pPr>
        <w:spacing w:after="0" w:line="240" w:lineRule="auto"/>
        <w:jc w:val="center"/>
        <w:rPr>
          <w:rFonts w:ascii="Times New Roman" w:hAnsi="Times New Roman" w:cs="Times New Roman"/>
          <w:b/>
          <w:sz w:val="24"/>
          <w:szCs w:val="24"/>
        </w:rPr>
      </w:pPr>
    </w:p>
    <w:p w:rsidR="00DA58F6" w:rsidRDefault="00DA58F6" w:rsidP="00DA58F6">
      <w:pPr>
        <w:spacing w:after="0" w:line="240" w:lineRule="auto"/>
        <w:jc w:val="center"/>
        <w:rPr>
          <w:rFonts w:ascii="Times New Roman" w:hAnsi="Times New Roman" w:cs="Times New Roman"/>
          <w:b/>
          <w:sz w:val="24"/>
          <w:szCs w:val="24"/>
        </w:rPr>
      </w:pPr>
    </w:p>
    <w:p w:rsidR="00DA58F6" w:rsidRPr="00910510" w:rsidRDefault="00DA58F6" w:rsidP="00DA58F6">
      <w:pPr>
        <w:spacing w:after="0" w:line="240" w:lineRule="auto"/>
        <w:jc w:val="center"/>
        <w:rPr>
          <w:rFonts w:ascii="Times New Roman" w:hAnsi="Times New Roman" w:cs="Times New Roman"/>
          <w:b/>
          <w:sz w:val="24"/>
          <w:szCs w:val="24"/>
        </w:rPr>
      </w:pPr>
      <w:bookmarkStart w:id="0" w:name="_GoBack"/>
      <w:bookmarkEnd w:id="0"/>
      <w:r w:rsidRPr="00910510">
        <w:rPr>
          <w:rFonts w:ascii="Times New Roman" w:hAnsi="Times New Roman" w:cs="Times New Roman"/>
          <w:b/>
          <w:sz w:val="24"/>
          <w:szCs w:val="24"/>
        </w:rPr>
        <w:lastRenderedPageBreak/>
        <w:t>Список литературы</w:t>
      </w:r>
    </w:p>
    <w:p w:rsidR="00DA58F6" w:rsidRPr="00910510" w:rsidRDefault="00DA58F6" w:rsidP="00DA58F6">
      <w:pPr>
        <w:spacing w:after="0" w:line="240" w:lineRule="auto"/>
        <w:ind w:firstLine="708"/>
        <w:jc w:val="center"/>
        <w:rPr>
          <w:rFonts w:ascii="Times New Roman" w:hAnsi="Times New Roman" w:cs="Times New Roman"/>
          <w:sz w:val="24"/>
          <w:szCs w:val="24"/>
        </w:rPr>
      </w:pPr>
    </w:p>
    <w:p w:rsidR="00DA58F6" w:rsidRPr="00910510" w:rsidRDefault="00DA58F6" w:rsidP="00DA58F6">
      <w:pPr>
        <w:pStyle w:val="a5"/>
        <w:numPr>
          <w:ilvl w:val="0"/>
          <w:numId w:val="1"/>
        </w:numPr>
        <w:spacing w:after="0" w:line="240" w:lineRule="auto"/>
        <w:ind w:left="0" w:firstLine="709"/>
        <w:jc w:val="both"/>
        <w:rPr>
          <w:rFonts w:ascii="Times New Roman" w:hAnsi="Times New Roman" w:cs="Times New Roman"/>
          <w:sz w:val="24"/>
          <w:szCs w:val="24"/>
        </w:rPr>
      </w:pPr>
      <w:r w:rsidRPr="00910510">
        <w:rPr>
          <w:rFonts w:ascii="Times New Roman" w:hAnsi="Times New Roman" w:cs="Times New Roman"/>
          <w:sz w:val="24"/>
          <w:szCs w:val="24"/>
        </w:rPr>
        <w:t>Юсупов К.Н. Национальная экономика: учебное пособие / К.Н.</w:t>
      </w:r>
      <w:r>
        <w:rPr>
          <w:rFonts w:ascii="Times New Roman" w:hAnsi="Times New Roman" w:cs="Times New Roman"/>
          <w:sz w:val="24"/>
          <w:szCs w:val="24"/>
        </w:rPr>
        <w:t xml:space="preserve"> </w:t>
      </w:r>
      <w:r w:rsidRPr="00910510">
        <w:rPr>
          <w:rFonts w:ascii="Times New Roman" w:hAnsi="Times New Roman" w:cs="Times New Roman"/>
          <w:sz w:val="24"/>
          <w:szCs w:val="24"/>
        </w:rPr>
        <w:t>Юсупов, А.В.</w:t>
      </w:r>
      <w:r>
        <w:rPr>
          <w:rFonts w:ascii="Times New Roman" w:hAnsi="Times New Roman" w:cs="Times New Roman"/>
          <w:sz w:val="24"/>
          <w:szCs w:val="24"/>
        </w:rPr>
        <w:t xml:space="preserve"> </w:t>
      </w:r>
      <w:proofErr w:type="spellStart"/>
      <w:r w:rsidRPr="00910510">
        <w:rPr>
          <w:rFonts w:ascii="Times New Roman" w:hAnsi="Times New Roman" w:cs="Times New Roman"/>
          <w:sz w:val="24"/>
          <w:szCs w:val="24"/>
        </w:rPr>
        <w:t>Янгиров</w:t>
      </w:r>
      <w:proofErr w:type="spellEnd"/>
      <w:r w:rsidRPr="00910510">
        <w:rPr>
          <w:rFonts w:ascii="Times New Roman" w:hAnsi="Times New Roman" w:cs="Times New Roman"/>
          <w:sz w:val="24"/>
          <w:szCs w:val="24"/>
        </w:rPr>
        <w:t xml:space="preserve">, А.А. </w:t>
      </w:r>
      <w:proofErr w:type="spellStart"/>
      <w:r w:rsidRPr="00910510">
        <w:rPr>
          <w:rFonts w:ascii="Times New Roman" w:hAnsi="Times New Roman" w:cs="Times New Roman"/>
          <w:sz w:val="24"/>
          <w:szCs w:val="24"/>
        </w:rPr>
        <w:t>Ахунов</w:t>
      </w:r>
      <w:proofErr w:type="spellEnd"/>
      <w:r w:rsidRPr="00910510">
        <w:rPr>
          <w:rFonts w:ascii="Times New Roman" w:hAnsi="Times New Roman" w:cs="Times New Roman"/>
          <w:sz w:val="24"/>
          <w:szCs w:val="24"/>
        </w:rPr>
        <w:t>, А.Р.</w:t>
      </w:r>
      <w:r>
        <w:rPr>
          <w:rFonts w:ascii="Times New Roman" w:hAnsi="Times New Roman" w:cs="Times New Roman"/>
          <w:sz w:val="24"/>
          <w:szCs w:val="24"/>
        </w:rPr>
        <w:t xml:space="preserve"> </w:t>
      </w:r>
      <w:proofErr w:type="spellStart"/>
      <w:r w:rsidRPr="00910510">
        <w:rPr>
          <w:rFonts w:ascii="Times New Roman" w:hAnsi="Times New Roman" w:cs="Times New Roman"/>
          <w:sz w:val="24"/>
          <w:szCs w:val="24"/>
        </w:rPr>
        <w:t>Таймасов</w:t>
      </w:r>
      <w:proofErr w:type="spellEnd"/>
      <w:r w:rsidRPr="00910510">
        <w:rPr>
          <w:rFonts w:ascii="Times New Roman" w:hAnsi="Times New Roman" w:cs="Times New Roman"/>
          <w:sz w:val="24"/>
          <w:szCs w:val="24"/>
        </w:rPr>
        <w:t xml:space="preserve">, Ю.С. </w:t>
      </w:r>
      <w:proofErr w:type="spellStart"/>
      <w:r w:rsidRPr="00910510">
        <w:rPr>
          <w:rFonts w:ascii="Times New Roman" w:hAnsi="Times New Roman" w:cs="Times New Roman"/>
          <w:sz w:val="24"/>
          <w:szCs w:val="24"/>
        </w:rPr>
        <w:t>Токтамышева</w:t>
      </w:r>
      <w:proofErr w:type="spellEnd"/>
      <w:r w:rsidRPr="00910510">
        <w:rPr>
          <w:rFonts w:ascii="Times New Roman" w:hAnsi="Times New Roman" w:cs="Times New Roman"/>
          <w:sz w:val="24"/>
          <w:szCs w:val="24"/>
        </w:rPr>
        <w:t xml:space="preserve">; под </w:t>
      </w:r>
      <w:proofErr w:type="spellStart"/>
      <w:r w:rsidRPr="00910510">
        <w:rPr>
          <w:rFonts w:ascii="Times New Roman" w:hAnsi="Times New Roman" w:cs="Times New Roman"/>
          <w:sz w:val="24"/>
          <w:szCs w:val="24"/>
        </w:rPr>
        <w:t>общ.ред</w:t>
      </w:r>
      <w:proofErr w:type="spellEnd"/>
      <w:r w:rsidRPr="00910510">
        <w:rPr>
          <w:rFonts w:ascii="Times New Roman" w:hAnsi="Times New Roman" w:cs="Times New Roman"/>
          <w:sz w:val="24"/>
          <w:szCs w:val="24"/>
        </w:rPr>
        <w:t xml:space="preserve">. </w:t>
      </w:r>
      <w:proofErr w:type="spellStart"/>
      <w:r w:rsidRPr="00910510">
        <w:rPr>
          <w:rFonts w:ascii="Times New Roman" w:hAnsi="Times New Roman" w:cs="Times New Roman"/>
          <w:sz w:val="24"/>
          <w:szCs w:val="24"/>
        </w:rPr>
        <w:t>К.Н.Юсупова</w:t>
      </w:r>
      <w:proofErr w:type="spellEnd"/>
      <w:r w:rsidRPr="00910510">
        <w:rPr>
          <w:rFonts w:ascii="Times New Roman" w:hAnsi="Times New Roman" w:cs="Times New Roman"/>
          <w:sz w:val="24"/>
          <w:szCs w:val="24"/>
        </w:rPr>
        <w:t xml:space="preserve"> – третье издание, переработанное и дополненное. – М.: КНОРУС, 2017. – 279 с.</w:t>
      </w:r>
    </w:p>
    <w:p w:rsidR="00DA58F6" w:rsidRPr="00910510" w:rsidRDefault="00DA58F6" w:rsidP="00DA58F6">
      <w:pPr>
        <w:pStyle w:val="a5"/>
        <w:numPr>
          <w:ilvl w:val="0"/>
          <w:numId w:val="1"/>
        </w:numPr>
        <w:spacing w:after="0" w:line="240" w:lineRule="auto"/>
        <w:ind w:left="0" w:firstLine="709"/>
        <w:jc w:val="both"/>
        <w:rPr>
          <w:rFonts w:ascii="Times New Roman" w:hAnsi="Times New Roman" w:cs="Times New Roman"/>
          <w:sz w:val="24"/>
          <w:szCs w:val="24"/>
        </w:rPr>
      </w:pPr>
      <w:r w:rsidRPr="00910510">
        <w:rPr>
          <w:rFonts w:ascii="Times New Roman" w:hAnsi="Times New Roman" w:cs="Times New Roman"/>
          <w:sz w:val="24"/>
          <w:szCs w:val="24"/>
        </w:rPr>
        <w:t>Годовые отчеты компании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 xml:space="preserve">» за 2012, 2013, 2014, 2015, 2016 годы // Официальный сайт ПАО АНК </w:t>
      </w:r>
      <w:proofErr w:type="spellStart"/>
      <w:r w:rsidRPr="00910510">
        <w:rPr>
          <w:rFonts w:ascii="Times New Roman" w:hAnsi="Times New Roman" w:cs="Times New Roman"/>
          <w:sz w:val="24"/>
          <w:szCs w:val="24"/>
        </w:rPr>
        <w:t>Башнефть</w:t>
      </w:r>
      <w:proofErr w:type="spellEnd"/>
      <w:r w:rsidRPr="00910510">
        <w:rPr>
          <w:rFonts w:ascii="Times New Roman" w:hAnsi="Times New Roman" w:cs="Times New Roman"/>
          <w:sz w:val="24"/>
          <w:szCs w:val="24"/>
        </w:rPr>
        <w:t>. – URL: http://www.bashneft.ru/disclosure/annua</w:t>
      </w:r>
      <w:r>
        <w:rPr>
          <w:rFonts w:ascii="Times New Roman" w:hAnsi="Times New Roman" w:cs="Times New Roman"/>
          <w:sz w:val="24"/>
          <w:szCs w:val="24"/>
        </w:rPr>
        <w:t>l/ (дата обращения 03.03.2017</w:t>
      </w:r>
      <w:r w:rsidRPr="00910510">
        <w:rPr>
          <w:rFonts w:ascii="Times New Roman" w:hAnsi="Times New Roman" w:cs="Times New Roman"/>
          <w:sz w:val="24"/>
          <w:szCs w:val="24"/>
        </w:rPr>
        <w:t>)</w:t>
      </w:r>
    </w:p>
    <w:p w:rsidR="00DA58F6" w:rsidRDefault="00DA58F6" w:rsidP="00DA58F6">
      <w:pPr>
        <w:pStyle w:val="a5"/>
        <w:numPr>
          <w:ilvl w:val="0"/>
          <w:numId w:val="1"/>
        </w:numPr>
        <w:spacing w:after="0" w:line="240" w:lineRule="auto"/>
        <w:ind w:left="0" w:firstLine="709"/>
        <w:jc w:val="both"/>
        <w:rPr>
          <w:rFonts w:ascii="Times New Roman" w:hAnsi="Times New Roman" w:cs="Times New Roman"/>
          <w:sz w:val="24"/>
          <w:szCs w:val="24"/>
        </w:rPr>
      </w:pPr>
      <w:r w:rsidRPr="00910510">
        <w:rPr>
          <w:rFonts w:ascii="Times New Roman" w:hAnsi="Times New Roman" w:cs="Times New Roman"/>
          <w:sz w:val="24"/>
          <w:szCs w:val="24"/>
        </w:rPr>
        <w:t>Регионы России. Социально-экономические показатели. 2016: Стат. сб. / Росстат. – М., 2016. – 1326 с.</w:t>
      </w:r>
    </w:p>
    <w:p w:rsidR="00DA58F6" w:rsidRPr="00767330" w:rsidRDefault="00DA58F6" w:rsidP="00DA58F6">
      <w:pPr>
        <w:spacing w:after="0" w:line="240" w:lineRule="auto"/>
        <w:jc w:val="both"/>
        <w:rPr>
          <w:rFonts w:ascii="Times New Roman" w:hAnsi="Times New Roman" w:cs="Times New Roman"/>
          <w:sz w:val="24"/>
          <w:szCs w:val="24"/>
        </w:rPr>
      </w:pPr>
    </w:p>
    <w:p w:rsidR="00DA58F6" w:rsidRPr="00767330" w:rsidRDefault="00DA58F6" w:rsidP="00DA58F6">
      <w:pPr>
        <w:pStyle w:val="a6"/>
        <w:spacing w:before="0" w:beforeAutospacing="0" w:after="0" w:afterAutospacing="0"/>
        <w:jc w:val="center"/>
        <w:rPr>
          <w:b/>
        </w:rPr>
      </w:pPr>
      <w:r w:rsidRPr="00767330">
        <w:rPr>
          <w:b/>
        </w:rPr>
        <w:t>Информация об авторе</w:t>
      </w:r>
      <w:r>
        <w:rPr>
          <w:b/>
        </w:rPr>
        <w:t xml:space="preserve"> на русском языке</w:t>
      </w:r>
    </w:p>
    <w:p w:rsidR="00DA58F6" w:rsidRPr="00E81AFE" w:rsidRDefault="00DA58F6" w:rsidP="00DA58F6">
      <w:pPr>
        <w:spacing w:after="0" w:line="240" w:lineRule="auto"/>
        <w:ind w:firstLine="709"/>
        <w:jc w:val="both"/>
        <w:rPr>
          <w:rFonts w:ascii="Times New Roman" w:hAnsi="Times New Roman" w:cs="Times New Roman"/>
          <w:sz w:val="24"/>
          <w:szCs w:val="24"/>
          <w:lang w:val="en-US"/>
        </w:rPr>
      </w:pPr>
      <w:proofErr w:type="spellStart"/>
      <w:r w:rsidRPr="00767330">
        <w:rPr>
          <w:rFonts w:ascii="Times New Roman" w:hAnsi="Times New Roman" w:cs="Times New Roman"/>
          <w:sz w:val="24"/>
          <w:szCs w:val="24"/>
        </w:rPr>
        <w:t>Баязитова</w:t>
      </w:r>
      <w:proofErr w:type="spellEnd"/>
      <w:r w:rsidRPr="00767330">
        <w:rPr>
          <w:rFonts w:ascii="Times New Roman" w:hAnsi="Times New Roman" w:cs="Times New Roman"/>
          <w:sz w:val="24"/>
          <w:szCs w:val="24"/>
        </w:rPr>
        <w:t xml:space="preserve"> Регина </w:t>
      </w:r>
      <w:proofErr w:type="spellStart"/>
      <w:r w:rsidRPr="00767330">
        <w:rPr>
          <w:rFonts w:ascii="Times New Roman" w:hAnsi="Times New Roman" w:cs="Times New Roman"/>
          <w:sz w:val="24"/>
          <w:szCs w:val="24"/>
        </w:rPr>
        <w:t>Нафиковна</w:t>
      </w:r>
      <w:proofErr w:type="spellEnd"/>
      <w:r w:rsidRPr="00767330">
        <w:rPr>
          <w:rFonts w:ascii="Times New Roman" w:hAnsi="Times New Roman" w:cs="Times New Roman"/>
          <w:sz w:val="24"/>
          <w:szCs w:val="24"/>
        </w:rPr>
        <w:t xml:space="preserve"> (Россия, </w:t>
      </w:r>
      <w:r>
        <w:rPr>
          <w:rFonts w:ascii="Times New Roman" w:hAnsi="Times New Roman" w:cs="Times New Roman"/>
          <w:sz w:val="24"/>
          <w:szCs w:val="24"/>
        </w:rPr>
        <w:t xml:space="preserve">г. </w:t>
      </w:r>
      <w:r w:rsidRPr="00767330">
        <w:rPr>
          <w:rFonts w:ascii="Times New Roman" w:hAnsi="Times New Roman" w:cs="Times New Roman"/>
          <w:sz w:val="24"/>
          <w:szCs w:val="24"/>
        </w:rPr>
        <w:t>Уфа) – студентка ФГБОУ ВО «Башкирский государственный университет (</w:t>
      </w:r>
      <w:r w:rsidRPr="00767330">
        <w:rPr>
          <w:rFonts w:ascii="Times New Roman" w:hAnsi="Times New Roman" w:cs="Times New Roman"/>
        </w:rPr>
        <w:t>Россия, Республика Башкортостан, г. Уфа, ул. К</w:t>
      </w:r>
      <w:r w:rsidRPr="00767330">
        <w:rPr>
          <w:rFonts w:ascii="Times New Roman" w:hAnsi="Times New Roman" w:cs="Times New Roman"/>
          <w:lang w:val="en-US"/>
        </w:rPr>
        <w:t>.</w:t>
      </w:r>
      <w:r w:rsidRPr="00767330">
        <w:rPr>
          <w:rFonts w:ascii="Times New Roman" w:hAnsi="Times New Roman" w:cs="Times New Roman"/>
        </w:rPr>
        <w:t>Маркса</w:t>
      </w:r>
      <w:r w:rsidRPr="00767330">
        <w:rPr>
          <w:rFonts w:ascii="Times New Roman" w:hAnsi="Times New Roman" w:cs="Times New Roman"/>
          <w:lang w:val="en-US"/>
        </w:rPr>
        <w:t xml:space="preserve"> ¾, </w:t>
      </w:r>
      <w:r w:rsidRPr="00E81AFE">
        <w:rPr>
          <w:rFonts w:ascii="Times New Roman" w:hAnsi="Times New Roman" w:cs="Times New Roman"/>
          <w:sz w:val="24"/>
          <w:szCs w:val="24"/>
          <w:lang w:val="en-US"/>
        </w:rPr>
        <w:t>reginana-96@mail.ru)</w:t>
      </w:r>
    </w:p>
    <w:p w:rsidR="00DA58F6" w:rsidRPr="00E81AFE" w:rsidRDefault="00DA58F6" w:rsidP="00DA58F6">
      <w:pPr>
        <w:spacing w:after="0" w:line="240" w:lineRule="auto"/>
        <w:ind w:firstLine="708"/>
        <w:jc w:val="right"/>
        <w:rPr>
          <w:rFonts w:ascii="Times New Roman" w:hAnsi="Times New Roman" w:cs="Times New Roman"/>
          <w:b/>
          <w:sz w:val="24"/>
          <w:szCs w:val="24"/>
          <w:lang w:val="en-US"/>
        </w:rPr>
      </w:pPr>
    </w:p>
    <w:p w:rsidR="00DA58F6" w:rsidRPr="00E81AFE" w:rsidRDefault="00DA58F6" w:rsidP="00DA58F6">
      <w:pPr>
        <w:spacing w:after="0" w:line="240" w:lineRule="auto"/>
        <w:ind w:firstLine="708"/>
        <w:jc w:val="right"/>
        <w:rPr>
          <w:rFonts w:ascii="Times New Roman" w:hAnsi="Times New Roman" w:cs="Times New Roman"/>
          <w:b/>
          <w:sz w:val="24"/>
          <w:szCs w:val="24"/>
          <w:lang w:val="en-US"/>
        </w:rPr>
      </w:pPr>
      <w:proofErr w:type="spellStart"/>
      <w:r w:rsidRPr="00E81AFE">
        <w:rPr>
          <w:rFonts w:ascii="Times New Roman" w:hAnsi="Times New Roman" w:cs="Times New Roman"/>
          <w:b/>
          <w:sz w:val="24"/>
          <w:szCs w:val="24"/>
          <w:lang w:val="en-US"/>
        </w:rPr>
        <w:t>Bayazitova</w:t>
      </w:r>
      <w:proofErr w:type="spellEnd"/>
      <w:r w:rsidRPr="00E81AFE">
        <w:rPr>
          <w:rFonts w:ascii="Times New Roman" w:hAnsi="Times New Roman" w:cs="Times New Roman"/>
          <w:b/>
          <w:sz w:val="24"/>
          <w:szCs w:val="24"/>
          <w:lang w:val="en-US"/>
        </w:rPr>
        <w:t xml:space="preserve"> R. N.</w:t>
      </w:r>
    </w:p>
    <w:p w:rsidR="00DA58F6" w:rsidRDefault="00DA58F6" w:rsidP="00DA58F6">
      <w:pPr>
        <w:spacing w:after="0" w:line="240" w:lineRule="auto"/>
        <w:jc w:val="center"/>
        <w:rPr>
          <w:rFonts w:ascii="Times New Roman" w:hAnsi="Times New Roman" w:cs="Times New Roman"/>
          <w:b/>
          <w:sz w:val="24"/>
          <w:szCs w:val="24"/>
          <w:lang w:val="ba-RU"/>
        </w:rPr>
      </w:pPr>
      <w:r w:rsidRPr="00767330">
        <w:rPr>
          <w:rFonts w:ascii="Times New Roman" w:hAnsi="Times New Roman" w:cs="Times New Roman"/>
          <w:b/>
          <w:sz w:val="24"/>
          <w:szCs w:val="24"/>
          <w:lang w:val="ba-RU"/>
        </w:rPr>
        <w:t>EVALUATION OF INFLUENCE OF THE REPUBLIC OF BASHKORTOSTAN O</w:t>
      </w:r>
      <w:r>
        <w:rPr>
          <w:rFonts w:ascii="Times New Roman" w:hAnsi="Times New Roman" w:cs="Times New Roman"/>
          <w:b/>
          <w:sz w:val="24"/>
          <w:szCs w:val="24"/>
          <w:lang w:val="ba-RU"/>
        </w:rPr>
        <w:t>IL COMPANIES ON ITS DEVELOPMENT</w:t>
      </w:r>
    </w:p>
    <w:p w:rsidR="00DA58F6" w:rsidRPr="00767330" w:rsidRDefault="00DA58F6" w:rsidP="00DA58F6">
      <w:pPr>
        <w:spacing w:after="0" w:line="240" w:lineRule="auto"/>
        <w:ind w:firstLine="709"/>
        <w:jc w:val="both"/>
        <w:rPr>
          <w:rFonts w:ascii="Times New Roman" w:hAnsi="Times New Roman" w:cs="Times New Roman"/>
          <w:i/>
          <w:sz w:val="24"/>
          <w:szCs w:val="24"/>
          <w:lang w:val="ba-RU"/>
        </w:rPr>
      </w:pPr>
      <w:r w:rsidRPr="00767330">
        <w:rPr>
          <w:rFonts w:ascii="Times New Roman" w:hAnsi="Times New Roman" w:cs="Times New Roman"/>
          <w:i/>
          <w:sz w:val="24"/>
          <w:szCs w:val="24"/>
          <w:lang w:val="ba-RU"/>
        </w:rPr>
        <w:t xml:space="preserve">The article presents the results of the analysis of the contribution of oil companies of the Republic of Bashkortostan in the socio-economic development of the region. It is revealed that the wealth of the territory of the Republic of Bashkortostan with resources and production funds is its competitive advantage with high demand for energy resources on the world market. </w:t>
      </w:r>
    </w:p>
    <w:p w:rsidR="00DA58F6" w:rsidRDefault="00DA58F6" w:rsidP="00DA58F6">
      <w:pPr>
        <w:spacing w:after="0" w:line="240" w:lineRule="auto"/>
        <w:ind w:firstLine="709"/>
        <w:jc w:val="both"/>
        <w:rPr>
          <w:rFonts w:ascii="Times New Roman" w:hAnsi="Times New Roman" w:cs="Times New Roman"/>
          <w:i/>
          <w:sz w:val="24"/>
          <w:szCs w:val="24"/>
          <w:lang w:val="ba-RU"/>
        </w:rPr>
      </w:pPr>
      <w:r w:rsidRPr="00767330">
        <w:rPr>
          <w:rFonts w:ascii="Times New Roman" w:hAnsi="Times New Roman" w:cs="Times New Roman"/>
          <w:i/>
          <w:sz w:val="24"/>
          <w:szCs w:val="24"/>
          <w:lang w:val="ba-RU"/>
        </w:rPr>
        <w:t>Keywords: oil and gas company, export, regional budget, oil price, tax revenues, revenue.</w:t>
      </w:r>
    </w:p>
    <w:p w:rsidR="00DA58F6" w:rsidRDefault="00DA58F6" w:rsidP="00DA58F6">
      <w:pPr>
        <w:spacing w:after="0" w:line="240" w:lineRule="auto"/>
        <w:ind w:firstLine="709"/>
        <w:jc w:val="both"/>
        <w:rPr>
          <w:rFonts w:ascii="Times New Roman" w:hAnsi="Times New Roman" w:cs="Times New Roman"/>
          <w:i/>
          <w:sz w:val="24"/>
          <w:szCs w:val="24"/>
          <w:lang w:val="ba-RU"/>
        </w:rPr>
      </w:pPr>
    </w:p>
    <w:p w:rsidR="00DA58F6" w:rsidRPr="00767330" w:rsidRDefault="00DA58F6" w:rsidP="00DA58F6">
      <w:pPr>
        <w:pStyle w:val="a6"/>
        <w:spacing w:before="0" w:beforeAutospacing="0" w:after="0" w:afterAutospacing="0"/>
        <w:jc w:val="center"/>
        <w:rPr>
          <w:b/>
        </w:rPr>
      </w:pPr>
      <w:r w:rsidRPr="00767330">
        <w:rPr>
          <w:b/>
        </w:rPr>
        <w:t>Информация об авторе</w:t>
      </w:r>
      <w:r>
        <w:rPr>
          <w:b/>
        </w:rPr>
        <w:t xml:space="preserve"> на английском языке</w:t>
      </w:r>
    </w:p>
    <w:p w:rsidR="00DA58F6" w:rsidRDefault="00DA58F6" w:rsidP="00DA58F6">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w:t>
      </w:r>
      <w:r w:rsidRPr="00767330">
        <w:rPr>
          <w:rFonts w:ascii="Times New Roman" w:hAnsi="Times New Roman" w:cs="Times New Roman"/>
          <w:sz w:val="24"/>
          <w:szCs w:val="24"/>
          <w:lang w:val="en-US"/>
        </w:rPr>
        <w:t>ayazitova</w:t>
      </w:r>
      <w:proofErr w:type="spellEnd"/>
      <w:r w:rsidRPr="00767330">
        <w:rPr>
          <w:rFonts w:ascii="Times New Roman" w:hAnsi="Times New Roman" w:cs="Times New Roman"/>
          <w:sz w:val="24"/>
          <w:szCs w:val="24"/>
          <w:lang w:val="en-US"/>
        </w:rPr>
        <w:t xml:space="preserve"> Regina </w:t>
      </w:r>
      <w:proofErr w:type="spellStart"/>
      <w:r>
        <w:rPr>
          <w:rFonts w:ascii="Times New Roman" w:hAnsi="Times New Roman" w:cs="Times New Roman"/>
          <w:sz w:val="24"/>
          <w:szCs w:val="24"/>
          <w:lang w:val="en-US"/>
        </w:rPr>
        <w:t>N</w:t>
      </w:r>
      <w:r w:rsidRPr="00767330">
        <w:rPr>
          <w:rFonts w:ascii="Times New Roman" w:hAnsi="Times New Roman" w:cs="Times New Roman"/>
          <w:sz w:val="24"/>
          <w:szCs w:val="24"/>
          <w:lang w:val="en-US"/>
        </w:rPr>
        <w:t>afikov</w:t>
      </w:r>
      <w:r>
        <w:rPr>
          <w:rFonts w:ascii="Times New Roman" w:hAnsi="Times New Roman" w:cs="Times New Roman"/>
          <w:sz w:val="24"/>
          <w:szCs w:val="24"/>
          <w:lang w:val="en-US"/>
        </w:rPr>
        <w:t>n</w:t>
      </w:r>
      <w:r w:rsidRPr="00767330">
        <w:rPr>
          <w:rFonts w:ascii="Times New Roman" w:hAnsi="Times New Roman" w:cs="Times New Roman"/>
          <w:sz w:val="24"/>
          <w:szCs w:val="24"/>
          <w:lang w:val="en-US"/>
        </w:rPr>
        <w:t>a</w:t>
      </w:r>
      <w:proofErr w:type="spellEnd"/>
      <w:r w:rsidRPr="00767330">
        <w:rPr>
          <w:rFonts w:ascii="Times New Roman" w:hAnsi="Times New Roman" w:cs="Times New Roman"/>
          <w:sz w:val="24"/>
          <w:szCs w:val="24"/>
          <w:lang w:val="en-US"/>
        </w:rPr>
        <w:t xml:space="preserve"> (Russia, Ufa) – student of the "Bashkir state University (Russia, Republic of Bashkortostan, Ufa, ¾</w:t>
      </w:r>
      <w:r>
        <w:rPr>
          <w:rFonts w:ascii="Times New Roman" w:hAnsi="Times New Roman" w:cs="Times New Roman"/>
          <w:sz w:val="24"/>
          <w:szCs w:val="24"/>
          <w:lang w:val="en-US"/>
        </w:rPr>
        <w:t>,</w:t>
      </w:r>
      <w:r w:rsidRPr="00767330">
        <w:rPr>
          <w:rFonts w:ascii="Times New Roman" w:hAnsi="Times New Roman" w:cs="Times New Roman"/>
          <w:sz w:val="24"/>
          <w:szCs w:val="24"/>
          <w:lang w:val="en-US"/>
        </w:rPr>
        <w:t xml:space="preserve"> </w:t>
      </w:r>
      <w:r>
        <w:rPr>
          <w:rFonts w:ascii="Times New Roman" w:hAnsi="Times New Roman" w:cs="Times New Roman"/>
          <w:sz w:val="24"/>
          <w:szCs w:val="24"/>
          <w:lang w:val="en-US"/>
        </w:rPr>
        <w:t>K</w:t>
      </w:r>
      <w:r w:rsidRPr="00767330">
        <w:rPr>
          <w:rFonts w:ascii="Times New Roman" w:hAnsi="Times New Roman" w:cs="Times New Roman"/>
          <w:sz w:val="24"/>
          <w:szCs w:val="24"/>
          <w:lang w:val="en-US"/>
        </w:rPr>
        <w:t>. Marx</w:t>
      </w:r>
      <w:r>
        <w:rPr>
          <w:rFonts w:ascii="Times New Roman" w:hAnsi="Times New Roman" w:cs="Times New Roman"/>
          <w:sz w:val="24"/>
          <w:szCs w:val="24"/>
          <w:lang w:val="en-US"/>
        </w:rPr>
        <w:t xml:space="preserve"> str.</w:t>
      </w:r>
      <w:r w:rsidRPr="00767330">
        <w:rPr>
          <w:rFonts w:ascii="Times New Roman" w:hAnsi="Times New Roman" w:cs="Times New Roman"/>
          <w:sz w:val="24"/>
          <w:szCs w:val="24"/>
          <w:lang w:val="en-US"/>
        </w:rPr>
        <w:t xml:space="preserve">, </w:t>
      </w:r>
      <w:hyperlink r:id="rId8" w:history="1">
        <w:r w:rsidRPr="006B51BD">
          <w:rPr>
            <w:rStyle w:val="a7"/>
            <w:rFonts w:ascii="Times New Roman" w:hAnsi="Times New Roman" w:cs="Times New Roman"/>
            <w:sz w:val="24"/>
            <w:szCs w:val="24"/>
            <w:lang w:val="en-US"/>
          </w:rPr>
          <w:t>reginana-96@mail.ru</w:t>
        </w:r>
      </w:hyperlink>
      <w:r w:rsidRPr="00767330">
        <w:rPr>
          <w:rFonts w:ascii="Times New Roman" w:hAnsi="Times New Roman" w:cs="Times New Roman"/>
          <w:sz w:val="24"/>
          <w:szCs w:val="24"/>
          <w:lang w:val="en-US"/>
        </w:rPr>
        <w:t>)</w:t>
      </w:r>
    </w:p>
    <w:p w:rsidR="00DA58F6" w:rsidRDefault="00DA58F6" w:rsidP="00DA58F6">
      <w:pPr>
        <w:spacing w:after="0" w:line="240" w:lineRule="auto"/>
        <w:ind w:firstLine="709"/>
        <w:jc w:val="both"/>
        <w:rPr>
          <w:rFonts w:ascii="Times New Roman" w:eastAsia="Times New Roman" w:hAnsi="Times New Roman" w:cs="Times New Roman"/>
          <w:b/>
          <w:sz w:val="24"/>
          <w:szCs w:val="24"/>
          <w:lang w:val="en-US" w:eastAsia="ru-RU"/>
        </w:rPr>
      </w:pPr>
    </w:p>
    <w:p w:rsidR="00DA58F6" w:rsidRPr="00E81AFE" w:rsidRDefault="00DA58F6" w:rsidP="00DA58F6">
      <w:pPr>
        <w:spacing w:after="0" w:line="240" w:lineRule="auto"/>
        <w:jc w:val="center"/>
        <w:rPr>
          <w:rFonts w:ascii="Times New Roman" w:hAnsi="Times New Roman" w:cs="Times New Roman"/>
          <w:sz w:val="24"/>
          <w:szCs w:val="24"/>
          <w:lang w:val="en-US"/>
        </w:rPr>
      </w:pPr>
      <w:r w:rsidRPr="00C700B2">
        <w:rPr>
          <w:rFonts w:ascii="Times New Roman" w:eastAsia="Times New Roman" w:hAnsi="Times New Roman" w:cs="Times New Roman"/>
          <w:b/>
          <w:sz w:val="24"/>
          <w:szCs w:val="24"/>
          <w:lang w:eastAsia="ru-RU"/>
        </w:rPr>
        <w:t>Список</w:t>
      </w:r>
      <w:r w:rsidRPr="00E81AFE">
        <w:rPr>
          <w:rFonts w:ascii="Times New Roman" w:eastAsia="Times New Roman" w:hAnsi="Times New Roman" w:cs="Times New Roman"/>
          <w:b/>
          <w:sz w:val="24"/>
          <w:szCs w:val="24"/>
          <w:lang w:val="en-US" w:eastAsia="ru-RU"/>
        </w:rPr>
        <w:t xml:space="preserve"> </w:t>
      </w:r>
      <w:r w:rsidRPr="00C700B2">
        <w:rPr>
          <w:rFonts w:ascii="Times New Roman" w:eastAsia="Times New Roman" w:hAnsi="Times New Roman" w:cs="Times New Roman"/>
          <w:b/>
          <w:sz w:val="24"/>
          <w:szCs w:val="24"/>
          <w:lang w:eastAsia="ru-RU"/>
        </w:rPr>
        <w:t>литературы</w:t>
      </w:r>
      <w:r w:rsidRPr="00E81AFE">
        <w:rPr>
          <w:rFonts w:ascii="Times New Roman" w:eastAsia="Times New Roman" w:hAnsi="Times New Roman" w:cs="Times New Roman"/>
          <w:b/>
          <w:sz w:val="24"/>
          <w:szCs w:val="24"/>
          <w:lang w:val="en-US" w:eastAsia="ru-RU"/>
        </w:rPr>
        <w:t xml:space="preserve"> </w:t>
      </w:r>
      <w:r w:rsidRPr="00C700B2">
        <w:rPr>
          <w:rFonts w:ascii="Times New Roman" w:eastAsia="Times New Roman" w:hAnsi="Times New Roman" w:cs="Times New Roman"/>
          <w:b/>
          <w:sz w:val="24"/>
          <w:szCs w:val="24"/>
          <w:lang w:eastAsia="ru-RU"/>
        </w:rPr>
        <w:t>на</w:t>
      </w:r>
      <w:r w:rsidRPr="00E81AFE">
        <w:rPr>
          <w:rFonts w:ascii="Times New Roman" w:eastAsia="Times New Roman" w:hAnsi="Times New Roman" w:cs="Times New Roman"/>
          <w:b/>
          <w:sz w:val="24"/>
          <w:szCs w:val="24"/>
          <w:lang w:val="en-US" w:eastAsia="ru-RU"/>
        </w:rPr>
        <w:t xml:space="preserve"> </w:t>
      </w:r>
      <w:r w:rsidRPr="00C700B2">
        <w:rPr>
          <w:rFonts w:ascii="Times New Roman" w:eastAsia="Times New Roman" w:hAnsi="Times New Roman" w:cs="Times New Roman"/>
          <w:b/>
          <w:sz w:val="24"/>
          <w:szCs w:val="24"/>
          <w:lang w:eastAsia="ru-RU"/>
        </w:rPr>
        <w:t>английском</w:t>
      </w:r>
      <w:r w:rsidRPr="00E81AFE">
        <w:rPr>
          <w:rFonts w:ascii="Times New Roman" w:eastAsia="Times New Roman" w:hAnsi="Times New Roman" w:cs="Times New Roman"/>
          <w:b/>
          <w:sz w:val="24"/>
          <w:szCs w:val="24"/>
          <w:lang w:val="en-US" w:eastAsia="ru-RU"/>
        </w:rPr>
        <w:t xml:space="preserve"> </w:t>
      </w:r>
      <w:r w:rsidRPr="00C700B2">
        <w:rPr>
          <w:rFonts w:ascii="Times New Roman" w:eastAsia="Times New Roman" w:hAnsi="Times New Roman" w:cs="Times New Roman"/>
          <w:b/>
          <w:sz w:val="24"/>
          <w:szCs w:val="24"/>
          <w:lang w:eastAsia="ru-RU"/>
        </w:rPr>
        <w:t>языке</w:t>
      </w:r>
    </w:p>
    <w:p w:rsidR="00DA58F6" w:rsidRPr="00BF5FB4" w:rsidRDefault="00DA58F6" w:rsidP="00DA58F6">
      <w:pPr>
        <w:spacing w:after="0"/>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 </w:t>
      </w:r>
      <w:proofErr w:type="spellStart"/>
      <w:r w:rsidRPr="00BF5FB4">
        <w:rPr>
          <w:rFonts w:ascii="Times New Roman" w:hAnsi="Times New Roman" w:cs="Times New Roman"/>
          <w:sz w:val="24"/>
          <w:szCs w:val="24"/>
          <w:lang w:val="en-US"/>
        </w:rPr>
        <w:t>Yusupov</w:t>
      </w:r>
      <w:proofErr w:type="spellEnd"/>
      <w:r w:rsidRPr="00BF5FB4">
        <w:rPr>
          <w:rFonts w:ascii="Times New Roman" w:hAnsi="Times New Roman" w:cs="Times New Roman"/>
          <w:sz w:val="24"/>
          <w:szCs w:val="24"/>
          <w:lang w:val="en-US"/>
        </w:rPr>
        <w:t xml:space="preserve"> K. N. National economy: textbook / K. N. </w:t>
      </w:r>
      <w:proofErr w:type="spellStart"/>
      <w:r w:rsidRPr="00BF5FB4">
        <w:rPr>
          <w:rFonts w:ascii="Times New Roman" w:hAnsi="Times New Roman" w:cs="Times New Roman"/>
          <w:sz w:val="24"/>
          <w:szCs w:val="24"/>
          <w:lang w:val="en-US"/>
        </w:rPr>
        <w:t>Yusupov</w:t>
      </w:r>
      <w:proofErr w:type="spellEnd"/>
      <w:r w:rsidRPr="00BF5FB4">
        <w:rPr>
          <w:rFonts w:ascii="Times New Roman" w:hAnsi="Times New Roman" w:cs="Times New Roman"/>
          <w:sz w:val="24"/>
          <w:szCs w:val="24"/>
          <w:lang w:val="en-US"/>
        </w:rPr>
        <w:t xml:space="preserve">, A. V. </w:t>
      </w:r>
      <w:proofErr w:type="spellStart"/>
      <w:r w:rsidRPr="00BF5FB4">
        <w:rPr>
          <w:rFonts w:ascii="Times New Roman" w:hAnsi="Times New Roman" w:cs="Times New Roman"/>
          <w:sz w:val="24"/>
          <w:szCs w:val="24"/>
          <w:lang w:val="en-US"/>
        </w:rPr>
        <w:t>Amirov</w:t>
      </w:r>
      <w:proofErr w:type="spellEnd"/>
      <w:r w:rsidRPr="00BF5FB4">
        <w:rPr>
          <w:rFonts w:ascii="Times New Roman" w:hAnsi="Times New Roman" w:cs="Times New Roman"/>
          <w:sz w:val="24"/>
          <w:szCs w:val="24"/>
          <w:lang w:val="en-US"/>
        </w:rPr>
        <w:t xml:space="preserve">, A. A. </w:t>
      </w:r>
      <w:proofErr w:type="spellStart"/>
      <w:r w:rsidRPr="00BF5FB4">
        <w:rPr>
          <w:rFonts w:ascii="Times New Roman" w:hAnsi="Times New Roman" w:cs="Times New Roman"/>
          <w:sz w:val="24"/>
          <w:szCs w:val="24"/>
          <w:lang w:val="en-US"/>
        </w:rPr>
        <w:t>Akhunov</w:t>
      </w:r>
      <w:proofErr w:type="spellEnd"/>
      <w:r w:rsidRPr="00BF5FB4">
        <w:rPr>
          <w:rFonts w:ascii="Times New Roman" w:hAnsi="Times New Roman" w:cs="Times New Roman"/>
          <w:sz w:val="24"/>
          <w:szCs w:val="24"/>
          <w:lang w:val="en-US"/>
        </w:rPr>
        <w:t xml:space="preserve">, A. R. </w:t>
      </w:r>
      <w:proofErr w:type="spellStart"/>
      <w:r w:rsidRPr="00BF5FB4">
        <w:rPr>
          <w:rFonts w:ascii="Times New Roman" w:hAnsi="Times New Roman" w:cs="Times New Roman"/>
          <w:sz w:val="24"/>
          <w:szCs w:val="24"/>
          <w:lang w:val="en-US"/>
        </w:rPr>
        <w:t>Taimasov</w:t>
      </w:r>
      <w:proofErr w:type="spellEnd"/>
      <w:r w:rsidRPr="00BF5FB4">
        <w:rPr>
          <w:rFonts w:ascii="Times New Roman" w:hAnsi="Times New Roman" w:cs="Times New Roman"/>
          <w:sz w:val="24"/>
          <w:szCs w:val="24"/>
          <w:lang w:val="en-US"/>
        </w:rPr>
        <w:t xml:space="preserve">, Y. S. </w:t>
      </w:r>
      <w:proofErr w:type="spellStart"/>
      <w:r w:rsidRPr="00BF5FB4">
        <w:rPr>
          <w:rFonts w:ascii="Times New Roman" w:hAnsi="Times New Roman" w:cs="Times New Roman"/>
          <w:sz w:val="24"/>
          <w:szCs w:val="24"/>
          <w:lang w:val="en-US"/>
        </w:rPr>
        <w:t>Tuktamysheva</w:t>
      </w:r>
      <w:proofErr w:type="spellEnd"/>
      <w:r w:rsidRPr="00BF5FB4">
        <w:rPr>
          <w:rFonts w:ascii="Times New Roman" w:hAnsi="Times New Roman" w:cs="Times New Roman"/>
          <w:sz w:val="24"/>
          <w:szCs w:val="24"/>
          <w:lang w:val="en-US"/>
        </w:rPr>
        <w:t xml:space="preserve">; under the General editorship of K. N. </w:t>
      </w:r>
      <w:proofErr w:type="spellStart"/>
      <w:r w:rsidRPr="00BF5FB4">
        <w:rPr>
          <w:rFonts w:ascii="Times New Roman" w:hAnsi="Times New Roman" w:cs="Times New Roman"/>
          <w:sz w:val="24"/>
          <w:szCs w:val="24"/>
          <w:lang w:val="en-US"/>
        </w:rPr>
        <w:t>Yusupov</w:t>
      </w:r>
      <w:proofErr w:type="spellEnd"/>
      <w:r w:rsidRPr="00BF5FB4">
        <w:rPr>
          <w:rFonts w:ascii="Times New Roman" w:hAnsi="Times New Roman" w:cs="Times New Roman"/>
          <w:sz w:val="24"/>
          <w:szCs w:val="24"/>
          <w:lang w:val="en-US"/>
        </w:rPr>
        <w:t xml:space="preserve"> – third edition, revised and enlarged. - Moscow: KNORUS, 2017. - 279 p.</w:t>
      </w:r>
    </w:p>
    <w:p w:rsidR="00DA58F6" w:rsidRPr="00BF5FB4" w:rsidRDefault="00DA58F6" w:rsidP="00DA58F6">
      <w:pPr>
        <w:spacing w:after="0"/>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r w:rsidRPr="00BF5FB4">
        <w:rPr>
          <w:rFonts w:ascii="Times New Roman" w:hAnsi="Times New Roman" w:cs="Times New Roman"/>
          <w:sz w:val="24"/>
          <w:szCs w:val="24"/>
          <w:lang w:val="en-US"/>
        </w:rPr>
        <w:t>Annual reports of the company "</w:t>
      </w:r>
      <w:proofErr w:type="spellStart"/>
      <w:r w:rsidRPr="00BF5FB4">
        <w:rPr>
          <w:rFonts w:ascii="Times New Roman" w:hAnsi="Times New Roman" w:cs="Times New Roman"/>
          <w:sz w:val="24"/>
          <w:szCs w:val="24"/>
          <w:lang w:val="en-US"/>
        </w:rPr>
        <w:t>Bashneft</w:t>
      </w:r>
      <w:proofErr w:type="spellEnd"/>
      <w:r w:rsidRPr="00BF5FB4">
        <w:rPr>
          <w:rFonts w:ascii="Times New Roman" w:hAnsi="Times New Roman" w:cs="Times New Roman"/>
          <w:sz w:val="24"/>
          <w:szCs w:val="24"/>
          <w:lang w:val="en-US"/>
        </w:rPr>
        <w:t xml:space="preserve">" for 2012, 2013, 2014, 2015, 2016 Official website of OJSC ANK </w:t>
      </w:r>
      <w:proofErr w:type="spellStart"/>
      <w:r w:rsidRPr="00BF5FB4">
        <w:rPr>
          <w:rFonts w:ascii="Times New Roman" w:hAnsi="Times New Roman" w:cs="Times New Roman"/>
          <w:sz w:val="24"/>
          <w:szCs w:val="24"/>
          <w:lang w:val="en-US"/>
        </w:rPr>
        <w:t>Bashneft</w:t>
      </w:r>
      <w:proofErr w:type="spellEnd"/>
      <w:r w:rsidRPr="00BF5FB4">
        <w:rPr>
          <w:rFonts w:ascii="Times New Roman" w:hAnsi="Times New Roman" w:cs="Times New Roman"/>
          <w:sz w:val="24"/>
          <w:szCs w:val="24"/>
          <w:lang w:val="en-US"/>
        </w:rPr>
        <w:t>. – URL: http://www.bashneft.ru/disclosure</w:t>
      </w:r>
      <w:r>
        <w:rPr>
          <w:rFonts w:ascii="Times New Roman" w:hAnsi="Times New Roman" w:cs="Times New Roman"/>
          <w:sz w:val="24"/>
          <w:szCs w:val="24"/>
          <w:lang w:val="en-US"/>
        </w:rPr>
        <w:t>/annual/ (accessed 03.03.2017</w:t>
      </w:r>
      <w:r w:rsidRPr="00BF5FB4">
        <w:rPr>
          <w:rFonts w:ascii="Times New Roman" w:hAnsi="Times New Roman" w:cs="Times New Roman"/>
          <w:sz w:val="24"/>
          <w:szCs w:val="24"/>
          <w:lang w:val="en-US"/>
        </w:rPr>
        <w:t>)</w:t>
      </w:r>
    </w:p>
    <w:p w:rsidR="00DA58F6" w:rsidRDefault="00DA58F6" w:rsidP="00DA58F6">
      <w:pPr>
        <w:spacing w:after="0"/>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3. R</w:t>
      </w:r>
      <w:r w:rsidRPr="00BF5FB4">
        <w:rPr>
          <w:rFonts w:ascii="Times New Roman" w:hAnsi="Times New Roman" w:cs="Times New Roman"/>
          <w:sz w:val="24"/>
          <w:szCs w:val="24"/>
          <w:lang w:val="en-US"/>
        </w:rPr>
        <w:t xml:space="preserve">egion of Russia. Socio-economic indicators. 2016: Stat. SB. / </w:t>
      </w:r>
      <w:proofErr w:type="spellStart"/>
      <w:r w:rsidRPr="00BF5FB4">
        <w:rPr>
          <w:rFonts w:ascii="Times New Roman" w:hAnsi="Times New Roman" w:cs="Times New Roman"/>
          <w:sz w:val="24"/>
          <w:szCs w:val="24"/>
          <w:lang w:val="en-US"/>
        </w:rPr>
        <w:t>Rosstat</w:t>
      </w:r>
      <w:proofErr w:type="spellEnd"/>
      <w:r w:rsidRPr="00BF5FB4">
        <w:rPr>
          <w:rFonts w:ascii="Times New Roman" w:hAnsi="Times New Roman" w:cs="Times New Roman"/>
          <w:sz w:val="24"/>
          <w:szCs w:val="24"/>
          <w:lang w:val="en-US"/>
        </w:rPr>
        <w:t>. - M., 2016. - 1326 p.</w:t>
      </w:r>
    </w:p>
    <w:p w:rsidR="00DA58F6" w:rsidRPr="00767330" w:rsidRDefault="00DA58F6" w:rsidP="00DA58F6">
      <w:pPr>
        <w:spacing w:after="0" w:line="240" w:lineRule="auto"/>
        <w:ind w:firstLine="709"/>
        <w:jc w:val="both"/>
        <w:rPr>
          <w:rFonts w:ascii="Times New Roman" w:hAnsi="Times New Roman" w:cs="Times New Roman"/>
          <w:sz w:val="24"/>
          <w:szCs w:val="24"/>
          <w:lang w:val="en-US"/>
        </w:rPr>
      </w:pPr>
    </w:p>
    <w:p w:rsidR="00582A82" w:rsidRPr="00DA58F6" w:rsidRDefault="00582A82">
      <w:pPr>
        <w:rPr>
          <w:lang w:val="en-US"/>
        </w:rPr>
      </w:pPr>
    </w:p>
    <w:sectPr w:rsidR="00582A82" w:rsidRPr="00DA58F6" w:rsidSect="007A6472">
      <w:footerReference w:type="default" r:id="rId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5294767"/>
      <w:docPartObj>
        <w:docPartGallery w:val="Page Numbers (Bottom of Page)"/>
        <w:docPartUnique/>
      </w:docPartObj>
    </w:sdtPr>
    <w:sdtEndPr>
      <w:rPr>
        <w:rFonts w:ascii="Times New Roman" w:hAnsi="Times New Roman" w:cs="Times New Roman"/>
      </w:rPr>
    </w:sdtEndPr>
    <w:sdtContent>
      <w:p w:rsidR="00AD0DB1" w:rsidRPr="00AD0DB1" w:rsidRDefault="00DA58F6">
        <w:pPr>
          <w:pStyle w:val="a3"/>
          <w:jc w:val="center"/>
          <w:rPr>
            <w:rFonts w:ascii="Times New Roman" w:hAnsi="Times New Roman" w:cs="Times New Roman"/>
          </w:rPr>
        </w:pPr>
        <w:r w:rsidRPr="00AD0DB1">
          <w:rPr>
            <w:rFonts w:ascii="Times New Roman" w:hAnsi="Times New Roman" w:cs="Times New Roman"/>
          </w:rPr>
          <w:fldChar w:fldCharType="begin"/>
        </w:r>
        <w:r w:rsidRPr="00AD0DB1">
          <w:rPr>
            <w:rFonts w:ascii="Times New Roman" w:hAnsi="Times New Roman" w:cs="Times New Roman"/>
          </w:rPr>
          <w:instrText>PAGE   \* MERGEFORMAT</w:instrText>
        </w:r>
        <w:r w:rsidRPr="00AD0DB1">
          <w:rPr>
            <w:rFonts w:ascii="Times New Roman" w:hAnsi="Times New Roman" w:cs="Times New Roman"/>
          </w:rPr>
          <w:fldChar w:fldCharType="separate"/>
        </w:r>
        <w:r>
          <w:rPr>
            <w:rFonts w:ascii="Times New Roman" w:hAnsi="Times New Roman" w:cs="Times New Roman"/>
            <w:noProof/>
          </w:rPr>
          <w:t>4</w:t>
        </w:r>
        <w:r w:rsidRPr="00AD0DB1">
          <w:rPr>
            <w:rFonts w:ascii="Times New Roman" w:hAnsi="Times New Roman" w:cs="Times New Roman"/>
          </w:rPr>
          <w:fldChar w:fldCharType="end"/>
        </w:r>
      </w:p>
    </w:sdtContent>
  </w:sdt>
  <w:p w:rsidR="00AD0DB1" w:rsidRDefault="00DA58F6">
    <w:pPr>
      <w:pStyle w:val="a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8E12E7"/>
    <w:multiLevelType w:val="hybridMultilevel"/>
    <w:tmpl w:val="A544A0BE"/>
    <w:lvl w:ilvl="0" w:tplc="E5DEF50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707"/>
    <w:rsid w:val="00582A82"/>
    <w:rsid w:val="00B04707"/>
    <w:rsid w:val="00C11DC2"/>
    <w:rsid w:val="00DA58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E05A40-1FCF-4CAE-86D6-72DE20054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58F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DA58F6"/>
    <w:pPr>
      <w:tabs>
        <w:tab w:val="center" w:pos="4677"/>
        <w:tab w:val="right" w:pos="9355"/>
      </w:tabs>
      <w:spacing w:after="0" w:line="240" w:lineRule="auto"/>
    </w:pPr>
  </w:style>
  <w:style w:type="character" w:customStyle="1" w:styleId="a4">
    <w:name w:val="Нижний колонтитул Знак"/>
    <w:basedOn w:val="a0"/>
    <w:link w:val="a3"/>
    <w:uiPriority w:val="99"/>
    <w:rsid w:val="00DA58F6"/>
  </w:style>
  <w:style w:type="paragraph" w:styleId="a5">
    <w:name w:val="List Paragraph"/>
    <w:basedOn w:val="a"/>
    <w:uiPriority w:val="34"/>
    <w:qFormat/>
    <w:rsid w:val="00DA58F6"/>
    <w:pPr>
      <w:ind w:left="720"/>
      <w:contextualSpacing/>
    </w:pPr>
  </w:style>
  <w:style w:type="paragraph" w:styleId="a6">
    <w:name w:val="Normal (Web)"/>
    <w:basedOn w:val="a"/>
    <w:uiPriority w:val="99"/>
    <w:semiHidden/>
    <w:unhideWhenUsed/>
    <w:rsid w:val="00DA58F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unhideWhenUsed/>
    <w:rsid w:val="00DA58F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ginana-96@mail.ru" TargetMode="External"/><Relationship Id="rId3" Type="http://schemas.openxmlformats.org/officeDocument/2006/relationships/settings" Target="settings.xml"/><Relationship Id="rId7" Type="http://schemas.openxmlformats.org/officeDocument/2006/relationships/chart" Target="charts/chart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11" Type="http://schemas.openxmlformats.org/officeDocument/2006/relationships/theme" Target="theme/theme1.xml"/><Relationship Id="rId5" Type="http://schemas.openxmlformats.org/officeDocument/2006/relationships/chart" Target="charts/chart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Лист2!$B$2</c:f>
              <c:strCache>
                <c:ptCount val="1"/>
                <c:pt idx="0">
                  <c:v>2012</c:v>
                </c:pt>
              </c:strCache>
            </c:strRef>
          </c:tx>
          <c:spPr>
            <a:ln>
              <a:solidFill>
                <a:prstClr val="black"/>
              </a:solidFill>
            </a:ln>
          </c:spPr>
          <c:invertIfNegative val="0"/>
          <c:dLbls>
            <c:spPr>
              <a:solidFill>
                <a:sysClr val="window" lastClr="FFFFFF"/>
              </a:solidFill>
              <a:ln>
                <a:solidFill>
                  <a:prstClr val="black"/>
                </a:solidFill>
              </a:ln>
            </c:spPr>
            <c:txPr>
              <a:bodyPr rot="0" vert="horz"/>
              <a:lstStyle/>
              <a:p>
                <a:pPr>
                  <a:defRPr sz="1200"/>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Лист2!$A$3</c:f>
              <c:strCache>
                <c:ptCount val="1"/>
                <c:pt idx="0">
                  <c:v>добыча сырой нефти, млн.т</c:v>
                </c:pt>
              </c:strCache>
            </c:strRef>
          </c:cat>
          <c:val>
            <c:numRef>
              <c:f>Лист2!$B$3</c:f>
              <c:numCache>
                <c:formatCode>General</c:formatCode>
                <c:ptCount val="1"/>
                <c:pt idx="0">
                  <c:v>15.4</c:v>
                </c:pt>
              </c:numCache>
            </c:numRef>
          </c:val>
        </c:ser>
        <c:ser>
          <c:idx val="1"/>
          <c:order val="1"/>
          <c:tx>
            <c:strRef>
              <c:f>Лист2!$C$2</c:f>
              <c:strCache>
                <c:ptCount val="1"/>
                <c:pt idx="0">
                  <c:v>2013</c:v>
                </c:pt>
              </c:strCache>
            </c:strRef>
          </c:tx>
          <c:spPr>
            <a:ln>
              <a:solidFill>
                <a:prstClr val="black"/>
              </a:solidFill>
            </a:ln>
          </c:spPr>
          <c:invertIfNegative val="0"/>
          <c:dLbls>
            <c:dLbl>
              <c:idx val="0"/>
              <c:spPr>
                <a:solidFill>
                  <a:schemeClr val="bg1"/>
                </a:solidFill>
                <a:ln>
                  <a:solidFill>
                    <a:prstClr val="black"/>
                  </a:solidFill>
                </a:ln>
              </c:spPr>
              <c:txPr>
                <a:bodyPr rot="0" vert="horz"/>
                <a:lstStyle/>
                <a:p>
                  <a:pPr>
                    <a:defRPr sz="1200"/>
                  </a:pPr>
                  <a:endParaRPr lang="ru-RU"/>
                </a:p>
              </c:txPr>
              <c:dLblPos val="inEnd"/>
              <c:showLegendKey val="0"/>
              <c:showVal val="1"/>
              <c:showCatName val="0"/>
              <c:showSerName val="0"/>
              <c:showPercent val="0"/>
              <c:showBubbleSize val="0"/>
            </c:dLbl>
            <c:spPr>
              <a:solidFill>
                <a:schemeClr val="bg1"/>
              </a:solidFill>
              <a:ln>
                <a:solidFill>
                  <a:prstClr val="black"/>
                </a:solidFill>
              </a:ln>
            </c:spPr>
            <c:txPr>
              <a:bodyPr rot="0" vert="horz"/>
              <a:lstStyle/>
              <a:p>
                <a:pPr>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Лист2!$A$3</c:f>
              <c:strCache>
                <c:ptCount val="1"/>
                <c:pt idx="0">
                  <c:v>добыча сырой нефти, млн.т</c:v>
                </c:pt>
              </c:strCache>
            </c:strRef>
          </c:cat>
          <c:val>
            <c:numRef>
              <c:f>Лист2!$C$3</c:f>
              <c:numCache>
                <c:formatCode>General</c:formatCode>
                <c:ptCount val="1"/>
                <c:pt idx="0">
                  <c:v>16.100000000000001</c:v>
                </c:pt>
              </c:numCache>
            </c:numRef>
          </c:val>
        </c:ser>
        <c:ser>
          <c:idx val="2"/>
          <c:order val="2"/>
          <c:tx>
            <c:strRef>
              <c:f>Лист2!$D$2</c:f>
              <c:strCache>
                <c:ptCount val="1"/>
                <c:pt idx="0">
                  <c:v>2014</c:v>
                </c:pt>
              </c:strCache>
            </c:strRef>
          </c:tx>
          <c:spPr>
            <a:solidFill>
              <a:schemeClr val="bg1"/>
            </a:solidFill>
            <a:ln>
              <a:solidFill>
                <a:schemeClr val="tx1"/>
              </a:solidFill>
            </a:ln>
          </c:spPr>
          <c:invertIfNegative val="0"/>
          <c:dLbls>
            <c:spPr>
              <a:ln>
                <a:solidFill>
                  <a:prstClr val="black"/>
                </a:solidFill>
              </a:ln>
            </c:spPr>
            <c:txPr>
              <a:bodyPr rot="0" vert="horz"/>
              <a:lstStyle/>
              <a:p>
                <a:pPr>
                  <a:defRPr sz="1200"/>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Лист2!$A$3</c:f>
              <c:strCache>
                <c:ptCount val="1"/>
                <c:pt idx="0">
                  <c:v>добыча сырой нефти, млн.т</c:v>
                </c:pt>
              </c:strCache>
            </c:strRef>
          </c:cat>
          <c:val>
            <c:numRef>
              <c:f>Лист2!$D$3</c:f>
              <c:numCache>
                <c:formatCode>General</c:formatCode>
                <c:ptCount val="1"/>
                <c:pt idx="0">
                  <c:v>17.8</c:v>
                </c:pt>
              </c:numCache>
            </c:numRef>
          </c:val>
        </c:ser>
        <c:ser>
          <c:idx val="3"/>
          <c:order val="3"/>
          <c:tx>
            <c:strRef>
              <c:f>Лист2!$E$2</c:f>
              <c:strCache>
                <c:ptCount val="1"/>
                <c:pt idx="0">
                  <c:v>2015</c:v>
                </c:pt>
              </c:strCache>
            </c:strRef>
          </c:tx>
          <c:spPr>
            <a:solidFill>
              <a:schemeClr val="tx1"/>
            </a:solidFill>
          </c:spPr>
          <c:invertIfNegative val="0"/>
          <c:dLbls>
            <c:spPr>
              <a:solidFill>
                <a:sysClr val="window" lastClr="FFFFFF"/>
              </a:solidFill>
            </c:spPr>
            <c:txPr>
              <a:bodyPr rot="0" vert="horz"/>
              <a:lstStyle/>
              <a:p>
                <a:pPr>
                  <a:defRPr sz="1200"/>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Лист2!$A$3</c:f>
              <c:strCache>
                <c:ptCount val="1"/>
                <c:pt idx="0">
                  <c:v>добыча сырой нефти, млн.т</c:v>
                </c:pt>
              </c:strCache>
            </c:strRef>
          </c:cat>
          <c:val>
            <c:numRef>
              <c:f>Лист2!$E$3</c:f>
              <c:numCache>
                <c:formatCode>General</c:formatCode>
                <c:ptCount val="1"/>
                <c:pt idx="0">
                  <c:v>19.899999999999999</c:v>
                </c:pt>
              </c:numCache>
            </c:numRef>
          </c:val>
        </c:ser>
        <c:ser>
          <c:idx val="4"/>
          <c:order val="4"/>
          <c:tx>
            <c:strRef>
              <c:f>Лист2!$F$2</c:f>
              <c:strCache>
                <c:ptCount val="1"/>
                <c:pt idx="0">
                  <c:v>2016</c:v>
                </c:pt>
              </c:strCache>
            </c:strRef>
          </c:tx>
          <c:spPr>
            <a:ln>
              <a:solidFill>
                <a:prstClr val="black"/>
              </a:solidFill>
            </a:ln>
          </c:spPr>
          <c:invertIfNegative val="0"/>
          <c:dLbls>
            <c:spPr>
              <a:solidFill>
                <a:sysClr val="window" lastClr="FFFFFF"/>
              </a:solidFill>
              <a:ln>
                <a:solidFill>
                  <a:prstClr val="black"/>
                </a:solidFill>
              </a:ln>
            </c:spPr>
            <c:txPr>
              <a:bodyPr rot="0" vert="horz"/>
              <a:lstStyle/>
              <a:p>
                <a:pPr>
                  <a:defRPr sz="1200"/>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Лист2!$A$3</c:f>
              <c:strCache>
                <c:ptCount val="1"/>
                <c:pt idx="0">
                  <c:v>добыча сырой нефти, млн.т</c:v>
                </c:pt>
              </c:strCache>
            </c:strRef>
          </c:cat>
          <c:val>
            <c:numRef>
              <c:f>Лист2!$F$3</c:f>
              <c:numCache>
                <c:formatCode>General</c:formatCode>
                <c:ptCount val="1"/>
                <c:pt idx="0">
                  <c:v>21.4</c:v>
                </c:pt>
              </c:numCache>
            </c:numRef>
          </c:val>
        </c:ser>
        <c:dLbls>
          <c:showLegendKey val="0"/>
          <c:showVal val="1"/>
          <c:showCatName val="0"/>
          <c:showSerName val="0"/>
          <c:showPercent val="0"/>
          <c:showBubbleSize val="0"/>
        </c:dLbls>
        <c:gapWidth val="65"/>
        <c:axId val="306530312"/>
        <c:axId val="306530704"/>
      </c:barChart>
      <c:catAx>
        <c:axId val="306530312"/>
        <c:scaling>
          <c:orientation val="minMax"/>
        </c:scaling>
        <c:delete val="1"/>
        <c:axPos val="b"/>
        <c:numFmt formatCode="General" sourceLinked="1"/>
        <c:majorTickMark val="none"/>
        <c:minorTickMark val="none"/>
        <c:tickLblPos val="none"/>
        <c:crossAx val="306530704"/>
        <c:crosses val="autoZero"/>
        <c:auto val="1"/>
        <c:lblAlgn val="ctr"/>
        <c:lblOffset val="100"/>
        <c:noMultiLvlLbl val="0"/>
      </c:catAx>
      <c:valAx>
        <c:axId val="306530704"/>
        <c:scaling>
          <c:orientation val="minMax"/>
        </c:scaling>
        <c:delete val="1"/>
        <c:axPos val="l"/>
        <c:majorGridlines/>
        <c:numFmt formatCode="General" sourceLinked="1"/>
        <c:majorTickMark val="none"/>
        <c:minorTickMark val="none"/>
        <c:tickLblPos val="none"/>
        <c:crossAx val="306530312"/>
        <c:crosses val="autoZero"/>
        <c:crossBetween val="between"/>
      </c:valAx>
    </c:plotArea>
    <c:legend>
      <c:legendPos val="b"/>
      <c:overlay val="0"/>
      <c:txPr>
        <a:bodyPr rot="0" vert="horz"/>
        <a:lstStyle/>
        <a:p>
          <a:pPr>
            <a:defRPr sz="1200"/>
          </a:pPr>
          <a:endParaRPr lang="ru-RU"/>
        </a:p>
      </c:txPr>
    </c:legend>
    <c:plotVisOnly val="1"/>
    <c:dispBlanksAs val="gap"/>
    <c:showDLblsOverMax val="0"/>
  </c:chart>
  <c:txPr>
    <a:bodyPr/>
    <a:lstStyle/>
    <a:p>
      <a:pPr>
        <a:defRPr b="1">
          <a:latin typeface="Times New Roman" pitchFamily="18" charset="0"/>
          <a:cs typeface="Times New Roman"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Лист9!$A$3</c:f>
              <c:strCache>
                <c:ptCount val="1"/>
                <c:pt idx="0">
                  <c:v>Цена на нефть (долл./барр.)</c:v>
                </c:pt>
              </c:strCache>
            </c:strRef>
          </c:tx>
          <c:cat>
            <c:numRef>
              <c:f>Лист9!$B$2:$F$2</c:f>
              <c:numCache>
                <c:formatCode>General</c:formatCode>
                <c:ptCount val="5"/>
                <c:pt idx="0">
                  <c:v>2012</c:v>
                </c:pt>
                <c:pt idx="1">
                  <c:v>2013</c:v>
                </c:pt>
                <c:pt idx="2">
                  <c:v>2014</c:v>
                </c:pt>
                <c:pt idx="3">
                  <c:v>2015</c:v>
                </c:pt>
                <c:pt idx="4">
                  <c:v>2016</c:v>
                </c:pt>
              </c:numCache>
            </c:numRef>
          </c:cat>
          <c:val>
            <c:numRef>
              <c:f>Лист9!$B$3:$F$3</c:f>
              <c:numCache>
                <c:formatCode>General</c:formatCode>
                <c:ptCount val="5"/>
                <c:pt idx="0">
                  <c:v>110.52</c:v>
                </c:pt>
                <c:pt idx="1">
                  <c:v>109.88</c:v>
                </c:pt>
                <c:pt idx="2">
                  <c:v>97.6</c:v>
                </c:pt>
                <c:pt idx="3">
                  <c:v>51.230000000000011</c:v>
                </c:pt>
                <c:pt idx="4">
                  <c:v>41.9</c:v>
                </c:pt>
              </c:numCache>
            </c:numRef>
          </c:val>
          <c:smooth val="0"/>
        </c:ser>
        <c:ser>
          <c:idx val="1"/>
          <c:order val="1"/>
          <c:tx>
            <c:strRef>
              <c:f>Лист9!$A$6</c:f>
              <c:strCache>
                <c:ptCount val="1"/>
                <c:pt idx="0">
                  <c:v>Экспорт (млн.барр)</c:v>
                </c:pt>
              </c:strCache>
            </c:strRef>
          </c:tx>
          <c:cat>
            <c:numRef>
              <c:f>Лист9!$B$2:$F$2</c:f>
              <c:numCache>
                <c:formatCode>General</c:formatCode>
                <c:ptCount val="5"/>
                <c:pt idx="0">
                  <c:v>2012</c:v>
                </c:pt>
                <c:pt idx="1">
                  <c:v>2013</c:v>
                </c:pt>
                <c:pt idx="2">
                  <c:v>2014</c:v>
                </c:pt>
                <c:pt idx="3">
                  <c:v>2015</c:v>
                </c:pt>
                <c:pt idx="4">
                  <c:v>2016</c:v>
                </c:pt>
              </c:numCache>
            </c:numRef>
          </c:cat>
          <c:val>
            <c:numRef>
              <c:f>Лист9!$B$6:$F$6</c:f>
              <c:numCache>
                <c:formatCode>General</c:formatCode>
                <c:ptCount val="5"/>
                <c:pt idx="0">
                  <c:v>32.9</c:v>
                </c:pt>
                <c:pt idx="1">
                  <c:v>34.300000000000004</c:v>
                </c:pt>
                <c:pt idx="2">
                  <c:v>42.6</c:v>
                </c:pt>
                <c:pt idx="3">
                  <c:v>48.91</c:v>
                </c:pt>
                <c:pt idx="4">
                  <c:v>49.3</c:v>
                </c:pt>
              </c:numCache>
            </c:numRef>
          </c:val>
          <c:smooth val="0"/>
        </c:ser>
        <c:dLbls>
          <c:showLegendKey val="0"/>
          <c:showVal val="0"/>
          <c:showCatName val="0"/>
          <c:showSerName val="0"/>
          <c:showPercent val="0"/>
          <c:showBubbleSize val="0"/>
        </c:dLbls>
        <c:marker val="1"/>
        <c:smooth val="0"/>
        <c:axId val="306525608"/>
        <c:axId val="306525216"/>
      </c:lineChart>
      <c:catAx>
        <c:axId val="306525608"/>
        <c:scaling>
          <c:orientation val="minMax"/>
        </c:scaling>
        <c:delete val="0"/>
        <c:axPos val="b"/>
        <c:numFmt formatCode="General" sourceLinked="1"/>
        <c:majorTickMark val="none"/>
        <c:minorTickMark val="none"/>
        <c:tickLblPos val="nextTo"/>
        <c:txPr>
          <a:bodyPr rot="-60000000" vert="horz"/>
          <a:lstStyle/>
          <a:p>
            <a:pPr>
              <a:defRPr sz="1200"/>
            </a:pPr>
            <a:endParaRPr lang="ru-RU"/>
          </a:p>
        </c:txPr>
        <c:crossAx val="306525216"/>
        <c:crosses val="autoZero"/>
        <c:auto val="1"/>
        <c:lblAlgn val="ctr"/>
        <c:lblOffset val="100"/>
        <c:noMultiLvlLbl val="0"/>
      </c:catAx>
      <c:valAx>
        <c:axId val="306525216"/>
        <c:scaling>
          <c:orientation val="minMax"/>
        </c:scaling>
        <c:delete val="0"/>
        <c:axPos val="l"/>
        <c:majorGridlines/>
        <c:numFmt formatCode="General" sourceLinked="1"/>
        <c:majorTickMark val="none"/>
        <c:minorTickMark val="none"/>
        <c:tickLblPos val="nextTo"/>
        <c:txPr>
          <a:bodyPr rot="-60000000" vert="horz"/>
          <a:lstStyle/>
          <a:p>
            <a:pPr>
              <a:defRPr sz="1200"/>
            </a:pPr>
            <a:endParaRPr lang="ru-RU"/>
          </a:p>
        </c:txPr>
        <c:crossAx val="306525608"/>
        <c:crosses val="autoZero"/>
        <c:crossBetween val="between"/>
      </c:valAx>
    </c:plotArea>
    <c:legend>
      <c:legendPos val="b"/>
      <c:overlay val="0"/>
      <c:txPr>
        <a:bodyPr rot="0" vert="horz"/>
        <a:lstStyle/>
        <a:p>
          <a:pPr>
            <a:defRPr sz="1200"/>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Лист3!$A$3</c:f>
              <c:strCache>
                <c:ptCount val="1"/>
                <c:pt idx="0">
                  <c:v>Автомобильный бензин</c:v>
                </c:pt>
              </c:strCache>
            </c:strRef>
          </c:tx>
          <c:invertIfNegative val="0"/>
          <c:dLbls>
            <c:spPr>
              <a:noFill/>
              <a:ln>
                <a:noFill/>
              </a:ln>
              <a:effectLst/>
            </c:spPr>
            <c:txPr>
              <a:bodyPr wrap="square" lIns="38100" tIns="19050" rIns="38100" bIns="19050" anchor="ctr">
                <a:spAutoFit/>
              </a:bodyPr>
              <a:lstStyle/>
              <a:p>
                <a:pPr>
                  <a:defRPr sz="12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Лист3!$B$2:$E$2</c:f>
              <c:numCache>
                <c:formatCode>General</c:formatCode>
                <c:ptCount val="4"/>
                <c:pt idx="0">
                  <c:v>2012</c:v>
                </c:pt>
                <c:pt idx="1">
                  <c:v>2013</c:v>
                </c:pt>
                <c:pt idx="2">
                  <c:v>2014</c:v>
                </c:pt>
                <c:pt idx="3">
                  <c:v>2015</c:v>
                </c:pt>
              </c:numCache>
            </c:numRef>
          </c:cat>
          <c:val>
            <c:numRef>
              <c:f>Лист3!$B$3:$E$3</c:f>
              <c:numCache>
                <c:formatCode>0%</c:formatCode>
                <c:ptCount val="4"/>
                <c:pt idx="0" formatCode="0.00%">
                  <c:v>0.11600000000000002</c:v>
                </c:pt>
                <c:pt idx="1">
                  <c:v>0.12000000000000002</c:v>
                </c:pt>
                <c:pt idx="2">
                  <c:v>0.12200000000000004</c:v>
                </c:pt>
                <c:pt idx="3">
                  <c:v>0.12000000000000002</c:v>
                </c:pt>
              </c:numCache>
            </c:numRef>
          </c:val>
        </c:ser>
        <c:ser>
          <c:idx val="1"/>
          <c:order val="1"/>
          <c:tx>
            <c:strRef>
              <c:f>Лист3!$A$4</c:f>
              <c:strCache>
                <c:ptCount val="1"/>
                <c:pt idx="0">
                  <c:v>Дизельное топливо</c:v>
                </c:pt>
              </c:strCache>
            </c:strRef>
          </c:tx>
          <c:invertIfNegative val="0"/>
          <c:dLbls>
            <c:spPr>
              <a:noFill/>
              <a:ln>
                <a:noFill/>
              </a:ln>
              <a:effectLst/>
            </c:spPr>
            <c:txPr>
              <a:bodyPr wrap="square" lIns="38100" tIns="19050" rIns="38100" bIns="19050" anchor="ctr">
                <a:spAutoFit/>
              </a:bodyPr>
              <a:lstStyle/>
              <a:p>
                <a:pPr>
                  <a:defRPr sz="12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Лист3!$B$2:$E$2</c:f>
              <c:numCache>
                <c:formatCode>General</c:formatCode>
                <c:ptCount val="4"/>
                <c:pt idx="0">
                  <c:v>2012</c:v>
                </c:pt>
                <c:pt idx="1">
                  <c:v>2013</c:v>
                </c:pt>
                <c:pt idx="2">
                  <c:v>2014</c:v>
                </c:pt>
                <c:pt idx="3">
                  <c:v>2015</c:v>
                </c:pt>
              </c:numCache>
            </c:numRef>
          </c:cat>
          <c:val>
            <c:numRef>
              <c:f>Лист3!$B$4:$E$4</c:f>
              <c:numCache>
                <c:formatCode>0%</c:formatCode>
                <c:ptCount val="4"/>
                <c:pt idx="0">
                  <c:v>7.0000000000000021E-2</c:v>
                </c:pt>
                <c:pt idx="1">
                  <c:v>7.0999999999999994E-2</c:v>
                </c:pt>
                <c:pt idx="2">
                  <c:v>6.0000000000000026E-2</c:v>
                </c:pt>
                <c:pt idx="3">
                  <c:v>6.0000000000000026E-2</c:v>
                </c:pt>
              </c:numCache>
            </c:numRef>
          </c:val>
        </c:ser>
        <c:ser>
          <c:idx val="2"/>
          <c:order val="2"/>
          <c:tx>
            <c:strRef>
              <c:f>Лист3!$A$5</c:f>
              <c:strCache>
                <c:ptCount val="1"/>
                <c:pt idx="0">
                  <c:v>Мазут</c:v>
                </c:pt>
              </c:strCache>
            </c:strRef>
          </c:tx>
          <c:invertIfNegative val="0"/>
          <c:dLbls>
            <c:dLbl>
              <c:idx val="2"/>
              <c:layout>
                <c:manualLayout>
                  <c:x val="1.9575856443719338E-2"/>
                  <c:y val="-1.0666666666666668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7400761283306147E-2"/>
                  <c:y val="-3.733333333333334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wrap="square" lIns="38100" tIns="19050" rIns="38100" bIns="19050" anchor="ctr">
                <a:spAutoFit/>
              </a:bodyPr>
              <a:lstStyle/>
              <a:p>
                <a:pPr>
                  <a:defRPr sz="12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Лист3!$B$2:$E$2</c:f>
              <c:numCache>
                <c:formatCode>General</c:formatCode>
                <c:ptCount val="4"/>
                <c:pt idx="0">
                  <c:v>2012</c:v>
                </c:pt>
                <c:pt idx="1">
                  <c:v>2013</c:v>
                </c:pt>
                <c:pt idx="2">
                  <c:v>2014</c:v>
                </c:pt>
                <c:pt idx="3">
                  <c:v>2015</c:v>
                </c:pt>
              </c:numCache>
            </c:numRef>
          </c:cat>
          <c:val>
            <c:numRef>
              <c:f>Лист3!$B$5:$E$5</c:f>
              <c:numCache>
                <c:formatCode>0.00%</c:formatCode>
                <c:ptCount val="4"/>
                <c:pt idx="0">
                  <c:v>0.10100000000000002</c:v>
                </c:pt>
                <c:pt idx="1">
                  <c:v>7.6999999999999999E-2</c:v>
                </c:pt>
                <c:pt idx="2">
                  <c:v>4.7000000000000014E-2</c:v>
                </c:pt>
                <c:pt idx="3">
                  <c:v>2.1000000000000012E-2</c:v>
                </c:pt>
              </c:numCache>
            </c:numRef>
          </c:val>
        </c:ser>
        <c:dLbls>
          <c:showLegendKey val="0"/>
          <c:showVal val="0"/>
          <c:showCatName val="0"/>
          <c:showSerName val="0"/>
          <c:showPercent val="0"/>
          <c:showBubbleSize val="0"/>
        </c:dLbls>
        <c:gapWidth val="219"/>
        <c:overlap val="-27"/>
        <c:axId val="306533840"/>
        <c:axId val="306534232"/>
      </c:barChart>
      <c:catAx>
        <c:axId val="306533840"/>
        <c:scaling>
          <c:orientation val="minMax"/>
        </c:scaling>
        <c:delete val="0"/>
        <c:axPos val="b"/>
        <c:numFmt formatCode="General" sourceLinked="1"/>
        <c:majorTickMark val="none"/>
        <c:minorTickMark val="none"/>
        <c:tickLblPos val="nextTo"/>
        <c:txPr>
          <a:bodyPr rot="-60000000" vert="horz"/>
          <a:lstStyle/>
          <a:p>
            <a:pPr>
              <a:defRPr sz="1200"/>
            </a:pPr>
            <a:endParaRPr lang="ru-RU"/>
          </a:p>
        </c:txPr>
        <c:crossAx val="306534232"/>
        <c:crosses val="autoZero"/>
        <c:auto val="1"/>
        <c:lblAlgn val="ctr"/>
        <c:lblOffset val="100"/>
        <c:noMultiLvlLbl val="0"/>
      </c:catAx>
      <c:valAx>
        <c:axId val="306534232"/>
        <c:scaling>
          <c:orientation val="minMax"/>
        </c:scaling>
        <c:delete val="0"/>
        <c:axPos val="l"/>
        <c:majorGridlines/>
        <c:numFmt formatCode="0.00%" sourceLinked="1"/>
        <c:majorTickMark val="none"/>
        <c:minorTickMark val="none"/>
        <c:tickLblPos val="nextTo"/>
        <c:txPr>
          <a:bodyPr rot="-60000000" vert="horz"/>
          <a:lstStyle/>
          <a:p>
            <a:pPr>
              <a:defRPr sz="1200"/>
            </a:pPr>
            <a:endParaRPr lang="ru-RU"/>
          </a:p>
        </c:txPr>
        <c:crossAx val="306533840"/>
        <c:crosses val="autoZero"/>
        <c:crossBetween val="between"/>
      </c:valAx>
    </c:plotArea>
    <c:legend>
      <c:legendPos val="b"/>
      <c:overlay val="0"/>
      <c:txPr>
        <a:bodyPr rot="0" vert="horz"/>
        <a:lstStyle/>
        <a:p>
          <a:pPr>
            <a:defRPr sz="1200"/>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4</Pages>
  <Words>1346</Words>
  <Characters>7677</Characters>
  <Application>Microsoft Office Word</Application>
  <DocSecurity>0</DocSecurity>
  <Lines>63</Lines>
  <Paragraphs>18</Paragraphs>
  <ScaleCrop>false</ScaleCrop>
  <Company/>
  <LinksUpToDate>false</LinksUpToDate>
  <CharactersWithSpaces>9005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dcterms:created xsi:type="dcterms:W3CDTF">2018-05-11T17:51:00Z</dcterms:created>
  <dcterms:modified xsi:type="dcterms:W3CDTF">2018-05-11T17:52:00Z</dcterms:modified>
</cp:coreProperties>
</file>