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C2" w:rsidRPr="00CD1AFB" w:rsidRDefault="00CD1AFB" w:rsidP="006F19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AFB">
        <w:rPr>
          <w:rFonts w:ascii="Times New Roman" w:hAnsi="Times New Roman" w:cs="Times New Roman"/>
          <w:b/>
          <w:sz w:val="24"/>
          <w:szCs w:val="24"/>
        </w:rPr>
        <w:t xml:space="preserve">УДК </w:t>
      </w:r>
      <w:r w:rsidR="00457938" w:rsidRPr="00CD1AFB">
        <w:rPr>
          <w:rFonts w:ascii="Times New Roman" w:hAnsi="Times New Roman" w:cs="Times New Roman"/>
          <w:b/>
          <w:sz w:val="24"/>
          <w:szCs w:val="24"/>
        </w:rPr>
        <w:t>314.06</w:t>
      </w:r>
      <w:r w:rsidRPr="00CD1AFB">
        <w:rPr>
          <w:rFonts w:ascii="Times New Roman" w:hAnsi="Times New Roman" w:cs="Times New Roman"/>
          <w:b/>
          <w:sz w:val="24"/>
          <w:szCs w:val="24"/>
        </w:rPr>
        <w:t>/ ББК 60.7</w:t>
      </w:r>
    </w:p>
    <w:p w:rsidR="00CD1AFB" w:rsidRPr="00CD1AFB" w:rsidRDefault="00CD1AFB" w:rsidP="00CD1AF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D1AFB">
        <w:rPr>
          <w:rFonts w:ascii="Times New Roman" w:hAnsi="Times New Roman" w:cs="Times New Roman"/>
          <w:b/>
          <w:sz w:val="24"/>
          <w:szCs w:val="24"/>
        </w:rPr>
        <w:t>Секицки-Павленко О.О.</w:t>
      </w:r>
    </w:p>
    <w:p w:rsidR="00CD1AFB" w:rsidRDefault="00CD1AFB" w:rsidP="006F1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2E5E" w:rsidRPr="00CD1AFB" w:rsidRDefault="00CD1AFB" w:rsidP="00CD1A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AFB">
        <w:rPr>
          <w:rFonts w:ascii="Times New Roman" w:hAnsi="Times New Roman" w:cs="Times New Roman"/>
          <w:b/>
          <w:sz w:val="24"/>
          <w:szCs w:val="24"/>
        </w:rPr>
        <w:t>ИЗМЕНЕНИЕ ВОЗРАСТНОЙ СТРУКТУРЫ НАСЕЛЕНИЯ ЧЕРЕЗ ПРИЗМУ СОКРАЩЕНИЯ ТРУДОСПОСОБНОГО НАСЕЛЕНИЯ РЕГИОНОВ РОССИИ</w:t>
      </w:r>
      <w:r w:rsidR="0081743A">
        <w:rPr>
          <w:rStyle w:val="a5"/>
          <w:rFonts w:ascii="Times New Roman" w:hAnsi="Times New Roman" w:cs="Times New Roman"/>
          <w:b/>
          <w:sz w:val="24"/>
          <w:szCs w:val="24"/>
        </w:rPr>
        <w:footnoteReference w:id="2"/>
      </w:r>
      <w:r w:rsidRPr="00CD1AFB">
        <w:rPr>
          <w:rFonts w:ascii="Times New Roman" w:hAnsi="Times New Roman" w:cs="Times New Roman"/>
          <w:b/>
          <w:sz w:val="24"/>
          <w:szCs w:val="24"/>
        </w:rPr>
        <w:t>.</w:t>
      </w:r>
    </w:p>
    <w:p w:rsidR="009B2E5E" w:rsidRDefault="009B2E5E" w:rsidP="006F1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1AFB" w:rsidRDefault="00CD1AFB" w:rsidP="006F1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353C">
        <w:rPr>
          <w:rFonts w:ascii="Times New Roman" w:hAnsi="Times New Roman" w:cs="Times New Roman"/>
          <w:b/>
          <w:sz w:val="24"/>
          <w:szCs w:val="24"/>
        </w:rPr>
        <w:t>Аннотация:</w:t>
      </w:r>
      <w:r w:rsidR="00D90B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353C">
        <w:rPr>
          <w:rFonts w:ascii="Times New Roman" w:hAnsi="Times New Roman" w:cs="Times New Roman"/>
          <w:i/>
          <w:sz w:val="24"/>
          <w:szCs w:val="24"/>
        </w:rPr>
        <w:t xml:space="preserve">В статье </w:t>
      </w:r>
      <w:r w:rsidR="0018353C" w:rsidRPr="0018353C">
        <w:rPr>
          <w:rFonts w:ascii="Times New Roman" w:hAnsi="Times New Roman" w:cs="Times New Roman"/>
          <w:i/>
          <w:sz w:val="24"/>
          <w:szCs w:val="24"/>
        </w:rPr>
        <w:t>рассмотрена</w:t>
      </w:r>
      <w:r w:rsidRPr="0018353C">
        <w:rPr>
          <w:rFonts w:ascii="Times New Roman" w:hAnsi="Times New Roman" w:cs="Times New Roman"/>
          <w:i/>
          <w:sz w:val="24"/>
          <w:szCs w:val="24"/>
        </w:rPr>
        <w:t xml:space="preserve"> динамика возрастной структуры населения</w:t>
      </w:r>
      <w:r w:rsidR="0018353C" w:rsidRPr="0018353C">
        <w:rPr>
          <w:rFonts w:ascii="Times New Roman" w:hAnsi="Times New Roman" w:cs="Times New Roman"/>
          <w:i/>
          <w:sz w:val="24"/>
          <w:szCs w:val="24"/>
        </w:rPr>
        <w:t xml:space="preserve"> России в период 2010 – 2021 годы. Проанализированы особенности трансформации возрастной структуры и причины этих изменений. Представлена типология субъектов России по уровню и направленности изменения доли трудоспособного населения.</w:t>
      </w:r>
    </w:p>
    <w:p w:rsidR="00CD1AFB" w:rsidRPr="002E6D09" w:rsidRDefault="0018353C" w:rsidP="002E6D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353C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C5E48">
        <w:rPr>
          <w:rFonts w:ascii="Times New Roman" w:hAnsi="Times New Roman" w:cs="Times New Roman"/>
          <w:sz w:val="24"/>
          <w:szCs w:val="24"/>
        </w:rPr>
        <w:t>возрастная структура населения, трудоспособное население, типология субъектов,</w:t>
      </w:r>
      <w:r w:rsidR="00BC5E48" w:rsidRPr="00BC5E48">
        <w:rPr>
          <w:rFonts w:ascii="Times New Roman" w:hAnsi="Times New Roman" w:cs="Times New Roman"/>
          <w:sz w:val="24"/>
          <w:szCs w:val="24"/>
        </w:rPr>
        <w:t xml:space="preserve"> демографический переход, старение населения.</w:t>
      </w:r>
    </w:p>
    <w:p w:rsidR="00CD1AFB" w:rsidRPr="005B0659" w:rsidRDefault="00CD1AFB" w:rsidP="006F1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195D" w:rsidRPr="005B0659" w:rsidRDefault="00F7751F" w:rsidP="006F1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659">
        <w:rPr>
          <w:rFonts w:ascii="Times New Roman" w:hAnsi="Times New Roman" w:cs="Times New Roman"/>
          <w:sz w:val="24"/>
          <w:szCs w:val="24"/>
        </w:rPr>
        <w:t>Среди демографических изменений</w:t>
      </w:r>
      <w:r w:rsidR="008F425E">
        <w:rPr>
          <w:rFonts w:ascii="Times New Roman" w:hAnsi="Times New Roman" w:cs="Times New Roman"/>
          <w:sz w:val="24"/>
          <w:szCs w:val="24"/>
        </w:rPr>
        <w:t>,</w:t>
      </w:r>
      <w:r w:rsidRPr="005B0659">
        <w:rPr>
          <w:rFonts w:ascii="Times New Roman" w:hAnsi="Times New Roman" w:cs="Times New Roman"/>
          <w:sz w:val="24"/>
          <w:szCs w:val="24"/>
        </w:rPr>
        <w:t xml:space="preserve"> проходящих в последние годы на территории Российской Федерации</w:t>
      </w:r>
      <w:r w:rsidR="002E6D09">
        <w:rPr>
          <w:rFonts w:ascii="Times New Roman" w:hAnsi="Times New Roman" w:cs="Times New Roman"/>
          <w:sz w:val="24"/>
          <w:szCs w:val="24"/>
        </w:rPr>
        <w:t>,</w:t>
      </w:r>
      <w:r w:rsidRPr="005B0659">
        <w:rPr>
          <w:rFonts w:ascii="Times New Roman" w:hAnsi="Times New Roman" w:cs="Times New Roman"/>
          <w:sz w:val="24"/>
          <w:szCs w:val="24"/>
        </w:rPr>
        <w:t xml:space="preserve"> особое место занимают изменения в возрастной структуре населения. Выступая в качестве базового ресурса для обеспечения численности населения, динамики процессов рождаемости и смертности возрастная структура населения формирует численность трудовых ресурсов, закладывая тем самым основу для экономического развития страны в целом и отдельных её регионов.</w:t>
      </w:r>
    </w:p>
    <w:p w:rsidR="00F7751F" w:rsidRPr="005B0659" w:rsidRDefault="00F7751F" w:rsidP="00196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659">
        <w:rPr>
          <w:rFonts w:ascii="Times New Roman" w:hAnsi="Times New Roman" w:cs="Times New Roman"/>
          <w:sz w:val="24"/>
          <w:szCs w:val="24"/>
        </w:rPr>
        <w:t xml:space="preserve">Основная тенденция трансформации возрастной структуры населения России – старение населения, проявляющееся через увеличение числа и доли </w:t>
      </w:r>
      <w:r w:rsidR="00196A3D" w:rsidRPr="005B0659">
        <w:rPr>
          <w:rFonts w:ascii="Times New Roman" w:hAnsi="Times New Roman" w:cs="Times New Roman"/>
          <w:sz w:val="24"/>
          <w:szCs w:val="24"/>
        </w:rPr>
        <w:t>лиц</w:t>
      </w:r>
      <w:r w:rsidRPr="005B0659">
        <w:rPr>
          <w:rFonts w:ascii="Times New Roman" w:hAnsi="Times New Roman" w:cs="Times New Roman"/>
          <w:sz w:val="24"/>
          <w:szCs w:val="24"/>
        </w:rPr>
        <w:t xml:space="preserve"> старших возрастов. </w:t>
      </w:r>
      <w:r w:rsidRPr="005B0659">
        <w:rPr>
          <w:rFonts w:ascii="Times New Roman" w:eastAsia="Times New Roman" w:hAnsi="Times New Roman" w:cs="Times New Roman"/>
          <w:sz w:val="24"/>
          <w:szCs w:val="24"/>
        </w:rPr>
        <w:t>. Согласно ведущему российскому демографу Архангельскому В.Н., возрастная структура является основным фактором формирования будущей численности населения любого региона</w:t>
      </w:r>
      <w:r w:rsidR="0009644B" w:rsidRPr="0009644B">
        <w:rPr>
          <w:rFonts w:ascii="Times New Roman" w:eastAsia="Times New Roman" w:hAnsi="Times New Roman" w:cs="Times New Roman"/>
          <w:sz w:val="24"/>
          <w:szCs w:val="24"/>
        </w:rPr>
        <w:t xml:space="preserve"> [1, </w:t>
      </w:r>
      <w:r w:rsidR="0009644B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09644B" w:rsidRPr="000964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644B">
        <w:rPr>
          <w:rFonts w:ascii="Times New Roman" w:eastAsia="Times New Roman" w:hAnsi="Times New Roman" w:cs="Times New Roman"/>
          <w:sz w:val="24"/>
          <w:szCs w:val="24"/>
        </w:rPr>
        <w:t xml:space="preserve"> 18-33</w:t>
      </w:r>
      <w:r w:rsidR="0009644B" w:rsidRPr="0009644B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5B0659">
        <w:rPr>
          <w:rFonts w:ascii="Times New Roman" w:eastAsia="Times New Roman" w:hAnsi="Times New Roman" w:cs="Times New Roman"/>
          <w:sz w:val="24"/>
          <w:szCs w:val="24"/>
        </w:rPr>
        <w:t>. Отличительной особенностью нынешнего демографического этапа развития России, являются значительные перемены в возрастной структуре, а именно старение населения. В результате интенсивного старения не просто увеличивается число и доля лиц старших возрастных групп, но и меняются требования к рынку труда, медицинской помощи, образовательному процессу, значительные перемены происходят в производстве и сегментации товаров, что в конечном счете ведет к изменению стиля жизни российского общества</w:t>
      </w:r>
      <w:r w:rsidR="00196A3D" w:rsidRPr="005B06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7751F" w:rsidRDefault="00F36A5D" w:rsidP="006F1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Оценить динамику изменений возрастной структуры населения проще всего через изменение соотношения трёх основных возрастных групп. Причем для нашей цели ведущим критерием возрастной группы является его трудоспособность/нетрудоспособность т.е. будущая динамика возрастных трансформаций рассматривается нами через призму потенциала для обеспечения страны трудовыми ресурсами. За период с 2010 по 2021 годы можно выделить 3 ключевых момента в изменении возрастной структуры населения </w:t>
      </w:r>
      <w:r w:rsidR="00196A3D">
        <w:rPr>
          <w:rFonts w:ascii="Times New Roman" w:hAnsi="Times New Roman" w:cs="Times New Roman"/>
          <w:sz w:val="24"/>
          <w:szCs w:val="24"/>
        </w:rPr>
        <w:t>нашей страны (Рис.1)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96A3D" w:rsidRPr="00437A8C" w:rsidRDefault="00437A8C" w:rsidP="00437A8C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A8C">
        <w:rPr>
          <w:rFonts w:ascii="Times New Roman" w:hAnsi="Times New Roman" w:cs="Times New Roman"/>
          <w:sz w:val="24"/>
          <w:szCs w:val="24"/>
        </w:rPr>
        <w:t>Увеличение численности населения моложе трудоспособного возраста, на 2,5% (или 4 млн. 261 тыс. человек), с 16,2% в 2010 году до 18,7% в 2021 году.  Это увеличение связано с несколькими моментами. Во-первых, с волновым демографическим эффектом, когда в детородном возрасте находились большие по численности поколения женщин рожденных в начале 80-х годов. И именно они обеспечили увеличение показателей рождаемости, и соответственно рост численности населения моложе трудоспособного возраста. Во-вторых, определенную роль сыграла пронаталистская политика государства направления на повышение рождаемости. Однако к концу исследуемого периода темпы роста доли населения данной возрастной группы постепенно сокращаются.</w:t>
      </w:r>
    </w:p>
    <w:p w:rsidR="00437A8C" w:rsidRPr="00437A8C" w:rsidRDefault="00437A8C" w:rsidP="00437A8C">
      <w:pPr>
        <w:pStyle w:val="aa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A8C">
        <w:rPr>
          <w:rFonts w:ascii="Times New Roman" w:hAnsi="Times New Roman" w:cs="Times New Roman"/>
          <w:sz w:val="24"/>
          <w:szCs w:val="24"/>
        </w:rPr>
        <w:t xml:space="preserve">2. Планомерный и стабильный рост численности и доли населения старше трудоспособного возраста. За исследуемый период доля населения старше трудоспособного возраста увеличилась на 3% или 5 млн.189 тыс. человек и составила 25,2% от общей </w:t>
      </w:r>
      <w:r w:rsidRPr="00437A8C">
        <w:rPr>
          <w:rFonts w:ascii="Times New Roman" w:hAnsi="Times New Roman" w:cs="Times New Roman"/>
          <w:sz w:val="24"/>
          <w:szCs w:val="24"/>
        </w:rPr>
        <w:lastRenderedPageBreak/>
        <w:t xml:space="preserve">численности населения страны. Это означает что к 2021 году каждый четвертый житель России относится к категории старше трудоспособного возраста. </w:t>
      </w:r>
    </w:p>
    <w:p w:rsidR="00437A8C" w:rsidRPr="00437A8C" w:rsidRDefault="00437A8C" w:rsidP="00437A8C">
      <w:pPr>
        <w:pStyle w:val="aa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196A3D" w:rsidRDefault="00196A3D" w:rsidP="006F1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14F3">
        <w:rPr>
          <w:noProof/>
        </w:rPr>
        <w:drawing>
          <wp:inline distT="0" distB="0" distL="0" distR="0">
            <wp:extent cx="5486400" cy="2814452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61BC4" w:rsidRDefault="002E6D09" w:rsidP="00C60F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1. Динамика изменения возрастных групп населения России в 2010-2021 годах. Источник: составлено автором на основе данных</w:t>
      </w:r>
      <w:r w:rsidR="00D61BC4">
        <w:rPr>
          <w:rFonts w:ascii="Times New Roman" w:hAnsi="Times New Roman" w:cs="Times New Roman"/>
          <w:sz w:val="24"/>
          <w:szCs w:val="24"/>
        </w:rPr>
        <w:t>Федеральной Службы Государственной Статистики. Распределение населения по возрастным группам (на 1 января, тыс.человек)</w:t>
      </w:r>
      <w:r w:rsidR="00D61BC4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D61BC4">
        <w:rPr>
          <w:rFonts w:ascii="Times New Roman" w:hAnsi="Times New Roman" w:cs="Times New Roman"/>
          <w:sz w:val="24"/>
          <w:szCs w:val="24"/>
        </w:rPr>
        <w:t>:</w:t>
      </w:r>
      <w:hyperlink r:id="rId9" w:history="1">
        <w:r w:rsidRPr="000D6D8E">
          <w:rPr>
            <w:rStyle w:val="a8"/>
            <w:rFonts w:ascii="Times New Roman" w:hAnsi="Times New Roman" w:cs="Times New Roman"/>
            <w:sz w:val="24"/>
            <w:szCs w:val="24"/>
          </w:rPr>
          <w:t>https://rosstat.gov.ru/folder/12781</w:t>
        </w:r>
      </w:hyperlink>
      <w:r w:rsidR="00D61BC4">
        <w:rPr>
          <w:rFonts w:ascii="Times New Roman" w:hAnsi="Times New Roman" w:cs="Times New Roman"/>
          <w:sz w:val="24"/>
          <w:szCs w:val="24"/>
        </w:rPr>
        <w:t>(дата обращения: 9.03.2023)</w:t>
      </w:r>
      <w:r w:rsidR="00C60F42">
        <w:rPr>
          <w:rFonts w:ascii="Times New Roman" w:hAnsi="Times New Roman" w:cs="Times New Roman"/>
          <w:sz w:val="24"/>
          <w:szCs w:val="24"/>
        </w:rPr>
        <w:t>.</w:t>
      </w:r>
    </w:p>
    <w:p w:rsidR="00D61BC4" w:rsidRDefault="00D61BC4" w:rsidP="006F1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3317" w:rsidRDefault="008D0E40" w:rsidP="00C60F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47AA8">
        <w:rPr>
          <w:rFonts w:ascii="Times New Roman" w:hAnsi="Times New Roman" w:cs="Times New Roman"/>
          <w:sz w:val="24"/>
          <w:szCs w:val="24"/>
        </w:rPr>
        <w:t xml:space="preserve">Устойчивая тенденция сокращения числа и доли трудоспособного населения. С 2010 по 2021 годы численность населения в </w:t>
      </w:r>
      <w:r w:rsidR="007C4A95">
        <w:rPr>
          <w:rFonts w:ascii="Times New Roman" w:hAnsi="Times New Roman" w:cs="Times New Roman"/>
          <w:sz w:val="24"/>
          <w:szCs w:val="24"/>
        </w:rPr>
        <w:t>трудоспособном</w:t>
      </w:r>
      <w:r w:rsidR="00247AA8">
        <w:rPr>
          <w:rFonts w:ascii="Times New Roman" w:hAnsi="Times New Roman" w:cs="Times New Roman"/>
          <w:sz w:val="24"/>
          <w:szCs w:val="24"/>
        </w:rPr>
        <w:t xml:space="preserve"> возрасте снизилась на 6 млн.102 тыс.человек </w:t>
      </w:r>
      <w:r w:rsidR="007C4A95">
        <w:rPr>
          <w:rFonts w:ascii="Times New Roman" w:hAnsi="Times New Roman" w:cs="Times New Roman"/>
          <w:sz w:val="24"/>
          <w:szCs w:val="24"/>
        </w:rPr>
        <w:t xml:space="preserve">или </w:t>
      </w:r>
      <w:r w:rsidR="00247AA8">
        <w:rPr>
          <w:rFonts w:ascii="Times New Roman" w:hAnsi="Times New Roman" w:cs="Times New Roman"/>
          <w:sz w:val="24"/>
          <w:szCs w:val="24"/>
        </w:rPr>
        <w:t>на 5,6% и составила 56% от общей численности населения страны.</w:t>
      </w:r>
      <w:r w:rsidR="00F83317">
        <w:rPr>
          <w:rFonts w:ascii="Times New Roman" w:hAnsi="Times New Roman" w:cs="Times New Roman"/>
          <w:sz w:val="24"/>
          <w:szCs w:val="24"/>
        </w:rPr>
        <w:t xml:space="preserve"> Сокращение численности и доли лиц обусловлено с одной стороны высокими показателями смертности населения в трудоспособном возраст</w:t>
      </w:r>
      <w:r w:rsidR="0014745D">
        <w:rPr>
          <w:rFonts w:ascii="Times New Roman" w:hAnsi="Times New Roman" w:cs="Times New Roman"/>
          <w:sz w:val="24"/>
          <w:szCs w:val="24"/>
        </w:rPr>
        <w:t>е</w:t>
      </w:r>
      <w:r w:rsidR="0009644B" w:rsidRPr="0009644B">
        <w:rPr>
          <w:rFonts w:ascii="Times New Roman" w:hAnsi="Times New Roman" w:cs="Times New Roman"/>
          <w:sz w:val="24"/>
          <w:szCs w:val="24"/>
        </w:rPr>
        <w:t>[</w:t>
      </w:r>
      <w:r w:rsidR="003C3EBC">
        <w:rPr>
          <w:rFonts w:ascii="Times New Roman" w:hAnsi="Times New Roman" w:cs="Times New Roman"/>
          <w:sz w:val="24"/>
          <w:szCs w:val="24"/>
        </w:rPr>
        <w:t>3</w:t>
      </w:r>
      <w:r w:rsidR="0009644B" w:rsidRPr="0009644B">
        <w:rPr>
          <w:rFonts w:ascii="Times New Roman" w:hAnsi="Times New Roman" w:cs="Times New Roman"/>
          <w:sz w:val="24"/>
          <w:szCs w:val="24"/>
        </w:rPr>
        <w:t xml:space="preserve">, </w:t>
      </w:r>
      <w:r w:rsidR="0009644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9644B" w:rsidRPr="0009644B">
        <w:rPr>
          <w:rFonts w:ascii="Times New Roman" w:hAnsi="Times New Roman" w:cs="Times New Roman"/>
          <w:sz w:val="24"/>
          <w:szCs w:val="24"/>
        </w:rPr>
        <w:t>. 436-442]</w:t>
      </w:r>
      <w:r w:rsidR="00F83317">
        <w:rPr>
          <w:rFonts w:ascii="Times New Roman" w:hAnsi="Times New Roman" w:cs="Times New Roman"/>
          <w:sz w:val="24"/>
          <w:szCs w:val="24"/>
        </w:rPr>
        <w:t xml:space="preserve">, с другой стороны это отголосок демографического упадка 90-х годов, приведшего к усилению возрастных </w:t>
      </w:r>
      <w:r w:rsidR="007C4A95">
        <w:rPr>
          <w:rFonts w:ascii="Times New Roman" w:hAnsi="Times New Roman" w:cs="Times New Roman"/>
          <w:sz w:val="24"/>
          <w:szCs w:val="24"/>
        </w:rPr>
        <w:t>асимметрий</w:t>
      </w:r>
      <w:r w:rsidR="00F83317">
        <w:rPr>
          <w:rFonts w:ascii="Times New Roman" w:hAnsi="Times New Roman" w:cs="Times New Roman"/>
          <w:sz w:val="24"/>
          <w:szCs w:val="24"/>
        </w:rPr>
        <w:t xml:space="preserve"> и усугублению старения населения. Некоторые демографы предполагают, что снижение доли трудоспособного населения будет продолжаться как минимум еще 10 лет</w:t>
      </w:r>
      <w:r w:rsidR="00B15C79" w:rsidRPr="00B15C79">
        <w:rPr>
          <w:rFonts w:ascii="Times New Roman" w:hAnsi="Times New Roman" w:cs="Times New Roman"/>
          <w:sz w:val="24"/>
          <w:szCs w:val="24"/>
        </w:rPr>
        <w:t xml:space="preserve"> [</w:t>
      </w:r>
      <w:r w:rsidR="003C3EBC">
        <w:rPr>
          <w:rFonts w:ascii="Times New Roman" w:hAnsi="Times New Roman" w:cs="Times New Roman"/>
          <w:sz w:val="24"/>
          <w:szCs w:val="24"/>
        </w:rPr>
        <w:t>4</w:t>
      </w:r>
      <w:r w:rsidR="00B15C79" w:rsidRPr="00B15C79">
        <w:rPr>
          <w:rFonts w:ascii="Times New Roman" w:hAnsi="Times New Roman" w:cs="Times New Roman"/>
          <w:sz w:val="24"/>
          <w:szCs w:val="24"/>
        </w:rPr>
        <w:t xml:space="preserve">, </w:t>
      </w:r>
      <w:r w:rsidR="00B15C7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15C79" w:rsidRPr="00B15C79">
        <w:rPr>
          <w:rFonts w:ascii="Times New Roman" w:hAnsi="Times New Roman" w:cs="Times New Roman"/>
          <w:sz w:val="24"/>
          <w:szCs w:val="24"/>
        </w:rPr>
        <w:t>. 1-8] [</w:t>
      </w:r>
      <w:r w:rsidR="003C3EBC">
        <w:rPr>
          <w:rFonts w:ascii="Times New Roman" w:hAnsi="Times New Roman" w:cs="Times New Roman"/>
          <w:sz w:val="24"/>
          <w:szCs w:val="24"/>
        </w:rPr>
        <w:t>5</w:t>
      </w:r>
      <w:r w:rsidR="00B15C79" w:rsidRPr="00B15C79">
        <w:rPr>
          <w:rFonts w:ascii="Times New Roman" w:hAnsi="Times New Roman" w:cs="Times New Roman"/>
          <w:sz w:val="24"/>
          <w:szCs w:val="24"/>
        </w:rPr>
        <w:t xml:space="preserve">, </w:t>
      </w:r>
      <w:r w:rsidR="00B15C79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15C79" w:rsidRPr="00B15C79">
        <w:rPr>
          <w:rFonts w:ascii="Times New Roman" w:hAnsi="Times New Roman" w:cs="Times New Roman"/>
          <w:sz w:val="24"/>
          <w:szCs w:val="24"/>
        </w:rPr>
        <w:t>. 186-190]</w:t>
      </w:r>
      <w:r w:rsidR="00F83317">
        <w:rPr>
          <w:rFonts w:ascii="Times New Roman" w:hAnsi="Times New Roman" w:cs="Times New Roman"/>
          <w:sz w:val="24"/>
          <w:szCs w:val="24"/>
        </w:rPr>
        <w:t>.</w:t>
      </w:r>
      <w:r w:rsidR="00C60F42">
        <w:rPr>
          <w:rFonts w:ascii="Times New Roman" w:hAnsi="Times New Roman" w:cs="Times New Roman"/>
          <w:sz w:val="24"/>
          <w:szCs w:val="24"/>
        </w:rPr>
        <w:t xml:space="preserve">На фоне основного тренда последнего десятилетия – сокращения числа и доли граждан трудоспособного возраста следует выделить два года, когда эта тенденция была нарушена. </w:t>
      </w:r>
      <w:r w:rsidR="00153A01">
        <w:rPr>
          <w:rFonts w:ascii="Times New Roman" w:hAnsi="Times New Roman" w:cs="Times New Roman"/>
          <w:sz w:val="24"/>
          <w:szCs w:val="24"/>
        </w:rPr>
        <w:t>В</w:t>
      </w:r>
      <w:r w:rsidR="00C60F42">
        <w:rPr>
          <w:rFonts w:ascii="Times New Roman" w:hAnsi="Times New Roman" w:cs="Times New Roman"/>
          <w:sz w:val="24"/>
          <w:szCs w:val="24"/>
        </w:rPr>
        <w:t xml:space="preserve"> 2014 году в результате присоединения Крыма (+250 тыс. человек) и в 2019 году (+1,31 млн. человек), когда сработал эффект реформы</w:t>
      </w:r>
      <w:r w:rsidR="003A6B9A">
        <w:rPr>
          <w:rFonts w:ascii="Times New Roman" w:hAnsi="Times New Roman" w:cs="Times New Roman"/>
          <w:sz w:val="24"/>
          <w:szCs w:val="24"/>
        </w:rPr>
        <w:t xml:space="preserve"> по повышению пенсионного возраста</w:t>
      </w:r>
      <w:r w:rsidR="00C60F42">
        <w:rPr>
          <w:rFonts w:ascii="Times New Roman" w:hAnsi="Times New Roman" w:cs="Times New Roman"/>
          <w:sz w:val="24"/>
          <w:szCs w:val="24"/>
        </w:rPr>
        <w:t>.</w:t>
      </w:r>
    </w:p>
    <w:p w:rsidR="00480ADC" w:rsidRDefault="00480ADC" w:rsidP="00480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изменение соотношения ведущих возрастных групп в России обусловлено несколькими факторами. В первую очередь это прохождение демографических волн, которые закладывают потенциал для будущего воспроизводства поколений</w:t>
      </w:r>
      <w:r w:rsidR="00B15C79" w:rsidRPr="00B1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</w:t>
      </w:r>
      <w:r w:rsidR="003C3EBC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B15C79" w:rsidRPr="00B1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15C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="00B15C79" w:rsidRPr="00B15C79">
        <w:rPr>
          <w:rFonts w:ascii="Times New Roman" w:eastAsia="Times New Roman" w:hAnsi="Times New Roman" w:cs="Times New Roman"/>
          <w:color w:val="000000"/>
          <w:sz w:val="24"/>
          <w:szCs w:val="24"/>
        </w:rPr>
        <w:t>, 44-62]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Вторым фактором является характерный для большинства европейских стран демографический переход, основной особенностью которого является снижение рождаемости</w:t>
      </w:r>
      <w:r w:rsidR="007C4A9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приводящее сокращению доли детей в популяции и в конечном счете к суженному типу воспроизводства населения. Кроме того, демографический переход выражается через интенсивное старение населения</w:t>
      </w:r>
      <w:r w:rsidR="00B15C79" w:rsidRPr="00B1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</w:t>
      </w:r>
      <w:r w:rsidR="003C3EB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15C79" w:rsidRPr="00B15C79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1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 1-11</w:t>
      </w:r>
      <w:r w:rsidR="00B15C79" w:rsidRPr="00B15C79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Но если в большинстве европейских стран население стареет преимущественно «сверху» т.е. за счет увеличения продолжительности жизни, то в нашей стране основной характеристикой старения населения является старение «снизу» т.е. увеличение доли старших возрастных групп за счет сокращения доли детей.</w:t>
      </w:r>
      <w:r w:rsidR="00B15C79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приводит не только к изменению возрастной структуры, но и в значительной мере усиливает депопуляцию.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Трудно не согласится с выдающимся российским демографом Рыбаковским Л.Л. который, исследуя особенности депопуляции в России, приходит к выводу, что нынешний этап депопуляции будет преодолеваться значительно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сложнее, чем в период с 1990-х до 2010 года. Причина сложности заключается в стремительном сокращении репродуктивных когорт женщин</w:t>
      </w:r>
      <w:r w:rsidR="003C3EBC">
        <w:rPr>
          <w:rFonts w:ascii="Times New Roman" w:eastAsia="Times New Roman" w:hAnsi="Times New Roman" w:cs="Times New Roman"/>
          <w:color w:val="000000"/>
          <w:sz w:val="24"/>
          <w:szCs w:val="24"/>
        </w:rPr>
        <w:t>[6</w:t>
      </w:r>
      <w:r w:rsidR="00B15C79" w:rsidRPr="00B15C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B15C7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</w:t>
      </w:r>
      <w:r w:rsidR="00B15C79" w:rsidRPr="00B15C79">
        <w:rPr>
          <w:rFonts w:ascii="Times New Roman" w:eastAsia="Times New Roman" w:hAnsi="Times New Roman" w:cs="Times New Roman"/>
          <w:color w:val="000000"/>
          <w:sz w:val="24"/>
          <w:szCs w:val="24"/>
        </w:rPr>
        <w:t>.6-15]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480ADC" w:rsidRDefault="000D7D87" w:rsidP="00F83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Говоря об изменении численности трудоспособного населения России, нельзя обойти региональный аспект этого явления. Мы выделили 6 типов субъектов по уровню изменения доли трудоспособного населения и по направленности этих изменений. (таблица 1). </w:t>
      </w:r>
    </w:p>
    <w:p w:rsidR="00480ADC" w:rsidRDefault="00480ADC" w:rsidP="00F83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429D" w:rsidRPr="0027165C" w:rsidRDefault="00A5429D" w:rsidP="00A5429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7165C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A5429D" w:rsidRDefault="00A5429D" w:rsidP="001120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</w:t>
      </w:r>
      <w:r w:rsidR="001120BE">
        <w:rPr>
          <w:rFonts w:ascii="Times New Roman" w:hAnsi="Times New Roman" w:cs="Times New Roman"/>
          <w:sz w:val="24"/>
          <w:szCs w:val="24"/>
        </w:rPr>
        <w:t>пология субъектов России по темпам и направленности изменения доли населения трудоспособного возраста в 2010 – 2021 годах.</w:t>
      </w:r>
      <w:r w:rsidR="009C0551">
        <w:rPr>
          <w:rFonts w:ascii="Times New Roman" w:hAnsi="Times New Roman" w:cs="Times New Roman"/>
          <w:sz w:val="24"/>
          <w:szCs w:val="24"/>
        </w:rPr>
        <w:t xml:space="preserve"> Источник</w:t>
      </w:r>
      <w:r w:rsidR="0027165C">
        <w:rPr>
          <w:rFonts w:ascii="Times New Roman" w:hAnsi="Times New Roman" w:cs="Times New Roman"/>
          <w:sz w:val="24"/>
          <w:szCs w:val="24"/>
        </w:rPr>
        <w:t>: Составлено автором на основе данных Федеральной Службы Государственной Статистики «Приложение к Демографическому ежегоднику России 2010», «Приложение к Демографическому ежегоднику России 2021»</w:t>
      </w:r>
    </w:p>
    <w:tbl>
      <w:tblPr>
        <w:tblStyle w:val="a6"/>
        <w:tblW w:w="0" w:type="auto"/>
        <w:tblLook w:val="04A0"/>
      </w:tblPr>
      <w:tblGrid>
        <w:gridCol w:w="578"/>
        <w:gridCol w:w="1974"/>
        <w:gridCol w:w="6051"/>
        <w:gridCol w:w="1251"/>
      </w:tblGrid>
      <w:tr w:rsidR="000D7D87" w:rsidTr="00B91283">
        <w:tc>
          <w:tcPr>
            <w:tcW w:w="578" w:type="dxa"/>
            <w:vAlign w:val="center"/>
          </w:tcPr>
          <w:p w:rsidR="000D7D87" w:rsidRDefault="000D7D87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974" w:type="dxa"/>
            <w:vAlign w:val="center"/>
          </w:tcPr>
          <w:p w:rsidR="00A5429D" w:rsidRDefault="00A5429D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D7D87">
              <w:rPr>
                <w:rFonts w:ascii="Times New Roman" w:hAnsi="Times New Roman" w:cs="Times New Roman"/>
                <w:sz w:val="24"/>
                <w:szCs w:val="24"/>
              </w:rPr>
              <w:t>арактеристика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субъекта</w:t>
            </w:r>
          </w:p>
          <w:p w:rsidR="00B91283" w:rsidRPr="00B91283" w:rsidRDefault="00B91283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Убыль/прирост населения трудоспособного возраста</w:t>
            </w:r>
          </w:p>
        </w:tc>
        <w:tc>
          <w:tcPr>
            <w:tcW w:w="6345" w:type="dxa"/>
            <w:vAlign w:val="center"/>
          </w:tcPr>
          <w:p w:rsidR="000D7D87" w:rsidRDefault="000D7D87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Субъекты Р</w:t>
            </w:r>
            <w:r w:rsidR="001120BE"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1120BE">
              <w:rPr>
                <w:rFonts w:ascii="Times New Roman" w:hAnsi="Times New Roman" w:cs="Times New Roman"/>
                <w:sz w:val="24"/>
                <w:szCs w:val="24"/>
              </w:rPr>
              <w:t>едерации</w:t>
            </w:r>
          </w:p>
        </w:tc>
        <w:tc>
          <w:tcPr>
            <w:tcW w:w="957" w:type="dxa"/>
            <w:vAlign w:val="center"/>
          </w:tcPr>
          <w:p w:rsidR="000D7D87" w:rsidRDefault="000D7D87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число субъектов</w:t>
            </w:r>
          </w:p>
        </w:tc>
      </w:tr>
      <w:tr w:rsidR="000D7D87" w:rsidTr="00B91283">
        <w:tc>
          <w:tcPr>
            <w:tcW w:w="578" w:type="dxa"/>
            <w:vAlign w:val="center"/>
          </w:tcPr>
          <w:p w:rsidR="000D7D87" w:rsidRDefault="000D7D87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4" w:type="dxa"/>
            <w:vAlign w:val="center"/>
          </w:tcPr>
          <w:p w:rsidR="000D7D87" w:rsidRDefault="00B14426" w:rsidP="00112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Убыль на уровне свыше 30%</w:t>
            </w:r>
          </w:p>
        </w:tc>
        <w:tc>
          <w:tcPr>
            <w:tcW w:w="6345" w:type="dxa"/>
          </w:tcPr>
          <w:p w:rsidR="000D7D87" w:rsidRDefault="00B14426" w:rsidP="00F83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Алтайский край</w:t>
            </w:r>
          </w:p>
        </w:tc>
        <w:tc>
          <w:tcPr>
            <w:tcW w:w="957" w:type="dxa"/>
            <w:vAlign w:val="center"/>
          </w:tcPr>
          <w:p w:rsidR="000D7D87" w:rsidRDefault="00B14426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7D87" w:rsidTr="00B91283">
        <w:tc>
          <w:tcPr>
            <w:tcW w:w="578" w:type="dxa"/>
            <w:vAlign w:val="center"/>
          </w:tcPr>
          <w:p w:rsidR="000D7D87" w:rsidRDefault="00B14426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4" w:type="dxa"/>
            <w:vAlign w:val="center"/>
          </w:tcPr>
          <w:p w:rsidR="000D7D87" w:rsidRDefault="00B14426" w:rsidP="00112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Убыль </w:t>
            </w:r>
            <w:r w:rsidR="00B91283">
              <w:rPr>
                <w:rFonts w:ascii="Times New Roman" w:hAnsi="Times New Roman" w:cs="Times New Roman"/>
                <w:sz w:val="24"/>
                <w:szCs w:val="24"/>
              </w:rPr>
              <w:t>на уровне 20-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6345" w:type="dxa"/>
          </w:tcPr>
          <w:p w:rsidR="000D7D87" w:rsidRDefault="00B14426" w:rsidP="00F83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Архангельская обл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Еврейский АО, Кировская обл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Костромская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Курганская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Магаданская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Мурманская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Оренбургская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Орловская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Респ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Карелия,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Коми,</w:t>
            </w:r>
          </w:p>
        </w:tc>
        <w:tc>
          <w:tcPr>
            <w:tcW w:w="957" w:type="dxa"/>
            <w:vAlign w:val="center"/>
          </w:tcPr>
          <w:p w:rsidR="000D7D87" w:rsidRDefault="00B14426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D7D87" w:rsidTr="00B91283">
        <w:tc>
          <w:tcPr>
            <w:tcW w:w="578" w:type="dxa"/>
            <w:vAlign w:val="center"/>
          </w:tcPr>
          <w:p w:rsidR="000D7D87" w:rsidRDefault="00B14426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74" w:type="dxa"/>
            <w:vAlign w:val="center"/>
          </w:tcPr>
          <w:p w:rsidR="000D7D87" w:rsidRDefault="00B14426" w:rsidP="00112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Убыль </w:t>
            </w:r>
            <w:r w:rsidR="00B91283">
              <w:rPr>
                <w:rFonts w:ascii="Times New Roman" w:hAnsi="Times New Roman" w:cs="Times New Roman"/>
                <w:sz w:val="24"/>
                <w:szCs w:val="24"/>
              </w:rPr>
              <w:t>на уровне 10-19 %</w:t>
            </w:r>
          </w:p>
        </w:tc>
        <w:tc>
          <w:tcPr>
            <w:tcW w:w="6345" w:type="dxa"/>
          </w:tcPr>
          <w:p w:rsidR="000D7D87" w:rsidRDefault="000523C2" w:rsidP="0005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Амурская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Астраханская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Брянская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Владимирская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Волгоградская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Вологодская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Забайкальский край, Ивановская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Иркутская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Кабардино-Балкарская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Камчатский край, Кемеровская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Красноярский край,  Курская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Липецкая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Нижегородская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Новгородская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Омская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Пензенская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Пермский край, Приморский край, Псковская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Башкортостан,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Калмыкия,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 Марий Эл,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 Мордовия,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 Хакасия, Рязанская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>, Самарская обл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, Саратовская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, Сахалинская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, Свердловская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, Смоленская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, Тамбовская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, Тверская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, Тульская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, Удмуртская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 w:rsidR="006E0E09">
              <w:rPr>
                <w:rFonts w:ascii="Times New Roman" w:hAnsi="Times New Roman" w:cs="Times New Roman"/>
                <w:sz w:val="24"/>
                <w:szCs w:val="24"/>
              </w:rPr>
              <w:t xml:space="preserve">, Ульяновская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="005852EC">
              <w:rPr>
                <w:rFonts w:ascii="Times New Roman" w:hAnsi="Times New Roman" w:cs="Times New Roman"/>
                <w:sz w:val="24"/>
                <w:szCs w:val="24"/>
              </w:rPr>
              <w:t xml:space="preserve">, Хабаровский край, Челябинская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 w:rsidR="005852EC">
              <w:rPr>
                <w:rFonts w:ascii="Times New Roman" w:hAnsi="Times New Roman" w:cs="Times New Roman"/>
                <w:sz w:val="24"/>
                <w:szCs w:val="24"/>
              </w:rPr>
              <w:t xml:space="preserve">, Чувашская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 w:rsidR="005852EC">
              <w:rPr>
                <w:rFonts w:ascii="Times New Roman" w:hAnsi="Times New Roman" w:cs="Times New Roman"/>
                <w:sz w:val="24"/>
                <w:szCs w:val="24"/>
              </w:rPr>
              <w:t xml:space="preserve">, Ярославская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  <w:tc>
          <w:tcPr>
            <w:tcW w:w="957" w:type="dxa"/>
            <w:vAlign w:val="center"/>
          </w:tcPr>
          <w:p w:rsidR="000D7D87" w:rsidRDefault="00B14426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5852EC" w:rsidTr="00B91283">
        <w:tc>
          <w:tcPr>
            <w:tcW w:w="578" w:type="dxa"/>
            <w:vAlign w:val="center"/>
          </w:tcPr>
          <w:p w:rsidR="005852EC" w:rsidRDefault="005852EC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74" w:type="dxa"/>
            <w:vAlign w:val="center"/>
          </w:tcPr>
          <w:p w:rsidR="005852EC" w:rsidRDefault="00A059DC" w:rsidP="00112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Убыль на уровне от</w:t>
            </w:r>
            <w:r w:rsidR="00B91283">
              <w:rPr>
                <w:rFonts w:ascii="Times New Roman" w:hAnsi="Times New Roman" w:cs="Times New Roman"/>
                <w:sz w:val="24"/>
                <w:szCs w:val="24"/>
              </w:rPr>
              <w:t xml:space="preserve"> 0-9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345" w:type="dxa"/>
          </w:tcPr>
          <w:p w:rsidR="005852EC" w:rsidRDefault="00A059DC" w:rsidP="0005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Воронежская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Калининградская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Калужская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Ненецкий АО, Новосибирская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Адыгея,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Алтай,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Бурятия,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Ингушетия,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Крым,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Саха (Якутия),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Северная Осетия-Алания,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Тыва, Ростовская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Ставропольский край, Томская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Тюменская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Х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 xml:space="preserve">анты-Мансийский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 xml:space="preserve"> (Югра)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Чукотский АО,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 xml:space="preserve">Ямало-Ненецкий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АО.</w:t>
            </w:r>
          </w:p>
        </w:tc>
        <w:tc>
          <w:tcPr>
            <w:tcW w:w="957" w:type="dxa"/>
            <w:vAlign w:val="center"/>
          </w:tcPr>
          <w:p w:rsidR="005852EC" w:rsidRDefault="00A059DC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852EC" w:rsidTr="00B91283">
        <w:tc>
          <w:tcPr>
            <w:tcW w:w="578" w:type="dxa"/>
            <w:vAlign w:val="center"/>
          </w:tcPr>
          <w:p w:rsidR="005852EC" w:rsidRDefault="00A059DC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74" w:type="dxa"/>
            <w:vAlign w:val="center"/>
          </w:tcPr>
          <w:p w:rsidR="005852EC" w:rsidRDefault="00A059DC" w:rsidP="00112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Прирост </w:t>
            </w:r>
            <w:r w:rsidR="00EA32C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уровне от 1 </w:t>
            </w:r>
            <w:r w:rsidR="00B912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41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6345" w:type="dxa"/>
          </w:tcPr>
          <w:p w:rsidR="005852EC" w:rsidRDefault="00034118" w:rsidP="00034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г. Санкт-Петербург, Карачаево-Черкесская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Краснодарский край, Ленинградская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Московская </w:t>
            </w:r>
            <w:r w:rsidR="00C60F42"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04715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Дагестан, </w:t>
            </w:r>
          </w:p>
        </w:tc>
        <w:tc>
          <w:tcPr>
            <w:tcW w:w="957" w:type="dxa"/>
            <w:vAlign w:val="center"/>
          </w:tcPr>
          <w:p w:rsidR="005852EC" w:rsidRDefault="00034118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852EC" w:rsidTr="00B91283">
        <w:tc>
          <w:tcPr>
            <w:tcW w:w="578" w:type="dxa"/>
            <w:vAlign w:val="center"/>
          </w:tcPr>
          <w:p w:rsidR="005852EC" w:rsidRDefault="00034118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74" w:type="dxa"/>
            <w:vAlign w:val="center"/>
          </w:tcPr>
          <w:p w:rsidR="005852EC" w:rsidRDefault="00034118" w:rsidP="00112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Прирост на уровне от  10 и более %</w:t>
            </w:r>
          </w:p>
        </w:tc>
        <w:tc>
          <w:tcPr>
            <w:tcW w:w="6345" w:type="dxa"/>
          </w:tcPr>
          <w:p w:rsidR="005852EC" w:rsidRDefault="00034118" w:rsidP="000523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Чеченская Республика</w:t>
            </w:r>
          </w:p>
        </w:tc>
        <w:tc>
          <w:tcPr>
            <w:tcW w:w="957" w:type="dxa"/>
            <w:vAlign w:val="center"/>
          </w:tcPr>
          <w:p w:rsidR="005852EC" w:rsidRDefault="00034118" w:rsidP="00112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80ADC" w:rsidRDefault="00480ADC" w:rsidP="00F83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72CB" w:rsidRDefault="000872CB" w:rsidP="00F83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Отличительной особенностью изменения доли трудоспособного населения России является её почти повсеместное сокращение. Население трудоспособного возраста сокращается в 77 субъектах Российской Федерации</w:t>
      </w:r>
      <w:r w:rsidR="00536AAE">
        <w:rPr>
          <w:rFonts w:ascii="Times New Roman" w:hAnsi="Times New Roman" w:cs="Times New Roman"/>
          <w:sz w:val="24"/>
          <w:szCs w:val="24"/>
        </w:rPr>
        <w:t>. Другими словами</w:t>
      </w:r>
      <w:r w:rsidR="002D73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90% </w:t>
      </w:r>
      <w:r w:rsidR="00536AAE">
        <w:rPr>
          <w:rFonts w:ascii="Times New Roman" w:hAnsi="Times New Roman" w:cs="Times New Roman"/>
          <w:sz w:val="24"/>
          <w:szCs w:val="24"/>
        </w:rPr>
        <w:t>регионов теряют трудовой потенциал. Степень этого сокращения разная. В основной части субъектов, которая составляет почти половину субъектов страны (42 субъекта или 49,4%) убыль населения трудоспособного возраста находится в интервале от 10 до 19%. На втором месте регионы с убылью трудоспособного населения в пределах от 0 до 9%, общим числом 22 субъекта. И на третьем месте по числу субъектов</w:t>
      </w:r>
      <w:r w:rsidR="001B0375">
        <w:rPr>
          <w:rFonts w:ascii="Times New Roman" w:hAnsi="Times New Roman" w:cs="Times New Roman"/>
          <w:sz w:val="24"/>
          <w:szCs w:val="24"/>
        </w:rPr>
        <w:t xml:space="preserve"> (11 субъектов)</w:t>
      </w:r>
      <w:r w:rsidR="00536AAE">
        <w:rPr>
          <w:rFonts w:ascii="Times New Roman" w:hAnsi="Times New Roman" w:cs="Times New Roman"/>
          <w:sz w:val="24"/>
          <w:szCs w:val="24"/>
        </w:rPr>
        <w:t xml:space="preserve"> регионы с самой высокой потерей трудоспособного населения на уровне 20-30%</w:t>
      </w:r>
      <w:r w:rsidR="001B0375">
        <w:rPr>
          <w:rFonts w:ascii="Times New Roman" w:hAnsi="Times New Roman" w:cs="Times New Roman"/>
          <w:sz w:val="24"/>
          <w:szCs w:val="24"/>
        </w:rPr>
        <w:t xml:space="preserve">. </w:t>
      </w:r>
      <w:r w:rsidR="002D73F1">
        <w:rPr>
          <w:rFonts w:ascii="Times New Roman" w:hAnsi="Times New Roman" w:cs="Times New Roman"/>
          <w:sz w:val="24"/>
          <w:szCs w:val="24"/>
        </w:rPr>
        <w:t>Только в 8 субъектах России в период с 2010 по 2021 годы наблюдался прирост трудоспособного населения. В ряде регионов таких как Чеченская Республика, Республика Дагестан и Карачаево-Черкесская республика прирост трудоспособного населения обеспечивается за счет достаточно высокого уровня рождаемости</w:t>
      </w:r>
      <w:r w:rsidR="0027165C">
        <w:rPr>
          <w:rFonts w:ascii="Times New Roman" w:hAnsi="Times New Roman" w:cs="Times New Roman"/>
          <w:sz w:val="24"/>
          <w:szCs w:val="24"/>
        </w:rPr>
        <w:t>,</w:t>
      </w:r>
      <w:r w:rsidR="002D73F1">
        <w:rPr>
          <w:rFonts w:ascii="Times New Roman" w:hAnsi="Times New Roman" w:cs="Times New Roman"/>
          <w:sz w:val="24"/>
          <w:szCs w:val="24"/>
        </w:rPr>
        <w:t xml:space="preserve"> (выше, чем в целом по стране) на протяжении многих лет. В других регионах </w:t>
      </w:r>
      <w:r w:rsidR="000B55F1">
        <w:rPr>
          <w:rFonts w:ascii="Times New Roman" w:hAnsi="Times New Roman" w:cs="Times New Roman"/>
          <w:sz w:val="24"/>
          <w:szCs w:val="24"/>
        </w:rPr>
        <w:t xml:space="preserve">таких как г. Москва и Московская область, г. Санкт-Петербург и Ленинградская область, а также в Краснодарском крае основной причиной </w:t>
      </w:r>
      <w:r w:rsidR="0027165C">
        <w:rPr>
          <w:rFonts w:ascii="Times New Roman" w:hAnsi="Times New Roman" w:cs="Times New Roman"/>
          <w:sz w:val="24"/>
          <w:szCs w:val="24"/>
        </w:rPr>
        <w:t>увеличения доли</w:t>
      </w:r>
      <w:r w:rsidR="000B55F1">
        <w:rPr>
          <w:rFonts w:ascii="Times New Roman" w:hAnsi="Times New Roman" w:cs="Times New Roman"/>
          <w:sz w:val="24"/>
          <w:szCs w:val="24"/>
        </w:rPr>
        <w:t xml:space="preserve"> населения в трудоспособном возрасте является миграционный прирост.</w:t>
      </w:r>
    </w:p>
    <w:p w:rsidR="00922B2F" w:rsidRDefault="00922B2F" w:rsidP="00F83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Подводя итог следует отметить, что снижение численности и удельного веса населения трудоспособного возраста, представляет для экономики страны, её демографического и социального развития острую проблему. Трудоспособное население платит налоги, пенсионные и страховые взносы, </w:t>
      </w:r>
      <w:r w:rsidR="0027165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оответственно при сокращении этой экономической группы снижается объем поступлений в социальные фонды и одновременно с этим растет бремя по обеспечению граждан нетрудоспособного возраста. В этой ситуации ослабевают социальные гарантии и значительно возрастает экономическая и социальная нагрузка на трудоспособное население в том числе и молодежь, что сказывается на качестве жизни российского общества.</w:t>
      </w:r>
    </w:p>
    <w:p w:rsidR="00D57D77" w:rsidRDefault="00D57D77" w:rsidP="00F83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D77" w:rsidRPr="00D57D77" w:rsidRDefault="00D57D77" w:rsidP="00D57D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D77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D57D77" w:rsidRDefault="00D57D77" w:rsidP="00F83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D77" w:rsidRPr="003C3EBC" w:rsidRDefault="00D57D77" w:rsidP="00D57D77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F0A">
        <w:rPr>
          <w:rFonts w:ascii="Times New Roman" w:hAnsi="Times New Roman" w:cs="Times New Roman"/>
        </w:rPr>
        <w:t>Архангельский В. Н. Зинькина Ю.В., Шульгин С.Г. Возрастная структура как фактор будущей динамики численности населения // Народонаселение. – 2018. – Т. 21. – № 2. – С. 18-33. – DOI 10.26653/1561-7785-2018-21-2-02. – EDN UWRDYS.</w:t>
      </w:r>
      <w:bookmarkStart w:id="0" w:name="_GoBack"/>
      <w:bookmarkEnd w:id="0"/>
    </w:p>
    <w:p w:rsidR="003C3EBC" w:rsidRPr="003C3EBC" w:rsidRDefault="003C3EBC" w:rsidP="003C3EBC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D77">
        <w:rPr>
          <w:rFonts w:ascii="Times New Roman" w:hAnsi="Times New Roman" w:cs="Times New Roman"/>
          <w:sz w:val="24"/>
          <w:szCs w:val="24"/>
        </w:rPr>
        <w:t>Барсуков В. Н. Старение населения в контексте концепции демографического перехода // Вопросы территориального развития. – 2016. – № 1(31). – С. 3. – EDN VLZDUJ.</w:t>
      </w:r>
    </w:p>
    <w:p w:rsidR="00D57D77" w:rsidRDefault="00D57D77" w:rsidP="00D57D77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D77">
        <w:rPr>
          <w:rFonts w:ascii="Times New Roman" w:hAnsi="Times New Roman" w:cs="Times New Roman"/>
          <w:sz w:val="24"/>
          <w:szCs w:val="24"/>
        </w:rPr>
        <w:t>Глотова А.С., Добродомова Т.Н., Титова И.Н., Махиборода К.Н. Сокращение численности трудоспособного населения – вызов для экономики России // Экономика: вчера, сегодня, завтра. 2020. Том 10. № 1А. С. 436-442. DOI: 10.34670/AR.2020.91.1.049.</w:t>
      </w:r>
    </w:p>
    <w:p w:rsidR="00D57D77" w:rsidRDefault="00D57D77" w:rsidP="00D57D77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D77">
        <w:rPr>
          <w:rFonts w:ascii="Times New Roman" w:hAnsi="Times New Roman" w:cs="Times New Roman"/>
          <w:sz w:val="24"/>
          <w:szCs w:val="24"/>
        </w:rPr>
        <w:t>Доброхлеб В.Г. Старение населения России: региональный аспект // Вопросы территориального развития. – 2018. №4 (44). – С. 1-8. DOI: 10.15838/tdi.2018.4.44.4</w:t>
      </w:r>
    </w:p>
    <w:p w:rsidR="00D57D77" w:rsidRDefault="00D57D77" w:rsidP="00D57D77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D77">
        <w:rPr>
          <w:rFonts w:ascii="Times New Roman" w:hAnsi="Times New Roman" w:cs="Times New Roman"/>
          <w:sz w:val="24"/>
          <w:szCs w:val="24"/>
        </w:rPr>
        <w:t>Князева Д. Д. Демографические аспекты пенсионной реформы в России // Международный научно-исследовательский журнал. – 2021. – № 6-3(108). – С. 186-190. – DOI 10.23670/IRJ.2021.108.6.094. – EDN HTAQFJ.</w:t>
      </w:r>
    </w:p>
    <w:p w:rsidR="003C3EBC" w:rsidRPr="003C3EBC" w:rsidRDefault="003C3EBC" w:rsidP="003C3EBC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D77">
        <w:rPr>
          <w:rFonts w:ascii="Times New Roman" w:hAnsi="Times New Roman" w:cs="Times New Roman"/>
          <w:sz w:val="24"/>
          <w:szCs w:val="24"/>
        </w:rPr>
        <w:t>Рыбаковский Л. Л., Кожевникова Н.И.  Депопуляция в России: этапы, особенности и возможности нейтрализации // Социально-трудовые исследования. – 2019. – № 2(35). – С. 6-15. – DOI 10.34022/2658-3712-2019-35-2-6-15. – EDN YAEDKL.</w:t>
      </w:r>
    </w:p>
    <w:p w:rsidR="00D57D77" w:rsidRDefault="00D57D77" w:rsidP="00D57D77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D77">
        <w:rPr>
          <w:rFonts w:ascii="Times New Roman" w:hAnsi="Times New Roman" w:cs="Times New Roman"/>
          <w:sz w:val="24"/>
          <w:szCs w:val="24"/>
        </w:rPr>
        <w:lastRenderedPageBreak/>
        <w:t>Синица А. Л. Некоторые экономические последствия изменения возрастной структуры населения России в условиях демографической волны // ЭКО. – 2018. – № 8(530). – С. 44-62. – EDN UVPLOI.</w:t>
      </w:r>
    </w:p>
    <w:p w:rsidR="00D57D77" w:rsidRDefault="00D57D77" w:rsidP="00F833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D77" w:rsidRPr="0081743A" w:rsidRDefault="0014745D" w:rsidP="00817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45D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81743A" w:rsidRDefault="0081743A" w:rsidP="00437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22B2F" w:rsidRPr="00EA32C6" w:rsidRDefault="0014745D" w:rsidP="00437A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37A8C">
        <w:rPr>
          <w:rFonts w:ascii="Times New Roman" w:hAnsi="Times New Roman" w:cs="Times New Roman"/>
          <w:sz w:val="24"/>
          <w:szCs w:val="24"/>
        </w:rPr>
        <w:t>Секицки-Павленко Ольга Олеговна - младший научный сотрудник ФГБУН Институт экономики Уральского отделения РАН</w:t>
      </w:r>
      <w:r w:rsidR="00437A8C" w:rsidRPr="00437A8C">
        <w:rPr>
          <w:rFonts w:ascii="Times New Roman" w:hAnsi="Times New Roman" w:cs="Times New Roman"/>
          <w:sz w:val="24"/>
          <w:szCs w:val="24"/>
        </w:rPr>
        <w:t xml:space="preserve">. 620014 Россия г. Екатеринбург, ул. Московская, 29. </w:t>
      </w:r>
      <w:r w:rsidR="00437A8C" w:rsidRPr="00437A8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437A8C" w:rsidRPr="00EA32C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37A8C" w:rsidRPr="00437A8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437A8C" w:rsidRPr="00EA32C6">
        <w:rPr>
          <w:rFonts w:ascii="Times New Roman" w:hAnsi="Times New Roman" w:cs="Times New Roman"/>
          <w:sz w:val="24"/>
          <w:szCs w:val="24"/>
          <w:lang w:val="en-US"/>
        </w:rPr>
        <w:t>:</w:t>
      </w:r>
      <w:hyperlink r:id="rId10" w:history="1">
        <w:r w:rsidR="00437A8C" w:rsidRPr="00EA32C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sekitski.pavlenko.oo@uiec.ru</w:t>
        </w:r>
      </w:hyperlink>
    </w:p>
    <w:p w:rsidR="00922B2F" w:rsidRPr="00EA32C6" w:rsidRDefault="00922B2F" w:rsidP="00922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2B2F" w:rsidRPr="00EA32C6" w:rsidRDefault="001658D0" w:rsidP="001658D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58D0">
        <w:rPr>
          <w:rFonts w:ascii="Times New Roman" w:hAnsi="Times New Roman" w:cs="Times New Roman"/>
          <w:b/>
          <w:sz w:val="24"/>
          <w:szCs w:val="24"/>
          <w:lang w:val="en-US"/>
        </w:rPr>
        <w:t>Sekicki</w:t>
      </w:r>
      <w:r w:rsidRPr="00EA32C6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1658D0">
        <w:rPr>
          <w:rFonts w:ascii="Times New Roman" w:hAnsi="Times New Roman" w:cs="Times New Roman"/>
          <w:b/>
          <w:sz w:val="24"/>
          <w:szCs w:val="24"/>
          <w:lang w:val="en-US"/>
        </w:rPr>
        <w:t>Pavlenko</w:t>
      </w:r>
      <w:r w:rsidRPr="00EA32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658D0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EA32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1658D0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EA32C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922B2F" w:rsidRPr="001658D0" w:rsidRDefault="001658D0" w:rsidP="00165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658D0">
        <w:rPr>
          <w:rFonts w:ascii="Times New Roman" w:hAnsi="Times New Roman" w:cs="Times New Roman"/>
          <w:b/>
          <w:sz w:val="24"/>
          <w:szCs w:val="24"/>
          <w:lang w:val="en-US"/>
        </w:rPr>
        <w:t>CHANGING THE AGE STRUCTURE OF THE POPULATION THROUGH THE PRISM OF REDUCTION OF THE WORKING-CAPACITY POPULATION OF RUSSIAN REGIONS</w:t>
      </w:r>
    </w:p>
    <w:p w:rsidR="00922B2F" w:rsidRDefault="00922B2F" w:rsidP="00922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1743A" w:rsidRPr="0081743A" w:rsidRDefault="0081743A" w:rsidP="00817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743A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  <w:r w:rsidR="00D90BA0" w:rsidRPr="00D90B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1743A">
        <w:rPr>
          <w:rFonts w:ascii="Times New Roman" w:hAnsi="Times New Roman" w:cs="Times New Roman"/>
          <w:i/>
          <w:sz w:val="24"/>
          <w:szCs w:val="24"/>
          <w:lang w:val="en-US"/>
        </w:rPr>
        <w:t>The article considers the dynamics of the age structure of the Russian population in the period 2010-2021. The features of the transformation of the age structure and the causes of these changes are analyzed. A typology of subjects of Russia is presented in terms of the level and direction of change in the proportion of the able-bodied population.</w:t>
      </w:r>
    </w:p>
    <w:p w:rsidR="00922B2F" w:rsidRPr="001658D0" w:rsidRDefault="0081743A" w:rsidP="00817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743A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="000D74DA" w:rsidRPr="000D74D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1743A">
        <w:rPr>
          <w:rFonts w:ascii="Times New Roman" w:hAnsi="Times New Roman" w:cs="Times New Roman"/>
          <w:i/>
          <w:sz w:val="24"/>
          <w:szCs w:val="24"/>
          <w:lang w:val="en-US"/>
        </w:rPr>
        <w:t>age structure of the population, able-bodied population, typology of subjects, demographic transition, population aging.</w:t>
      </w:r>
    </w:p>
    <w:p w:rsidR="00922B2F" w:rsidRPr="001658D0" w:rsidRDefault="00922B2F" w:rsidP="00922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2B2F" w:rsidRPr="0081743A" w:rsidRDefault="0081743A" w:rsidP="00817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743A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</w:p>
    <w:p w:rsidR="0081743A" w:rsidRDefault="0081743A" w:rsidP="001658D0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1" w:name="_Hlk129526678"/>
    </w:p>
    <w:p w:rsidR="00922B2F" w:rsidRPr="001658D0" w:rsidRDefault="001658D0" w:rsidP="001658D0">
      <w:pPr>
        <w:pStyle w:val="HTML"/>
        <w:shd w:val="clear" w:color="auto" w:fill="F8F9FA"/>
        <w:ind w:firstLine="709"/>
        <w:jc w:val="both"/>
        <w:rPr>
          <w:rFonts w:ascii="Times New Roman" w:hAnsi="Times New Roman" w:cs="Times New Roman"/>
          <w:color w:val="202124"/>
          <w:sz w:val="24"/>
          <w:szCs w:val="24"/>
          <w:lang w:val="en-US"/>
        </w:rPr>
      </w:pPr>
      <w:r w:rsidRPr="001658D0">
        <w:rPr>
          <w:rFonts w:ascii="Times New Roman" w:hAnsi="Times New Roman" w:cs="Times New Roman"/>
          <w:sz w:val="24"/>
          <w:szCs w:val="24"/>
          <w:lang w:val="en-US"/>
        </w:rPr>
        <w:t>Sekicki-Pavlenko Olga Olegovna</w:t>
      </w:r>
      <w:bookmarkEnd w:id="1"/>
      <w:r w:rsidRPr="001658D0">
        <w:rPr>
          <w:rFonts w:ascii="Times New Roman" w:hAnsi="Times New Roman" w:cs="Times New Roman"/>
          <w:sz w:val="24"/>
          <w:szCs w:val="24"/>
          <w:lang w:val="en-US"/>
        </w:rPr>
        <w:t>(Russia, Yekaterinburg) — a</w:t>
      </w:r>
      <w:r w:rsidR="003C3EBC" w:rsidRPr="003C3EB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A32C6">
        <w:rPr>
          <w:rFonts w:ascii="Times New Roman" w:hAnsi="Times New Roman" w:cs="Times New Roman"/>
          <w:color w:val="202124"/>
          <w:sz w:val="24"/>
          <w:szCs w:val="24"/>
          <w:lang w:val="en-US"/>
        </w:rPr>
        <w:t>junior researcher</w:t>
      </w:r>
      <w:r w:rsidRPr="001658D0">
        <w:rPr>
          <w:rFonts w:ascii="Times New Roman" w:hAnsi="Times New Roman" w:cs="Times New Roman"/>
          <w:sz w:val="24"/>
          <w:szCs w:val="24"/>
          <w:lang w:val="en-US"/>
        </w:rPr>
        <w:t xml:space="preserve">. Institute of Economics, Ural Branch, Russian Academy of Sciences (620014, Yekaterinburg, </w:t>
      </w:r>
      <w:r w:rsidRPr="001658D0">
        <w:rPr>
          <w:rFonts w:ascii="Times New Roman" w:hAnsi="Times New Roman" w:cs="Times New Roman"/>
          <w:sz w:val="24"/>
          <w:szCs w:val="24"/>
        </w:rPr>
        <w:t>М</w:t>
      </w:r>
      <w:r w:rsidRPr="001658D0">
        <w:rPr>
          <w:rFonts w:ascii="Times New Roman" w:hAnsi="Times New Roman" w:cs="Times New Roman"/>
          <w:sz w:val="24"/>
          <w:szCs w:val="24"/>
          <w:lang w:val="en-US"/>
        </w:rPr>
        <w:t>oskovskaja Street, 29; e-mail: sekitski.pavlenko.oo@uiec.ru).</w:t>
      </w:r>
    </w:p>
    <w:p w:rsidR="00922B2F" w:rsidRPr="001658D0" w:rsidRDefault="00922B2F" w:rsidP="00165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2B2F" w:rsidRPr="0081743A" w:rsidRDefault="0081743A" w:rsidP="008174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1743A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922B2F" w:rsidRPr="001658D0" w:rsidRDefault="00922B2F" w:rsidP="00922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1743A" w:rsidRPr="00EA32C6" w:rsidRDefault="0081743A" w:rsidP="00817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743A">
        <w:rPr>
          <w:rFonts w:ascii="Times New Roman" w:hAnsi="Times New Roman" w:cs="Times New Roman"/>
          <w:sz w:val="24"/>
          <w:szCs w:val="24"/>
          <w:lang w:val="en-US"/>
        </w:rPr>
        <w:t>1. Arkhangelsky V.N., ZinkinaYu.V.</w:t>
      </w:r>
      <w:r w:rsidR="00A6166F"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 Shulgin S.G. </w:t>
      </w:r>
      <w:r w:rsidR="00A6166F">
        <w:rPr>
          <w:rFonts w:ascii="Times New Roman" w:hAnsi="Times New Roman" w:cs="Times New Roman"/>
          <w:sz w:val="24"/>
          <w:szCs w:val="24"/>
          <w:lang w:val="en-US"/>
        </w:rPr>
        <w:t xml:space="preserve">(2018) 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Age structure as a factor of future population dynamics // </w:t>
      </w:r>
      <w:r w:rsidRPr="00B91283">
        <w:rPr>
          <w:rFonts w:ascii="Times New Roman" w:hAnsi="Times New Roman" w:cs="Times New Roman"/>
          <w:i/>
          <w:sz w:val="24"/>
          <w:szCs w:val="24"/>
          <w:lang w:val="en-US"/>
        </w:rPr>
        <w:t>Population.</w:t>
      </w:r>
      <w:r w:rsidR="00A6166F">
        <w:rPr>
          <w:rFonts w:ascii="Times New Roman" w:hAnsi="Times New Roman" w:cs="Times New Roman"/>
          <w:sz w:val="24"/>
          <w:szCs w:val="24"/>
          <w:lang w:val="en-US"/>
        </w:rPr>
        <w:t xml:space="preserve"> 2018. Vol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. 21. No. 2. </w:t>
      </w:r>
      <w:r w:rsidR="00A6166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>. 18-33. – DOI 10.26653/1561-7785-2018-21-2-02. – EDN UWRDYS.</w:t>
      </w:r>
    </w:p>
    <w:p w:rsidR="00DF0576" w:rsidRPr="00DF0576" w:rsidRDefault="00DF0576" w:rsidP="00DF05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0576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>Barsukov V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.(2016) 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Population aging in the context of the concept of demographic transition // </w:t>
      </w:r>
      <w:r w:rsidRPr="00B91283">
        <w:rPr>
          <w:rFonts w:ascii="Times New Roman" w:hAnsi="Times New Roman" w:cs="Times New Roman"/>
          <w:i/>
          <w:sz w:val="24"/>
          <w:szCs w:val="24"/>
          <w:lang w:val="en-US"/>
        </w:rPr>
        <w:t>Issues of territorial development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>. 2016. No. 1 (31). - P. 3. - EDN VLZDUJ.</w:t>
      </w:r>
    </w:p>
    <w:p w:rsidR="0081743A" w:rsidRPr="0081743A" w:rsidRDefault="00DF0576" w:rsidP="00817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057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>. Glotova A.S.</w:t>
      </w:r>
      <w:r w:rsidR="00A6166F">
        <w:rPr>
          <w:rFonts w:ascii="Times New Roman" w:hAnsi="Times New Roman" w:cs="Times New Roman"/>
          <w:sz w:val="24"/>
          <w:szCs w:val="24"/>
          <w:lang w:val="en-US"/>
        </w:rPr>
        <w:t>&amp;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Dobrodomova T.N., Titova I.N., Makhiboroda K.N. </w:t>
      </w:r>
      <w:r w:rsidR="00A6166F" w:rsidRPr="00A6166F">
        <w:rPr>
          <w:rFonts w:ascii="Times New Roman" w:hAnsi="Times New Roman" w:cs="Times New Roman"/>
          <w:sz w:val="24"/>
          <w:szCs w:val="24"/>
          <w:lang w:val="en-US"/>
        </w:rPr>
        <w:t xml:space="preserve">(2020) 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Reducing the number of able-bodied population </w:t>
      </w:r>
      <w:r w:rsidR="00A6166F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 a challenge for the Russian economy // </w:t>
      </w:r>
      <w:r w:rsidR="0081743A" w:rsidRPr="00A6166F">
        <w:rPr>
          <w:rFonts w:ascii="Times New Roman" w:hAnsi="Times New Roman" w:cs="Times New Roman"/>
          <w:i/>
          <w:sz w:val="24"/>
          <w:szCs w:val="24"/>
          <w:lang w:val="en-US"/>
        </w:rPr>
        <w:t>Economics: yesterday, today, tomorrow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>. 2020. Volume 10. No. 1A. pp. 436-442. DOI: 10.34670/AR.2020.91.1.049.</w:t>
      </w:r>
    </w:p>
    <w:p w:rsidR="0081743A" w:rsidRPr="0081743A" w:rsidRDefault="00DF0576" w:rsidP="00817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057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. Dobrokhleb V.G. </w:t>
      </w:r>
      <w:r w:rsidR="00A6166F" w:rsidRPr="00A6166F">
        <w:rPr>
          <w:rFonts w:ascii="Times New Roman" w:hAnsi="Times New Roman" w:cs="Times New Roman"/>
          <w:sz w:val="24"/>
          <w:szCs w:val="24"/>
          <w:lang w:val="en-US"/>
        </w:rPr>
        <w:t xml:space="preserve">(2018) 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Population aging in Russia: a regional aspect // </w:t>
      </w:r>
      <w:r w:rsidR="0081743A" w:rsidRPr="00A6166F">
        <w:rPr>
          <w:rFonts w:ascii="Times New Roman" w:hAnsi="Times New Roman" w:cs="Times New Roman"/>
          <w:i/>
          <w:sz w:val="24"/>
          <w:szCs w:val="24"/>
          <w:lang w:val="en-US"/>
        </w:rPr>
        <w:t>Issues of territorial development.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 2018. No. 4 (44). - P. 1-8. DOI: 10.15838/tdi.2018.4.44.4</w:t>
      </w:r>
    </w:p>
    <w:p w:rsidR="0081743A" w:rsidRPr="0081743A" w:rsidRDefault="00DF0576" w:rsidP="00817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057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. Knyazeva D. D. </w:t>
      </w:r>
      <w:r w:rsidR="00A6166F" w:rsidRPr="00A6166F">
        <w:rPr>
          <w:rFonts w:ascii="Times New Roman" w:hAnsi="Times New Roman" w:cs="Times New Roman"/>
          <w:sz w:val="24"/>
          <w:szCs w:val="24"/>
          <w:lang w:val="en-US"/>
        </w:rPr>
        <w:t xml:space="preserve">(2021) 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Demographic aspects of pension reform in Russia // </w:t>
      </w:r>
      <w:r w:rsidR="0081743A" w:rsidRPr="00B91283">
        <w:rPr>
          <w:rFonts w:ascii="Times New Roman" w:hAnsi="Times New Roman" w:cs="Times New Roman"/>
          <w:i/>
          <w:sz w:val="24"/>
          <w:szCs w:val="24"/>
          <w:lang w:val="en-US"/>
        </w:rPr>
        <w:t>International Scientific Research Journal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. 2021. No. 6-3 (108). </w:t>
      </w:r>
      <w:r w:rsidR="00A6166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81743A" w:rsidRPr="0081743A">
        <w:rPr>
          <w:rFonts w:ascii="Times New Roman" w:hAnsi="Times New Roman" w:cs="Times New Roman"/>
          <w:sz w:val="24"/>
          <w:szCs w:val="24"/>
          <w:lang w:val="en-US"/>
        </w:rPr>
        <w:t>. 186-190. DOI 10.23670/IRJ.2021.108.6.094. – EDN HTAQFJ.</w:t>
      </w:r>
    </w:p>
    <w:p w:rsidR="00922B2F" w:rsidRPr="001658D0" w:rsidRDefault="0081743A" w:rsidP="00817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1743A">
        <w:rPr>
          <w:rFonts w:ascii="Times New Roman" w:hAnsi="Times New Roman" w:cs="Times New Roman"/>
          <w:sz w:val="24"/>
          <w:szCs w:val="24"/>
          <w:lang w:val="en-US"/>
        </w:rPr>
        <w:t>6. Rybakovskiy L.L., Kozhevnikova N.I.</w:t>
      </w:r>
      <w:r w:rsidR="00B91283">
        <w:rPr>
          <w:rFonts w:ascii="Times New Roman" w:hAnsi="Times New Roman" w:cs="Times New Roman"/>
          <w:sz w:val="24"/>
          <w:szCs w:val="24"/>
          <w:lang w:val="en-US"/>
        </w:rPr>
        <w:t xml:space="preserve"> (2019)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 Depopulation in Russia: stages, features and possibilities of neutralization // </w:t>
      </w:r>
      <w:r w:rsidRPr="00B91283">
        <w:rPr>
          <w:rFonts w:ascii="Times New Roman" w:hAnsi="Times New Roman" w:cs="Times New Roman"/>
          <w:i/>
          <w:sz w:val="24"/>
          <w:szCs w:val="24"/>
          <w:lang w:val="en-US"/>
        </w:rPr>
        <w:t>Social and labor research.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 2019. - No. 2 (35). P. 6-15. – DOI 10.34022/2658-3712-2019-35-2-6-15. – EDN YAEDKL.</w:t>
      </w:r>
    </w:p>
    <w:p w:rsidR="00DF0576" w:rsidRPr="0081743A" w:rsidRDefault="00DF0576" w:rsidP="00DF05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F0576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Sinitsa A. L.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(2018) 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Some economic consequences of changing the age structure of the population of Russia in the context of the demographic wave // </w:t>
      </w:r>
      <w:r w:rsidRPr="00B91283">
        <w:rPr>
          <w:rFonts w:ascii="Times New Roman" w:hAnsi="Times New Roman" w:cs="Times New Roman"/>
          <w:i/>
          <w:sz w:val="24"/>
          <w:szCs w:val="24"/>
          <w:lang w:val="en-US"/>
        </w:rPr>
        <w:t>EKO.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 xml:space="preserve"> 2018. No. 8 (530).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1743A">
        <w:rPr>
          <w:rFonts w:ascii="Times New Roman" w:hAnsi="Times New Roman" w:cs="Times New Roman"/>
          <w:sz w:val="24"/>
          <w:szCs w:val="24"/>
          <w:lang w:val="en-US"/>
        </w:rPr>
        <w:t>. 44-62. – EDN UVPLOI.</w:t>
      </w:r>
    </w:p>
    <w:p w:rsidR="00922B2F" w:rsidRPr="001658D0" w:rsidRDefault="00922B2F" w:rsidP="00922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22B2F" w:rsidRPr="001658D0" w:rsidRDefault="00922B2F" w:rsidP="00922B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7336" w:rsidRPr="001658D0" w:rsidRDefault="00A67336" w:rsidP="006F19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67336" w:rsidRPr="001658D0" w:rsidSect="006F19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22E" w:rsidRDefault="0045322E" w:rsidP="00F7751F">
      <w:pPr>
        <w:spacing w:after="0" w:line="240" w:lineRule="auto"/>
      </w:pPr>
      <w:r>
        <w:separator/>
      </w:r>
    </w:p>
  </w:endnote>
  <w:endnote w:type="continuationSeparator" w:id="1">
    <w:p w:rsidR="0045322E" w:rsidRDefault="0045322E" w:rsidP="00F7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22E" w:rsidRDefault="0045322E" w:rsidP="00F7751F">
      <w:pPr>
        <w:spacing w:after="0" w:line="240" w:lineRule="auto"/>
      </w:pPr>
      <w:r>
        <w:separator/>
      </w:r>
    </w:p>
  </w:footnote>
  <w:footnote w:type="continuationSeparator" w:id="1">
    <w:p w:rsidR="0045322E" w:rsidRDefault="0045322E" w:rsidP="00F7751F">
      <w:pPr>
        <w:spacing w:after="0" w:line="240" w:lineRule="auto"/>
      </w:pPr>
      <w:r>
        <w:continuationSeparator/>
      </w:r>
    </w:p>
  </w:footnote>
  <w:footnote w:id="2">
    <w:p w:rsidR="0081743A" w:rsidRPr="00A6166F" w:rsidRDefault="0081743A">
      <w:pPr>
        <w:pStyle w:val="a3"/>
        <w:rPr>
          <w:rFonts w:ascii="Times New Roman" w:hAnsi="Times New Roman" w:cs="Times New Roman"/>
        </w:rPr>
      </w:pPr>
      <w:r w:rsidRPr="00A6166F">
        <w:rPr>
          <w:rStyle w:val="a5"/>
          <w:rFonts w:ascii="Times New Roman" w:hAnsi="Times New Roman" w:cs="Times New Roman"/>
        </w:rPr>
        <w:footnoteRef/>
      </w:r>
      <w:r w:rsidR="00A6166F" w:rsidRPr="00A6166F">
        <w:rPr>
          <w:rFonts w:ascii="Times New Roman" w:hAnsi="Times New Roman" w:cs="Times New Roman"/>
        </w:rPr>
        <w:t>Статья подготовлена в рамках выполнения НИР по госзаданию Института экономики Уральского отделения РАН на 2021-2023гг.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167C8"/>
    <w:multiLevelType w:val="hybridMultilevel"/>
    <w:tmpl w:val="E4B6B11C"/>
    <w:lvl w:ilvl="0" w:tplc="7FD2F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034E76"/>
    <w:multiLevelType w:val="hybridMultilevel"/>
    <w:tmpl w:val="2C94B4A6"/>
    <w:lvl w:ilvl="0" w:tplc="FF388B58">
      <w:start w:val="1"/>
      <w:numFmt w:val="decimal"/>
      <w:lvlText w:val="%1."/>
      <w:lvlJc w:val="left"/>
      <w:pPr>
        <w:ind w:left="61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92" w:hanging="360"/>
      </w:pPr>
    </w:lvl>
    <w:lvl w:ilvl="2" w:tplc="0419001B" w:tentative="1">
      <w:start w:val="1"/>
      <w:numFmt w:val="lowerRoman"/>
      <w:lvlText w:val="%3."/>
      <w:lvlJc w:val="right"/>
      <w:pPr>
        <w:ind w:left="7612" w:hanging="180"/>
      </w:pPr>
    </w:lvl>
    <w:lvl w:ilvl="3" w:tplc="0419000F" w:tentative="1">
      <w:start w:val="1"/>
      <w:numFmt w:val="decimal"/>
      <w:lvlText w:val="%4."/>
      <w:lvlJc w:val="left"/>
      <w:pPr>
        <w:ind w:left="8332" w:hanging="360"/>
      </w:pPr>
    </w:lvl>
    <w:lvl w:ilvl="4" w:tplc="04190019" w:tentative="1">
      <w:start w:val="1"/>
      <w:numFmt w:val="lowerLetter"/>
      <w:lvlText w:val="%5."/>
      <w:lvlJc w:val="left"/>
      <w:pPr>
        <w:ind w:left="9052" w:hanging="360"/>
      </w:pPr>
    </w:lvl>
    <w:lvl w:ilvl="5" w:tplc="0419001B" w:tentative="1">
      <w:start w:val="1"/>
      <w:numFmt w:val="lowerRoman"/>
      <w:lvlText w:val="%6."/>
      <w:lvlJc w:val="right"/>
      <w:pPr>
        <w:ind w:left="9772" w:hanging="180"/>
      </w:pPr>
    </w:lvl>
    <w:lvl w:ilvl="6" w:tplc="0419000F" w:tentative="1">
      <w:start w:val="1"/>
      <w:numFmt w:val="decimal"/>
      <w:lvlText w:val="%7."/>
      <w:lvlJc w:val="left"/>
      <w:pPr>
        <w:ind w:left="10492" w:hanging="360"/>
      </w:pPr>
    </w:lvl>
    <w:lvl w:ilvl="7" w:tplc="04190019" w:tentative="1">
      <w:start w:val="1"/>
      <w:numFmt w:val="lowerLetter"/>
      <w:lvlText w:val="%8."/>
      <w:lvlJc w:val="left"/>
      <w:pPr>
        <w:ind w:left="11212" w:hanging="360"/>
      </w:pPr>
    </w:lvl>
    <w:lvl w:ilvl="8" w:tplc="0419001B" w:tentative="1">
      <w:start w:val="1"/>
      <w:numFmt w:val="lowerRoman"/>
      <w:lvlText w:val="%9."/>
      <w:lvlJc w:val="right"/>
      <w:pPr>
        <w:ind w:left="1193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195D"/>
    <w:rsid w:val="00024736"/>
    <w:rsid w:val="00034118"/>
    <w:rsid w:val="000523C2"/>
    <w:rsid w:val="000872CB"/>
    <w:rsid w:val="0009644B"/>
    <w:rsid w:val="000B55F1"/>
    <w:rsid w:val="000D74A5"/>
    <w:rsid w:val="000D74DA"/>
    <w:rsid w:val="000D7D87"/>
    <w:rsid w:val="001018F6"/>
    <w:rsid w:val="001120BE"/>
    <w:rsid w:val="00126999"/>
    <w:rsid w:val="0014745D"/>
    <w:rsid w:val="00153A01"/>
    <w:rsid w:val="001658D0"/>
    <w:rsid w:val="0018353C"/>
    <w:rsid w:val="00196A3D"/>
    <w:rsid w:val="001B0375"/>
    <w:rsid w:val="001C59DD"/>
    <w:rsid w:val="001E1448"/>
    <w:rsid w:val="00206A99"/>
    <w:rsid w:val="00247AA8"/>
    <w:rsid w:val="0027165C"/>
    <w:rsid w:val="00276A85"/>
    <w:rsid w:val="00297E8E"/>
    <w:rsid w:val="002D73F1"/>
    <w:rsid w:val="002E6D09"/>
    <w:rsid w:val="003140B3"/>
    <w:rsid w:val="0033255A"/>
    <w:rsid w:val="003A5B29"/>
    <w:rsid w:val="003A6B9A"/>
    <w:rsid w:val="003C3EBC"/>
    <w:rsid w:val="00437A8C"/>
    <w:rsid w:val="0045322E"/>
    <w:rsid w:val="00457938"/>
    <w:rsid w:val="00480ADC"/>
    <w:rsid w:val="004D4234"/>
    <w:rsid w:val="005212E4"/>
    <w:rsid w:val="00536AAE"/>
    <w:rsid w:val="005852EC"/>
    <w:rsid w:val="00591C4C"/>
    <w:rsid w:val="005A4F7F"/>
    <w:rsid w:val="005B0659"/>
    <w:rsid w:val="00621C86"/>
    <w:rsid w:val="006D1620"/>
    <w:rsid w:val="006E0E09"/>
    <w:rsid w:val="006F195D"/>
    <w:rsid w:val="007030DA"/>
    <w:rsid w:val="00734C73"/>
    <w:rsid w:val="00767BC2"/>
    <w:rsid w:val="007C4A95"/>
    <w:rsid w:val="0081743A"/>
    <w:rsid w:val="00821CEA"/>
    <w:rsid w:val="0084402A"/>
    <w:rsid w:val="00856011"/>
    <w:rsid w:val="00864DF8"/>
    <w:rsid w:val="008D0E40"/>
    <w:rsid w:val="008E2A68"/>
    <w:rsid w:val="008F425E"/>
    <w:rsid w:val="00922B2F"/>
    <w:rsid w:val="009B2E5E"/>
    <w:rsid w:val="009C0551"/>
    <w:rsid w:val="009F5FD2"/>
    <w:rsid w:val="00A059DC"/>
    <w:rsid w:val="00A5429D"/>
    <w:rsid w:val="00A6166F"/>
    <w:rsid w:val="00A67336"/>
    <w:rsid w:val="00A9670C"/>
    <w:rsid w:val="00B14426"/>
    <w:rsid w:val="00B15C79"/>
    <w:rsid w:val="00B91283"/>
    <w:rsid w:val="00BC060E"/>
    <w:rsid w:val="00BC5E48"/>
    <w:rsid w:val="00C342D3"/>
    <w:rsid w:val="00C4470D"/>
    <w:rsid w:val="00C462C7"/>
    <w:rsid w:val="00C60F42"/>
    <w:rsid w:val="00CA59E3"/>
    <w:rsid w:val="00CD1AFB"/>
    <w:rsid w:val="00D15736"/>
    <w:rsid w:val="00D57D77"/>
    <w:rsid w:val="00D61BC4"/>
    <w:rsid w:val="00D90BA0"/>
    <w:rsid w:val="00DC01CD"/>
    <w:rsid w:val="00DF0576"/>
    <w:rsid w:val="00E04715"/>
    <w:rsid w:val="00E33BE8"/>
    <w:rsid w:val="00E66258"/>
    <w:rsid w:val="00E97917"/>
    <w:rsid w:val="00EA32C6"/>
    <w:rsid w:val="00EE764E"/>
    <w:rsid w:val="00F059CF"/>
    <w:rsid w:val="00F36A5D"/>
    <w:rsid w:val="00F51BE0"/>
    <w:rsid w:val="00F7751F"/>
    <w:rsid w:val="00F83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F7751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7751F"/>
    <w:rPr>
      <w:sz w:val="20"/>
      <w:szCs w:val="20"/>
    </w:rPr>
  </w:style>
  <w:style w:type="character" w:styleId="a5">
    <w:name w:val="footnote reference"/>
    <w:basedOn w:val="a0"/>
    <w:semiHidden/>
    <w:unhideWhenUsed/>
    <w:rsid w:val="00F7751F"/>
    <w:rPr>
      <w:vertAlign w:val="superscript"/>
    </w:rPr>
  </w:style>
  <w:style w:type="table" w:styleId="a6">
    <w:name w:val="Table Grid"/>
    <w:basedOn w:val="a1"/>
    <w:uiPriority w:val="59"/>
    <w:rsid w:val="000D7D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9B2E5E"/>
    <w:rPr>
      <w:b/>
      <w:bCs/>
    </w:rPr>
  </w:style>
  <w:style w:type="character" w:styleId="a8">
    <w:name w:val="Hyperlink"/>
    <w:basedOn w:val="a0"/>
    <w:uiPriority w:val="99"/>
    <w:unhideWhenUsed/>
    <w:rsid w:val="000D74A5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0D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E6D09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D57D7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1658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658D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1658D0"/>
  </w:style>
  <w:style w:type="paragraph" w:styleId="ab">
    <w:name w:val="Balloon Text"/>
    <w:basedOn w:val="a"/>
    <w:link w:val="ac"/>
    <w:uiPriority w:val="99"/>
    <w:semiHidden/>
    <w:unhideWhenUsed/>
    <w:rsid w:val="003C3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C3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6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140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59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itski.pavlenko.oo@uie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stat.gov.ru/folder/12781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percent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  моложе трудоспособного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schemeClr val="tx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</c:strCache>
            </c:strRef>
          </c:cat>
          <c:val>
            <c:numRef>
              <c:f>Лист1!$B$2:$B$13</c:f>
              <c:numCache>
                <c:formatCode>0.0</c:formatCode>
                <c:ptCount val="12"/>
                <c:pt idx="0">
                  <c:v>16.188216188216188</c:v>
                </c:pt>
                <c:pt idx="1">
                  <c:v>16.245406502642311</c:v>
                </c:pt>
                <c:pt idx="2">
                  <c:v>16.474667263169646</c:v>
                </c:pt>
                <c:pt idx="3">
                  <c:v>16.819326529330926</c:v>
                </c:pt>
                <c:pt idx="4">
                  <c:v>17.204368435340058</c:v>
                </c:pt>
                <c:pt idx="5">
                  <c:v>17.56308668394098</c:v>
                </c:pt>
                <c:pt idx="6">
                  <c:v>17.987648845064619</c:v>
                </c:pt>
                <c:pt idx="7">
                  <c:v>18.32034549467317</c:v>
                </c:pt>
                <c:pt idx="8">
                  <c:v>18.555283224400871</c:v>
                </c:pt>
                <c:pt idx="9">
                  <c:v>18.687704811930686</c:v>
                </c:pt>
                <c:pt idx="10">
                  <c:v>18.69995706955417</c:v>
                </c:pt>
                <c:pt idx="11">
                  <c:v>18.736274637239926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D8-4B0B-A00A-95377A8D656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 трудоспособном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tx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</c:strCache>
            </c:strRef>
          </c:cat>
          <c:val>
            <c:numRef>
              <c:f>Лист1!$C$2:$C$13</c:f>
              <c:numCache>
                <c:formatCode>0.0</c:formatCode>
                <c:ptCount val="12"/>
                <c:pt idx="0">
                  <c:v>61.588161588161576</c:v>
                </c:pt>
                <c:pt idx="1">
                  <c:v>61.489518076505846</c:v>
                </c:pt>
                <c:pt idx="2">
                  <c:v>60.85379152220105</c:v>
                </c:pt>
                <c:pt idx="3">
                  <c:v>60.089851897842223</c:v>
                </c:pt>
                <c:pt idx="4">
                  <c:v>59.277356665065739</c:v>
                </c:pt>
                <c:pt idx="5">
                  <c:v>58.396630818981798</c:v>
                </c:pt>
                <c:pt idx="6">
                  <c:v>57.456071513869389</c:v>
                </c:pt>
                <c:pt idx="7">
                  <c:v>56.690553390915881</c:v>
                </c:pt>
                <c:pt idx="8">
                  <c:v>56.007625272331154</c:v>
                </c:pt>
                <c:pt idx="9">
                  <c:v>55.430880018531006</c:v>
                </c:pt>
                <c:pt idx="10">
                  <c:v>56.339736556978238</c:v>
                </c:pt>
                <c:pt idx="11">
                  <c:v>56.017267447031138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CD8-4B0B-A00A-95377A8D656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  старше трудоспособного</c:v>
                </c:pt>
              </c:strCache>
            </c:strRef>
          </c:tx>
          <c:spPr>
            <a:solidFill>
              <a:schemeClr val="bg1">
                <a:lumMod val="95000"/>
              </a:schemeClr>
            </a:solidFill>
            <a:ln w="12700">
              <a:solidFill>
                <a:schemeClr val="tx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  <c:pt idx="11">
                  <c:v>2021</c:v>
                </c:pt>
              </c:strCache>
            </c:strRef>
          </c:cat>
          <c:val>
            <c:numRef>
              <c:f>Лист1!$D$2:$D$13</c:f>
              <c:numCache>
                <c:formatCode>0.0</c:formatCode>
                <c:ptCount val="12"/>
                <c:pt idx="0">
                  <c:v>22.199822199822201</c:v>
                </c:pt>
                <c:pt idx="1">
                  <c:v>22.265075420851854</c:v>
                </c:pt>
                <c:pt idx="2">
                  <c:v>22.671541214629229</c:v>
                </c:pt>
                <c:pt idx="3">
                  <c:v>23.090821572826776</c:v>
                </c:pt>
                <c:pt idx="4">
                  <c:v>23.5182748995942</c:v>
                </c:pt>
                <c:pt idx="5">
                  <c:v>24.040282497077239</c:v>
                </c:pt>
                <c:pt idx="6">
                  <c:v>24.556279641065863</c:v>
                </c:pt>
                <c:pt idx="7">
                  <c:v>24.989101114411053</c:v>
                </c:pt>
                <c:pt idx="8">
                  <c:v>25.437091503267972</c:v>
                </c:pt>
                <c:pt idx="9">
                  <c:v>25.88141516953829</c:v>
                </c:pt>
                <c:pt idx="10">
                  <c:v>24.960306373467585</c:v>
                </c:pt>
                <c:pt idx="11">
                  <c:v>25.246457915728829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CD8-4B0B-A00A-95377A8D656A}"/>
            </c:ext>
          </c:extLst>
        </c:ser>
        <c:gapWidth val="24"/>
        <c:overlap val="100"/>
        <c:axId val="37527936"/>
        <c:axId val="37529472"/>
      </c:barChart>
      <c:catAx>
        <c:axId val="375279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29472"/>
        <c:crosses val="autoZero"/>
        <c:auto val="1"/>
        <c:lblAlgn val="ctr"/>
        <c:lblOffset val="100"/>
      </c:catAx>
      <c:valAx>
        <c:axId val="375294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527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C029D-1290-4970-BC30-26C0ECF85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1</Pages>
  <Words>1874</Words>
  <Characters>13045</Characters>
  <Application>Microsoft Office Word</Application>
  <DocSecurity>0</DocSecurity>
  <Lines>271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Science</dc:creator>
  <cp:keywords/>
  <dc:description/>
  <cp:lastModifiedBy>Science</cp:lastModifiedBy>
  <cp:revision>33</cp:revision>
  <dcterms:created xsi:type="dcterms:W3CDTF">2022-11-29T06:06:00Z</dcterms:created>
  <dcterms:modified xsi:type="dcterms:W3CDTF">2023-03-13T08:30:00Z</dcterms:modified>
</cp:coreProperties>
</file>