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E5012" w14:textId="44281C30" w:rsidR="00DA35A1" w:rsidRPr="00171F6F" w:rsidRDefault="000D5DAA" w:rsidP="003F316C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AE0513">
        <w:rPr>
          <w:rFonts w:ascii="Times New Roman" w:hAnsi="Times New Roman"/>
          <w:b/>
          <w:bCs/>
          <w:sz w:val="24"/>
          <w:szCs w:val="24"/>
        </w:rPr>
        <w:t>УДК:330.11+338.24</w:t>
      </w:r>
      <w:r w:rsidR="003F316C" w:rsidRPr="00AE0513">
        <w:rPr>
          <w:rFonts w:ascii="Times New Roman" w:hAnsi="Times New Roman"/>
          <w:b/>
          <w:bCs/>
          <w:sz w:val="24"/>
          <w:szCs w:val="24"/>
        </w:rPr>
        <w:t xml:space="preserve">/ </w:t>
      </w:r>
      <w:r w:rsidR="008A0EC4" w:rsidRPr="00AE0513">
        <w:rPr>
          <w:rFonts w:ascii="Times New Roman" w:hAnsi="Times New Roman"/>
          <w:b/>
          <w:bCs/>
          <w:sz w:val="24"/>
          <w:szCs w:val="24"/>
        </w:rPr>
        <w:t xml:space="preserve">ББК </w:t>
      </w:r>
      <w:r w:rsidR="00AE0513" w:rsidRPr="00AE0513">
        <w:rPr>
          <w:rFonts w:ascii="Times New Roman" w:hAnsi="Times New Roman"/>
          <w:b/>
          <w:bCs/>
          <w:sz w:val="24"/>
          <w:szCs w:val="24"/>
        </w:rPr>
        <w:t>65.9(2Рос)-98</w:t>
      </w:r>
    </w:p>
    <w:p w14:paraId="4B228108" w14:textId="0EB3C67D" w:rsidR="00DA35A1" w:rsidRPr="00171F6F" w:rsidRDefault="00171F6F" w:rsidP="00C8663D">
      <w:pPr>
        <w:spacing w:after="0" w:line="240" w:lineRule="auto"/>
        <w:ind w:firstLine="539"/>
        <w:jc w:val="right"/>
        <w:rPr>
          <w:rFonts w:ascii="Times New Roman" w:hAnsi="Times New Roman"/>
          <w:b/>
          <w:bCs/>
          <w:sz w:val="24"/>
          <w:szCs w:val="24"/>
        </w:rPr>
      </w:pPr>
      <w:r w:rsidRPr="00171F6F">
        <w:rPr>
          <w:rFonts w:ascii="Times New Roman" w:hAnsi="Times New Roman"/>
          <w:b/>
          <w:bCs/>
          <w:sz w:val="24"/>
          <w:szCs w:val="24"/>
        </w:rPr>
        <w:t xml:space="preserve">Дорофеева </w:t>
      </w:r>
      <w:proofErr w:type="gramStart"/>
      <w:r w:rsidRPr="00171F6F">
        <w:rPr>
          <w:rFonts w:ascii="Times New Roman" w:hAnsi="Times New Roman"/>
          <w:b/>
          <w:bCs/>
          <w:sz w:val="24"/>
          <w:szCs w:val="24"/>
        </w:rPr>
        <w:t>Л.В.</w:t>
      </w:r>
      <w:proofErr w:type="gramEnd"/>
      <w:r w:rsidRPr="00171F6F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05BCE19F" w14:textId="0A6FCDDC" w:rsidR="00DA35A1" w:rsidRPr="00171F6F" w:rsidRDefault="00171F6F" w:rsidP="00C8663D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Тенденции потребительского поведения на фоне внешних шоков</w:t>
      </w:r>
    </w:p>
    <w:p w14:paraId="3A283421" w14:textId="77777777" w:rsidR="00DA35A1" w:rsidRPr="00171F6F" w:rsidRDefault="00DA35A1" w:rsidP="00C8663D">
      <w:pPr>
        <w:spacing w:after="0" w:line="240" w:lineRule="auto"/>
        <w:ind w:firstLine="539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14:paraId="5979A4BE" w14:textId="0A452C2C" w:rsidR="00171F6F" w:rsidRPr="00171F6F" w:rsidRDefault="00DA35A1" w:rsidP="00B81C20">
      <w:pPr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b/>
          <w:sz w:val="24"/>
          <w:szCs w:val="24"/>
          <w:lang w:eastAsia="ru-RU"/>
        </w:rPr>
        <w:t>Аннотация</w:t>
      </w:r>
      <w:r w:rsidR="00B64987" w:rsidRPr="00171F6F">
        <w:rPr>
          <w:rFonts w:ascii="Times New Roman" w:eastAsia="Times New Roman" w:hAnsi="Times New Roman"/>
          <w:sz w:val="24"/>
          <w:szCs w:val="24"/>
          <w:lang w:eastAsia="ru-RU"/>
        </w:rPr>
        <w:t xml:space="preserve">. В </w:t>
      </w:r>
      <w:r w:rsidR="00C8653C" w:rsidRPr="00171F6F">
        <w:rPr>
          <w:rFonts w:ascii="Times New Roman" w:eastAsia="Times New Roman" w:hAnsi="Times New Roman"/>
          <w:sz w:val="24"/>
          <w:szCs w:val="24"/>
          <w:lang w:eastAsia="ru-RU"/>
        </w:rPr>
        <w:t xml:space="preserve">работе рассматриваются вопросы </w:t>
      </w:r>
      <w:r w:rsidR="00171F6F" w:rsidRPr="00171F6F">
        <w:rPr>
          <w:rFonts w:ascii="Times New Roman" w:eastAsia="Times New Roman" w:hAnsi="Times New Roman"/>
          <w:sz w:val="24"/>
          <w:szCs w:val="24"/>
          <w:lang w:eastAsia="ru-RU"/>
        </w:rPr>
        <w:t>изменения моделей потребительского поведения под воздействием пандемии новой коронавирусной инфекции и санкционным давлением, с целью формирования сценариев преодоления негативных эффектов.</w:t>
      </w:r>
    </w:p>
    <w:p w14:paraId="37333B47" w14:textId="1B816CE8" w:rsidR="00DA35A1" w:rsidRPr="00171F6F" w:rsidRDefault="00DA35A1" w:rsidP="00C8663D">
      <w:pPr>
        <w:spacing w:after="0" w:line="240" w:lineRule="auto"/>
        <w:ind w:firstLine="53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b/>
          <w:spacing w:val="-2"/>
          <w:sz w:val="24"/>
          <w:szCs w:val="24"/>
          <w:lang w:eastAsia="ru-RU"/>
        </w:rPr>
        <w:t>Ключевые слова</w:t>
      </w:r>
      <w:r w:rsidRPr="00171F6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: </w:t>
      </w:r>
      <w:r w:rsidR="00171F6F" w:rsidRPr="00171F6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регионы России, коронавирус, кластеризация, потребительские модели, социально-экономические тенденции, доходы населения, сбережения.</w:t>
      </w:r>
    </w:p>
    <w:p w14:paraId="4375DD32" w14:textId="77777777" w:rsidR="00DA35A1" w:rsidRPr="00171F6F" w:rsidRDefault="00DA35A1" w:rsidP="00C8663D">
      <w:pPr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045BCF23" w14:textId="512635F9" w:rsidR="00171F6F" w:rsidRPr="00171F6F" w:rsidRDefault="00171F6F" w:rsidP="007A7F5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52A0B5C3" w14:textId="67EA00C8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171F6F">
        <w:rPr>
          <w:rFonts w:ascii="Times New Roman" w:hAnsi="Times New Roman"/>
          <w:sz w:val="24"/>
          <w:szCs w:val="24"/>
          <w:lang w:eastAsia="ru-RU"/>
        </w:rPr>
        <w:t xml:space="preserve">Равновесное состояние мировой экономической системы, как утверждали многие эксперты, носило устойчивый характер, однако </w:t>
      </w:r>
      <w:proofErr w:type="gramStart"/>
      <w:r w:rsidRPr="00171F6F">
        <w:rPr>
          <w:rFonts w:ascii="Times New Roman" w:hAnsi="Times New Roman"/>
          <w:sz w:val="24"/>
          <w:szCs w:val="24"/>
          <w:lang w:eastAsia="ru-RU"/>
        </w:rPr>
        <w:t>краш-тест</w:t>
      </w:r>
      <w:proofErr w:type="gramEnd"/>
      <w:r w:rsidRPr="00171F6F">
        <w:rPr>
          <w:rFonts w:ascii="Times New Roman" w:hAnsi="Times New Roman"/>
          <w:sz w:val="24"/>
          <w:szCs w:val="24"/>
          <w:lang w:eastAsia="ru-RU"/>
        </w:rPr>
        <w:t xml:space="preserve"> вызванный коронавирусом показал, что большинство стран и регионов мира оказались не готовы к мобилизации ресурсов и переустройству экономических моделей, а провозглашённая стабильность осталась лишь в документах. Тем интереснее проследить изменения потребительских моделей в различных регионах России и выявить наиболее яркие тенденции. </w:t>
      </w:r>
    </w:p>
    <w:p w14:paraId="3480E6AC" w14:textId="6B19AA21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  <w:lang w:eastAsia="ru-RU"/>
        </w:rPr>
      </w:pPr>
      <w:r w:rsidRPr="00171F6F">
        <w:rPr>
          <w:rFonts w:ascii="Times New Roman" w:hAnsi="Times New Roman"/>
          <w:sz w:val="24"/>
          <w:szCs w:val="24"/>
          <w:lang w:eastAsia="ru-RU"/>
        </w:rPr>
        <w:t xml:space="preserve">Ранее в исследованиях потребительского поведения [1] авторами проведена кластеризация [2], позволившая на основе данных за </w:t>
      </w:r>
      <w:proofErr w:type="gramStart"/>
      <w:r w:rsidRPr="00171F6F">
        <w:rPr>
          <w:rFonts w:ascii="Times New Roman" w:hAnsi="Times New Roman"/>
          <w:sz w:val="24"/>
          <w:szCs w:val="24"/>
          <w:lang w:eastAsia="ru-RU"/>
        </w:rPr>
        <w:t>2018-19</w:t>
      </w:r>
      <w:proofErr w:type="gramEnd"/>
      <w:r w:rsidRPr="00171F6F">
        <w:rPr>
          <w:rFonts w:ascii="Times New Roman" w:hAnsi="Times New Roman"/>
          <w:sz w:val="24"/>
          <w:szCs w:val="24"/>
          <w:lang w:eastAsia="ru-RU"/>
        </w:rPr>
        <w:t xml:space="preserve"> гг. выделить пять групп регионов: Столичные (К-1), Выше среднего (К-2), Ресурсные (К-3), Ниже среднего (К-4), Депрессивные (К-5). </w:t>
      </w:r>
    </w:p>
    <w:p w14:paraId="2584A6E8" w14:textId="139D8497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sz w:val="24"/>
          <w:szCs w:val="24"/>
          <w:lang w:eastAsia="ru-RU"/>
        </w:rPr>
        <w:t>Исходя из проведенной группировки нами рассмотрены пять групп регионов. Для выявления потребительских моделей следует рассмотреть социально-экономическое состояние каждого кластера. По выдвинутой гипотезе на изменение потребительских моделей будет оказывать влияние следующая группа факторов:</w:t>
      </w:r>
    </w:p>
    <w:p w14:paraId="6D03DB69" w14:textId="77777777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sz w:val="24"/>
          <w:szCs w:val="24"/>
          <w:lang w:eastAsia="ru-RU"/>
        </w:rPr>
        <w:t>- возрастной состав (в зависимости от возраста меняется потребительское поведение людей)</w:t>
      </w:r>
    </w:p>
    <w:p w14:paraId="48052FC6" w14:textId="77777777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sz w:val="24"/>
          <w:szCs w:val="24"/>
          <w:lang w:eastAsia="ru-RU"/>
        </w:rPr>
        <w:t>- социальная поддержка (выплаты государства в качестве пособий и пенсий)</w:t>
      </w:r>
    </w:p>
    <w:p w14:paraId="0A0696AD" w14:textId="77777777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sz w:val="24"/>
          <w:szCs w:val="24"/>
          <w:lang w:eastAsia="ru-RU"/>
        </w:rPr>
        <w:t xml:space="preserve">- среднедушевой доход </w:t>
      </w:r>
    </w:p>
    <w:p w14:paraId="39CF12DC" w14:textId="77777777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sz w:val="24"/>
          <w:szCs w:val="24"/>
          <w:lang w:eastAsia="ru-RU"/>
        </w:rPr>
        <w:t>- структура доходов</w:t>
      </w:r>
    </w:p>
    <w:p w14:paraId="58135B9C" w14:textId="77777777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sz w:val="24"/>
          <w:szCs w:val="24"/>
          <w:lang w:eastAsia="ru-RU"/>
        </w:rPr>
        <w:t>- структура расходов</w:t>
      </w:r>
    </w:p>
    <w:p w14:paraId="79AE59C4" w14:textId="2A468B6C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sz w:val="24"/>
          <w:szCs w:val="24"/>
          <w:lang w:eastAsia="ru-RU"/>
        </w:rPr>
        <w:t>Потребление до конца 2020 года, и вероятно в ближайшие пять лет будет сдерживаться падением покупательной способности населения, этот процесс не будет однородным для всех регионов. Сопоставим состояние кластеров и наиболее типичных регионов со средними показателями по РФ</w:t>
      </w:r>
      <w:r w:rsidR="00D36A39">
        <w:rPr>
          <w:rFonts w:ascii="Times New Roman" w:eastAsia="Times New Roman" w:hAnsi="Times New Roman"/>
          <w:sz w:val="24"/>
          <w:szCs w:val="24"/>
          <w:lang w:eastAsia="ru-RU"/>
        </w:rPr>
        <w:t xml:space="preserve"> (таблица 1)</w:t>
      </w:r>
      <w:r w:rsidRPr="00171F6F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30B6BC33" w14:textId="77777777" w:rsidR="00171F6F" w:rsidRPr="00171F6F" w:rsidRDefault="00171F6F" w:rsidP="00171F6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171F6F">
        <w:rPr>
          <w:rFonts w:ascii="Times New Roman" w:eastAsia="Times New Roman" w:hAnsi="Times New Roman"/>
          <w:sz w:val="24"/>
          <w:szCs w:val="24"/>
          <w:lang w:eastAsia="ru-RU"/>
        </w:rPr>
        <w:t>Следует обратить внимание на следующие факты:</w:t>
      </w:r>
    </w:p>
    <w:p w14:paraId="6D5EBE13" w14:textId="6544BB11" w:rsidR="00171F6F" w:rsidRPr="00171F6F" w:rsidRDefault="00171F6F" w:rsidP="00171F6F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71F6F">
        <w:rPr>
          <w:rFonts w:ascii="Times New Roman" w:hAnsi="Times New Roman"/>
          <w:sz w:val="24"/>
          <w:szCs w:val="24"/>
        </w:rPr>
        <w:t xml:space="preserve">Доля среднегодовой численности занятых относительно РФ </w:t>
      </w:r>
      <w:r w:rsidR="00D36A39" w:rsidRPr="00171F6F">
        <w:rPr>
          <w:rFonts w:ascii="Times New Roman" w:hAnsi="Times New Roman"/>
          <w:sz w:val="24"/>
          <w:szCs w:val="24"/>
        </w:rPr>
        <w:t>выше,</w:t>
      </w:r>
      <w:r w:rsidRPr="00171F6F">
        <w:rPr>
          <w:rFonts w:ascii="Times New Roman" w:hAnsi="Times New Roman"/>
          <w:sz w:val="24"/>
          <w:szCs w:val="24"/>
        </w:rPr>
        <w:t xml:space="preserve"> чем доля численности населения относительно РФ в 2-х кластерах </w:t>
      </w:r>
      <w:r w:rsidR="00D36A39">
        <w:rPr>
          <w:rFonts w:ascii="Times New Roman" w:hAnsi="Times New Roman"/>
          <w:sz w:val="24"/>
          <w:szCs w:val="24"/>
        </w:rPr>
        <w:t>К-1</w:t>
      </w:r>
      <w:r w:rsidRPr="00171F6F">
        <w:rPr>
          <w:rFonts w:ascii="Times New Roman" w:hAnsi="Times New Roman"/>
          <w:sz w:val="24"/>
          <w:szCs w:val="24"/>
        </w:rPr>
        <w:t xml:space="preserve"> и </w:t>
      </w:r>
      <w:r w:rsidR="00D36A39">
        <w:rPr>
          <w:rFonts w:ascii="Times New Roman" w:hAnsi="Times New Roman"/>
          <w:sz w:val="24"/>
          <w:szCs w:val="24"/>
        </w:rPr>
        <w:t>К-3</w:t>
      </w:r>
      <w:r w:rsidRPr="00171F6F">
        <w:rPr>
          <w:rFonts w:ascii="Times New Roman" w:hAnsi="Times New Roman"/>
          <w:sz w:val="24"/>
          <w:szCs w:val="24"/>
        </w:rPr>
        <w:t xml:space="preserve"> в этих же кластерах наблюдается более высокий уровень доходов, потребления и расходов населения. </w:t>
      </w:r>
    </w:p>
    <w:p w14:paraId="66AEDF07" w14:textId="260D7EE0" w:rsidR="00171F6F" w:rsidRPr="00171F6F" w:rsidRDefault="00171F6F" w:rsidP="00171F6F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71F6F">
        <w:rPr>
          <w:rFonts w:ascii="Times New Roman" w:hAnsi="Times New Roman"/>
          <w:sz w:val="24"/>
          <w:szCs w:val="24"/>
        </w:rPr>
        <w:t xml:space="preserve">В кластере </w:t>
      </w:r>
      <w:r w:rsidR="00D36A39">
        <w:rPr>
          <w:rFonts w:ascii="Times New Roman" w:hAnsi="Times New Roman"/>
          <w:sz w:val="24"/>
          <w:szCs w:val="24"/>
        </w:rPr>
        <w:t>К-4</w:t>
      </w:r>
      <w:r w:rsidRPr="00171F6F">
        <w:rPr>
          <w:rFonts w:ascii="Times New Roman" w:hAnsi="Times New Roman"/>
          <w:sz w:val="24"/>
          <w:szCs w:val="24"/>
        </w:rPr>
        <w:t xml:space="preserve"> Среднемесячная номинальная начисленная заработная плата работников организаций </w:t>
      </w:r>
      <w:r w:rsidR="00D36A39" w:rsidRPr="00171F6F">
        <w:rPr>
          <w:rFonts w:ascii="Times New Roman" w:hAnsi="Times New Roman"/>
          <w:sz w:val="24"/>
          <w:szCs w:val="24"/>
        </w:rPr>
        <w:t>выше,</w:t>
      </w:r>
      <w:r w:rsidRPr="00171F6F">
        <w:rPr>
          <w:rFonts w:ascii="Times New Roman" w:hAnsi="Times New Roman"/>
          <w:sz w:val="24"/>
          <w:szCs w:val="24"/>
        </w:rPr>
        <w:t xml:space="preserve"> чем в кластере </w:t>
      </w:r>
      <w:r w:rsidR="00D36A39">
        <w:rPr>
          <w:rFonts w:ascii="Times New Roman" w:hAnsi="Times New Roman"/>
          <w:sz w:val="24"/>
          <w:szCs w:val="24"/>
        </w:rPr>
        <w:t>К-2</w:t>
      </w:r>
      <w:r w:rsidRPr="00171F6F">
        <w:rPr>
          <w:rFonts w:ascii="Times New Roman" w:hAnsi="Times New Roman"/>
          <w:sz w:val="24"/>
          <w:szCs w:val="24"/>
        </w:rPr>
        <w:t xml:space="preserve"> (81,5% против 80,1%), но при этом обратная ситуация наблюдается по показателю Среднедушевые денежные доходы (в месяц) в кластере </w:t>
      </w:r>
      <w:r w:rsidR="00D36A39">
        <w:rPr>
          <w:rFonts w:ascii="Times New Roman" w:hAnsi="Times New Roman"/>
          <w:sz w:val="24"/>
          <w:szCs w:val="24"/>
        </w:rPr>
        <w:t>К-2</w:t>
      </w:r>
      <w:r w:rsidRPr="00171F6F">
        <w:rPr>
          <w:rFonts w:ascii="Times New Roman" w:hAnsi="Times New Roman"/>
          <w:sz w:val="24"/>
          <w:szCs w:val="24"/>
        </w:rPr>
        <w:t xml:space="preserve"> 88,3% против 81,8% в кластере </w:t>
      </w:r>
      <w:r w:rsidR="00D36A39">
        <w:rPr>
          <w:rFonts w:ascii="Times New Roman" w:hAnsi="Times New Roman"/>
          <w:sz w:val="24"/>
          <w:szCs w:val="24"/>
        </w:rPr>
        <w:t>К-4</w:t>
      </w:r>
    </w:p>
    <w:p w14:paraId="5DAF00C2" w14:textId="7E1FF023" w:rsidR="00171F6F" w:rsidRPr="00171F6F" w:rsidRDefault="00171F6F" w:rsidP="00171F6F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71F6F">
        <w:rPr>
          <w:rFonts w:ascii="Times New Roman" w:hAnsi="Times New Roman"/>
          <w:sz w:val="24"/>
          <w:szCs w:val="24"/>
        </w:rPr>
        <w:t xml:space="preserve">При более высоком уровне потребительских расходов и среднемесячной номинальной заработной плате в кластере </w:t>
      </w:r>
      <w:r w:rsidR="00D36A39">
        <w:rPr>
          <w:rFonts w:ascii="Times New Roman" w:hAnsi="Times New Roman"/>
          <w:sz w:val="24"/>
          <w:szCs w:val="24"/>
        </w:rPr>
        <w:t>К-3</w:t>
      </w:r>
      <w:r w:rsidRPr="00171F6F">
        <w:rPr>
          <w:rFonts w:ascii="Times New Roman" w:hAnsi="Times New Roman"/>
          <w:sz w:val="24"/>
          <w:szCs w:val="24"/>
        </w:rPr>
        <w:t xml:space="preserve"> (209,3% и 199,1% соответственно) по сравнению с кластером </w:t>
      </w:r>
      <w:r w:rsidR="00D36A39">
        <w:rPr>
          <w:rFonts w:ascii="Times New Roman" w:hAnsi="Times New Roman"/>
          <w:sz w:val="24"/>
          <w:szCs w:val="24"/>
        </w:rPr>
        <w:t>К-1</w:t>
      </w:r>
      <w:r w:rsidRPr="00171F6F">
        <w:rPr>
          <w:rFonts w:ascii="Times New Roman" w:hAnsi="Times New Roman"/>
          <w:sz w:val="24"/>
          <w:szCs w:val="24"/>
        </w:rPr>
        <w:t xml:space="preserve"> (158,8% и 149,5% соответственно) уровень потребительских расходов выше в кластере </w:t>
      </w:r>
      <w:r w:rsidR="00D36A39">
        <w:rPr>
          <w:rFonts w:ascii="Times New Roman" w:hAnsi="Times New Roman"/>
          <w:sz w:val="24"/>
          <w:szCs w:val="24"/>
        </w:rPr>
        <w:t xml:space="preserve">К-1 - </w:t>
      </w:r>
      <w:r w:rsidRPr="00171F6F">
        <w:rPr>
          <w:rFonts w:ascii="Times New Roman" w:hAnsi="Times New Roman"/>
          <w:sz w:val="24"/>
          <w:szCs w:val="24"/>
        </w:rPr>
        <w:t>157,5% против 122,9%</w:t>
      </w:r>
    </w:p>
    <w:p w14:paraId="1DBCFDED" w14:textId="43C94F86" w:rsidR="00171F6F" w:rsidRDefault="00171F6F" w:rsidP="00171F6F">
      <w:pPr>
        <w:numPr>
          <w:ilvl w:val="0"/>
          <w:numId w:val="1"/>
        </w:numPr>
        <w:spacing w:after="160" w:line="259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171F6F">
        <w:rPr>
          <w:rFonts w:ascii="Times New Roman" w:hAnsi="Times New Roman"/>
          <w:sz w:val="24"/>
          <w:szCs w:val="24"/>
        </w:rPr>
        <w:t xml:space="preserve">Отношение долей по Оборот розничной торговли к численности населения по кластерам составляет: </w:t>
      </w:r>
      <w:r w:rsidR="00D36A39">
        <w:rPr>
          <w:rFonts w:ascii="Times New Roman" w:hAnsi="Times New Roman"/>
          <w:sz w:val="24"/>
          <w:szCs w:val="24"/>
        </w:rPr>
        <w:t>К-1</w:t>
      </w:r>
      <w:r w:rsidRPr="00171F6F">
        <w:rPr>
          <w:rFonts w:ascii="Times New Roman" w:hAnsi="Times New Roman"/>
          <w:sz w:val="24"/>
          <w:szCs w:val="24"/>
        </w:rPr>
        <w:t xml:space="preserve"> </w:t>
      </w:r>
      <w:r w:rsidR="00D36A39">
        <w:rPr>
          <w:rFonts w:ascii="Times New Roman" w:hAnsi="Times New Roman"/>
          <w:sz w:val="24"/>
          <w:szCs w:val="24"/>
        </w:rPr>
        <w:t xml:space="preserve">- </w:t>
      </w:r>
      <w:r w:rsidRPr="00171F6F">
        <w:rPr>
          <w:rFonts w:ascii="Times New Roman" w:hAnsi="Times New Roman"/>
          <w:sz w:val="24"/>
          <w:szCs w:val="24"/>
        </w:rPr>
        <w:t xml:space="preserve">1,56; </w:t>
      </w:r>
      <w:r w:rsidR="00D36A39">
        <w:rPr>
          <w:rFonts w:ascii="Times New Roman" w:hAnsi="Times New Roman"/>
          <w:sz w:val="24"/>
          <w:szCs w:val="24"/>
        </w:rPr>
        <w:t>К-3</w:t>
      </w:r>
      <w:r w:rsidRPr="00171F6F">
        <w:rPr>
          <w:rFonts w:ascii="Times New Roman" w:hAnsi="Times New Roman"/>
          <w:sz w:val="24"/>
          <w:szCs w:val="24"/>
        </w:rPr>
        <w:t xml:space="preserve"> </w:t>
      </w:r>
      <w:r w:rsidR="00D36A39">
        <w:rPr>
          <w:rFonts w:ascii="Times New Roman" w:hAnsi="Times New Roman"/>
          <w:sz w:val="24"/>
          <w:szCs w:val="24"/>
        </w:rPr>
        <w:t xml:space="preserve">- </w:t>
      </w:r>
      <w:r w:rsidRPr="00171F6F">
        <w:rPr>
          <w:rFonts w:ascii="Times New Roman" w:hAnsi="Times New Roman"/>
          <w:sz w:val="24"/>
          <w:szCs w:val="24"/>
        </w:rPr>
        <w:t xml:space="preserve">1,16; </w:t>
      </w:r>
      <w:r w:rsidR="00D36A39">
        <w:rPr>
          <w:rFonts w:ascii="Times New Roman" w:hAnsi="Times New Roman"/>
          <w:sz w:val="24"/>
          <w:szCs w:val="24"/>
        </w:rPr>
        <w:t>К-2</w:t>
      </w:r>
      <w:r w:rsidRPr="00171F6F">
        <w:rPr>
          <w:rFonts w:ascii="Times New Roman" w:hAnsi="Times New Roman"/>
          <w:sz w:val="24"/>
          <w:szCs w:val="24"/>
        </w:rPr>
        <w:t xml:space="preserve"> </w:t>
      </w:r>
      <w:r w:rsidR="00D36A39">
        <w:rPr>
          <w:rFonts w:ascii="Times New Roman" w:hAnsi="Times New Roman"/>
          <w:sz w:val="24"/>
          <w:szCs w:val="24"/>
        </w:rPr>
        <w:t xml:space="preserve">- </w:t>
      </w:r>
      <w:r w:rsidRPr="00171F6F">
        <w:rPr>
          <w:rFonts w:ascii="Times New Roman" w:hAnsi="Times New Roman"/>
          <w:sz w:val="24"/>
          <w:szCs w:val="24"/>
        </w:rPr>
        <w:t xml:space="preserve">0,99; </w:t>
      </w:r>
      <w:r w:rsidR="00D36A39">
        <w:rPr>
          <w:rFonts w:ascii="Times New Roman" w:hAnsi="Times New Roman"/>
          <w:sz w:val="24"/>
          <w:szCs w:val="24"/>
        </w:rPr>
        <w:t>К-4</w:t>
      </w:r>
      <w:r w:rsidRPr="00171F6F">
        <w:rPr>
          <w:rFonts w:ascii="Times New Roman" w:hAnsi="Times New Roman"/>
          <w:sz w:val="24"/>
          <w:szCs w:val="24"/>
        </w:rPr>
        <w:t xml:space="preserve"> </w:t>
      </w:r>
      <w:r w:rsidR="00D36A39">
        <w:rPr>
          <w:rFonts w:ascii="Times New Roman" w:hAnsi="Times New Roman"/>
          <w:sz w:val="24"/>
          <w:szCs w:val="24"/>
        </w:rPr>
        <w:t xml:space="preserve">- </w:t>
      </w:r>
      <w:r w:rsidRPr="00171F6F">
        <w:rPr>
          <w:rFonts w:ascii="Times New Roman" w:hAnsi="Times New Roman"/>
          <w:sz w:val="24"/>
          <w:szCs w:val="24"/>
        </w:rPr>
        <w:t xml:space="preserve">0,81; </w:t>
      </w:r>
      <w:r w:rsidR="00D36A39">
        <w:rPr>
          <w:rFonts w:ascii="Times New Roman" w:hAnsi="Times New Roman"/>
          <w:sz w:val="24"/>
          <w:szCs w:val="24"/>
        </w:rPr>
        <w:t xml:space="preserve">К-5 - </w:t>
      </w:r>
      <w:r w:rsidRPr="00171F6F">
        <w:rPr>
          <w:rFonts w:ascii="Times New Roman" w:hAnsi="Times New Roman"/>
          <w:sz w:val="24"/>
          <w:szCs w:val="24"/>
        </w:rPr>
        <w:t>0,43. Это может свидетельствует о наличии или отсутствии достаточной торговой инфраструктуры в кластерах.</w:t>
      </w:r>
    </w:p>
    <w:p w14:paraId="3FE4AE70" w14:textId="77777777" w:rsidR="00D36A39" w:rsidRPr="00171F6F" w:rsidRDefault="00D36A39" w:rsidP="00D36A39">
      <w:pPr>
        <w:spacing w:after="0" w:line="240" w:lineRule="auto"/>
        <w:jc w:val="right"/>
        <w:rPr>
          <w:rFonts w:ascii="Times New Roman" w:eastAsia="SimSun" w:hAnsi="Times New Roman"/>
          <w:i/>
          <w:spacing w:val="-4"/>
          <w:sz w:val="24"/>
          <w:szCs w:val="24"/>
          <w:lang w:eastAsia="zh-CN"/>
        </w:rPr>
      </w:pPr>
      <w:r w:rsidRPr="00171F6F">
        <w:rPr>
          <w:rFonts w:ascii="Times New Roman" w:eastAsia="SimSun" w:hAnsi="Times New Roman"/>
          <w:i/>
          <w:spacing w:val="-4"/>
          <w:sz w:val="24"/>
          <w:szCs w:val="24"/>
          <w:lang w:eastAsia="zh-CN"/>
        </w:rPr>
        <w:lastRenderedPageBreak/>
        <w:t>Таблица 1</w:t>
      </w:r>
    </w:p>
    <w:p w14:paraId="4304C545" w14:textId="47EC3DC9" w:rsidR="00D36A39" w:rsidRPr="00171F6F" w:rsidRDefault="00D36A39" w:rsidP="00D36A39">
      <w:pPr>
        <w:spacing w:after="0" w:line="240" w:lineRule="auto"/>
        <w:jc w:val="center"/>
        <w:rPr>
          <w:rFonts w:ascii="Times New Roman" w:eastAsia="SimSun" w:hAnsi="Times New Roman"/>
          <w:spacing w:val="-4"/>
          <w:sz w:val="24"/>
          <w:szCs w:val="24"/>
          <w:lang w:eastAsia="zh-CN"/>
        </w:rPr>
      </w:pPr>
      <w:r w:rsidRPr="00171F6F">
        <w:rPr>
          <w:rFonts w:ascii="Times New Roman" w:eastAsia="SimSun" w:hAnsi="Times New Roman"/>
          <w:spacing w:val="-4"/>
          <w:sz w:val="24"/>
          <w:szCs w:val="24"/>
          <w:lang w:eastAsia="zh-CN"/>
        </w:rPr>
        <w:t xml:space="preserve">Основные </w:t>
      </w:r>
      <w:r>
        <w:rPr>
          <w:rFonts w:ascii="Times New Roman" w:eastAsia="SimSun" w:hAnsi="Times New Roman"/>
          <w:spacing w:val="-4"/>
          <w:sz w:val="24"/>
          <w:szCs w:val="24"/>
          <w:lang w:eastAsia="zh-CN"/>
        </w:rPr>
        <w:t xml:space="preserve">социально-экономические показатели по кластерам </w:t>
      </w:r>
    </w:p>
    <w:tbl>
      <w:tblPr>
        <w:tblW w:w="9361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992"/>
        <w:gridCol w:w="1195"/>
        <w:gridCol w:w="1335"/>
        <w:gridCol w:w="1575"/>
        <w:gridCol w:w="1429"/>
      </w:tblGrid>
      <w:tr w:rsidR="00D36A39" w:rsidRPr="00171F6F" w14:paraId="37AD83F3" w14:textId="77777777" w:rsidTr="00D36A39">
        <w:trPr>
          <w:trHeight w:val="99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632B4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419C7" w14:textId="2E2FCE44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Численность населения на 1 января 20</w:t>
            </w:r>
            <w:r w:rsidRPr="00D36A3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</w:t>
            </w: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г., тыс. человек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DC0D6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Среднегодовая численность </w:t>
            </w:r>
            <w:proofErr w:type="gramStart"/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занятых,  тыс.</w:t>
            </w:r>
            <w:proofErr w:type="gramEnd"/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человек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B878A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Среднедушевые денежные доходы (в месяц), руб.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BA302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Потребительские расходы в среднем на душу населения (в месяц), руб.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95074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Среднемесячная номинальная начисленная заработная плата работников организаций, руб.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04BFB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Оборот розничной торговли, млн руб.</w:t>
            </w:r>
          </w:p>
        </w:tc>
      </w:tr>
      <w:tr w:rsidR="00D36A39" w:rsidRPr="00171F6F" w14:paraId="402FBFA1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BCF81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ru-RU"/>
              </w:rPr>
              <w:t>Российская Федерация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4539D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146780,7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8A060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71561,7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D63C3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33178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8DE00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26780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95548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43724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9763C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31579400</w:t>
            </w:r>
          </w:p>
        </w:tc>
      </w:tr>
      <w:tr w:rsidR="00D36A39" w:rsidRPr="00171F6F" w14:paraId="0E2DC012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99F41" w14:textId="09ACBC2D" w:rsidR="00D36A39" w:rsidRPr="00171F6F" w:rsidRDefault="00D36A39" w:rsidP="00D36A3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Среднее значение</w:t>
            </w:r>
            <w:r w:rsidRPr="00D36A3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К-4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F43F9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1159,4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F8C9D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531,8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21EC0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27 140,7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2A309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21 666,7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570B4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35 633,5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17A76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202411,8</w:t>
            </w:r>
          </w:p>
        </w:tc>
      </w:tr>
      <w:tr w:rsidR="00D36A39" w:rsidRPr="00171F6F" w14:paraId="618ADE3B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C2E1BE7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Процент от РФ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FF12A95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1FB82C6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40,9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8D4CE4D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81,8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6FB6126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80,9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4CACE57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81,5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35AA9C8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35,3</w:t>
            </w:r>
          </w:p>
        </w:tc>
      </w:tr>
      <w:tr w:rsidR="00D36A39" w:rsidRPr="00171F6F" w14:paraId="08A1EA34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F0789" w14:textId="35297373" w:rsidR="00D36A39" w:rsidRPr="00171F6F" w:rsidRDefault="00D36A39" w:rsidP="00D36A3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Среднее значение</w:t>
            </w:r>
            <w:r w:rsidRPr="00D36A3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К-1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0E2DE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8533,0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C3F28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5125,2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FB993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52 697,3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F0049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42 034,3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AE016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65 386,7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39797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2855374,7</w:t>
            </w:r>
          </w:p>
        </w:tc>
      </w:tr>
      <w:tr w:rsidR="00D36A39" w:rsidRPr="00171F6F" w14:paraId="1BF63159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6A280D1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Процент от РФ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334A70B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5F93805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21,5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4E70EA6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158,8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F29F9CD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157,0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8612548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149,5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1E02600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27,1</w:t>
            </w:r>
          </w:p>
        </w:tc>
      </w:tr>
      <w:tr w:rsidR="00D36A39" w:rsidRPr="00171F6F" w14:paraId="40733C99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4EC09" w14:textId="0ED67FC4" w:rsidR="00D36A39" w:rsidRPr="00171F6F" w:rsidRDefault="00D36A39" w:rsidP="00D36A3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Среднее значение</w:t>
            </w:r>
            <w:r w:rsidRPr="00D36A3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К-5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01CD0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539,3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E4807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194,9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E271C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18 266,5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F2C99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11 749,2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EB1BC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28 292,5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5766E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50335,5</w:t>
            </w:r>
          </w:p>
        </w:tc>
      </w:tr>
      <w:tr w:rsidR="00D36A39" w:rsidRPr="00171F6F" w14:paraId="0F7C4EDC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FE89692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Процент от РФ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8E5227A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9686814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1,6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56DA53A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55,1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A68735F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43,9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41EBA10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64,7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9D4B448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1,0</w:t>
            </w:r>
          </w:p>
        </w:tc>
      </w:tr>
      <w:tr w:rsidR="00D36A39" w:rsidRPr="00171F6F" w14:paraId="63AA228F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16443" w14:textId="7C4ADA3D" w:rsidR="00D36A39" w:rsidRPr="00171F6F" w:rsidRDefault="00D36A39" w:rsidP="00D36A3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Среднее значение</w:t>
            </w:r>
            <w:r w:rsidRPr="00D36A3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К-3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030FC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488,0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41ACC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332,0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4E97C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69 450,0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E3108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32 904,0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BEAD5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87 076,2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A893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122122,3</w:t>
            </w:r>
          </w:p>
        </w:tc>
      </w:tr>
      <w:tr w:rsidR="00D36A39" w:rsidRPr="00171F6F" w14:paraId="40986BE2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0FCBCC4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Процент от РФ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AE2657F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A5C9F1D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2,3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E50FD8A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209,3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41B8774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122,9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F282B68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199,1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3160C73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1,9</w:t>
            </w:r>
          </w:p>
        </w:tc>
      </w:tr>
      <w:tr w:rsidR="00D36A39" w:rsidRPr="00171F6F" w14:paraId="49B9D581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30C8C" w14:textId="3D0C6A53" w:rsidR="00D36A39" w:rsidRPr="00171F6F" w:rsidRDefault="00D36A39" w:rsidP="00D36A3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Среднее значение</w:t>
            </w:r>
            <w:r w:rsidRPr="00D36A3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К-2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53FFC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3233,7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47A64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1506,8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831FC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29 281,4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25A5A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25 023,7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1054F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35 023,7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5A700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685498,3</w:t>
            </w:r>
          </w:p>
        </w:tc>
      </w:tr>
      <w:tr w:rsidR="00D36A39" w:rsidRPr="00171F6F" w14:paraId="20C488AC" w14:textId="77777777" w:rsidTr="00D36A39">
        <w:trPr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9408283" w14:textId="77777777" w:rsidR="00D36A39" w:rsidRPr="00171F6F" w:rsidRDefault="00D36A39" w:rsidP="00171F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Процент от РФ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ADBD4D3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E807899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33,7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19F462C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88,3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653CF7E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93,4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84BCF85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80,1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F64E460" w14:textId="77777777" w:rsidR="00D36A39" w:rsidRPr="00171F6F" w:rsidRDefault="00D36A39" w:rsidP="00D36A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71F6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34,7</w:t>
            </w:r>
          </w:p>
        </w:tc>
      </w:tr>
    </w:tbl>
    <w:p w14:paraId="2EBBE57C" w14:textId="77777777" w:rsidR="00171F6F" w:rsidRPr="00171F6F" w:rsidRDefault="00171F6F" w:rsidP="00171F6F">
      <w:pPr>
        <w:spacing w:after="160" w:line="259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60A305E2" w14:textId="58AEC268" w:rsidR="00171F6F" w:rsidRDefault="00171F6F" w:rsidP="00183DC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171F6F">
        <w:rPr>
          <w:rFonts w:ascii="Times New Roman" w:hAnsi="Times New Roman"/>
          <w:sz w:val="24"/>
          <w:szCs w:val="24"/>
          <w:lang w:eastAsia="ru-RU"/>
        </w:rPr>
        <w:t>Макропоказатели дают представления о значительных диспропорциях в социально-экономическом положении кластеров и потребности разработки отдельных потребительских моделей для каждого из них.</w:t>
      </w:r>
      <w:r w:rsidR="00D36A39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171F6F">
        <w:rPr>
          <w:rFonts w:ascii="Times New Roman" w:hAnsi="Times New Roman"/>
          <w:sz w:val="24"/>
          <w:szCs w:val="24"/>
          <w:lang w:eastAsia="ru-RU"/>
        </w:rPr>
        <w:t>Рассмотрим динамику доходов и расходов населения</w:t>
      </w:r>
      <w:r w:rsidR="00D36A39">
        <w:rPr>
          <w:rFonts w:ascii="Times New Roman" w:hAnsi="Times New Roman"/>
          <w:sz w:val="24"/>
          <w:szCs w:val="24"/>
          <w:lang w:eastAsia="ru-RU"/>
        </w:rPr>
        <w:t xml:space="preserve"> (</w:t>
      </w:r>
      <w:r w:rsidR="00D36A39" w:rsidRPr="00183DCB">
        <w:rPr>
          <w:rFonts w:ascii="Times New Roman" w:hAnsi="Times New Roman"/>
          <w:i/>
          <w:iCs/>
          <w:sz w:val="24"/>
          <w:szCs w:val="24"/>
          <w:lang w:eastAsia="ru-RU"/>
        </w:rPr>
        <w:t>рис</w:t>
      </w:r>
      <w:r w:rsidR="00183DCB" w:rsidRPr="00183DCB">
        <w:rPr>
          <w:rFonts w:ascii="Times New Roman" w:hAnsi="Times New Roman"/>
          <w:i/>
          <w:iCs/>
          <w:sz w:val="24"/>
          <w:szCs w:val="24"/>
          <w:lang w:val="en-US" w:eastAsia="ru-RU"/>
        </w:rPr>
        <w:t>.</w:t>
      </w:r>
      <w:r w:rsidR="00D36A39" w:rsidRPr="00183DCB">
        <w:rPr>
          <w:rFonts w:ascii="Times New Roman" w:hAnsi="Times New Roman"/>
          <w:i/>
          <w:iCs/>
          <w:sz w:val="24"/>
          <w:szCs w:val="24"/>
          <w:lang w:eastAsia="ru-RU"/>
        </w:rPr>
        <w:t xml:space="preserve"> 1</w:t>
      </w:r>
      <w:r w:rsidR="00D36A39">
        <w:rPr>
          <w:rFonts w:ascii="Times New Roman" w:hAnsi="Times New Roman"/>
          <w:sz w:val="24"/>
          <w:szCs w:val="24"/>
          <w:lang w:eastAsia="ru-RU"/>
        </w:rPr>
        <w:t>)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. </w:t>
      </w:r>
    </w:p>
    <w:p w14:paraId="4365075E" w14:textId="3148062B" w:rsidR="00183DCB" w:rsidRPr="00183DCB" w:rsidRDefault="00183DCB" w:rsidP="00183DC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</w:p>
    <w:p w14:paraId="60E94CE0" w14:textId="78F66724" w:rsidR="00171F6F" w:rsidRDefault="00171F6F" w:rsidP="00171F6F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171F6F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04DA9CFC" wp14:editId="7372914A">
            <wp:extent cx="6219825" cy="2886075"/>
            <wp:effectExtent l="0" t="0" r="9525" b="9525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FDFD72D" w14:textId="77E47A61" w:rsidR="00D36A39" w:rsidRPr="00171F6F" w:rsidRDefault="00D36A39" w:rsidP="00171F6F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D36A39">
        <w:rPr>
          <w:rFonts w:ascii="Times New Roman" w:hAnsi="Times New Roman"/>
          <w:sz w:val="24"/>
          <w:szCs w:val="24"/>
        </w:rPr>
        <w:t xml:space="preserve">Рисунок </w:t>
      </w:r>
      <w:r w:rsidR="002869AE">
        <w:rPr>
          <w:rFonts w:ascii="Times New Roman" w:hAnsi="Times New Roman"/>
          <w:sz w:val="24"/>
          <w:szCs w:val="24"/>
        </w:rPr>
        <w:t>1</w:t>
      </w:r>
      <w:r w:rsidRPr="00D36A39">
        <w:rPr>
          <w:rFonts w:ascii="Times New Roman" w:hAnsi="Times New Roman"/>
          <w:sz w:val="24"/>
          <w:szCs w:val="24"/>
        </w:rPr>
        <w:t xml:space="preserve">. </w:t>
      </w:r>
      <w:r w:rsidR="002869AE" w:rsidRPr="002869AE">
        <w:rPr>
          <w:rFonts w:ascii="Times New Roman" w:hAnsi="Times New Roman"/>
          <w:sz w:val="24"/>
          <w:szCs w:val="24"/>
        </w:rPr>
        <w:t>Реальные денежные доходы населения (в процентах к предыдущему году)</w:t>
      </w:r>
    </w:p>
    <w:p w14:paraId="71371659" w14:textId="332172CB" w:rsidR="00171F6F" w:rsidRDefault="00171F6F" w:rsidP="00183DC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171F6F">
        <w:rPr>
          <w:rFonts w:ascii="Times New Roman" w:hAnsi="Times New Roman"/>
          <w:sz w:val="24"/>
          <w:szCs w:val="24"/>
          <w:lang w:eastAsia="ru-RU"/>
        </w:rPr>
        <w:t>В среднем по РФ Реальные денежные доходы населения с 2010 по 201</w:t>
      </w:r>
      <w:r w:rsidR="00BE1FFB">
        <w:rPr>
          <w:rFonts w:ascii="Times New Roman" w:hAnsi="Times New Roman"/>
          <w:sz w:val="24"/>
          <w:szCs w:val="24"/>
          <w:lang w:eastAsia="ru-RU"/>
        </w:rPr>
        <w:t>9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 гг. снижались. Кластере условно разделились на два типа: Инертные (</w:t>
      </w:r>
      <w:r w:rsidR="00BE1FFB">
        <w:rPr>
          <w:rFonts w:ascii="Times New Roman" w:hAnsi="Times New Roman"/>
          <w:sz w:val="24"/>
          <w:szCs w:val="24"/>
          <w:lang w:eastAsia="ru-RU"/>
        </w:rPr>
        <w:t>К-5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="00BE1FFB">
        <w:rPr>
          <w:rFonts w:ascii="Times New Roman" w:hAnsi="Times New Roman"/>
          <w:sz w:val="24"/>
          <w:szCs w:val="24"/>
          <w:lang w:eastAsia="ru-RU"/>
        </w:rPr>
        <w:t>К-4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) падение доходов в период с </w:t>
      </w:r>
      <w:r w:rsidRPr="00171F6F">
        <w:rPr>
          <w:rFonts w:ascii="Times New Roman" w:hAnsi="Times New Roman"/>
          <w:sz w:val="24"/>
          <w:szCs w:val="24"/>
          <w:lang w:eastAsia="ru-RU"/>
        </w:rPr>
        <w:lastRenderedPageBreak/>
        <w:t>2010 по 201</w:t>
      </w:r>
      <w:r w:rsidR="00BE1FFB">
        <w:rPr>
          <w:rFonts w:ascii="Times New Roman" w:hAnsi="Times New Roman"/>
          <w:sz w:val="24"/>
          <w:szCs w:val="24"/>
          <w:lang w:eastAsia="ru-RU"/>
        </w:rPr>
        <w:t>9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 гг. было более медленным чем в среднем по РФ и </w:t>
      </w:r>
      <w:proofErr w:type="spellStart"/>
      <w:r w:rsidRPr="00171F6F">
        <w:rPr>
          <w:rFonts w:ascii="Times New Roman" w:hAnsi="Times New Roman"/>
          <w:sz w:val="24"/>
          <w:szCs w:val="24"/>
          <w:lang w:eastAsia="ru-RU"/>
        </w:rPr>
        <w:t>Проактивные</w:t>
      </w:r>
      <w:proofErr w:type="spellEnd"/>
      <w:r w:rsidRPr="00171F6F">
        <w:rPr>
          <w:rFonts w:ascii="Times New Roman" w:hAnsi="Times New Roman"/>
          <w:sz w:val="24"/>
          <w:szCs w:val="24"/>
          <w:lang w:eastAsia="ru-RU"/>
        </w:rPr>
        <w:t xml:space="preserve"> (</w:t>
      </w:r>
      <w:r w:rsidR="00BE1FFB">
        <w:rPr>
          <w:rFonts w:ascii="Times New Roman" w:hAnsi="Times New Roman"/>
          <w:sz w:val="24"/>
          <w:szCs w:val="24"/>
          <w:lang w:eastAsia="ru-RU"/>
        </w:rPr>
        <w:t>К-1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="00BE1FFB">
        <w:rPr>
          <w:rFonts w:ascii="Times New Roman" w:hAnsi="Times New Roman"/>
          <w:sz w:val="24"/>
          <w:szCs w:val="24"/>
          <w:lang w:eastAsia="ru-RU"/>
        </w:rPr>
        <w:t>К-2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="00BE1FFB">
        <w:rPr>
          <w:rFonts w:ascii="Times New Roman" w:hAnsi="Times New Roman"/>
          <w:sz w:val="24"/>
          <w:szCs w:val="24"/>
          <w:lang w:eastAsia="ru-RU"/>
        </w:rPr>
        <w:t>К-3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) </w:t>
      </w:r>
      <w:r w:rsidR="00BE1FFB">
        <w:rPr>
          <w:rFonts w:ascii="Times New Roman" w:hAnsi="Times New Roman"/>
          <w:sz w:val="24"/>
          <w:szCs w:val="24"/>
          <w:lang w:eastAsia="ru-RU"/>
        </w:rPr>
        <w:t>.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 Лучшую динамику восстановления продемонстрировал кластер </w:t>
      </w:r>
      <w:r w:rsidR="00BE1FFB">
        <w:rPr>
          <w:rFonts w:ascii="Times New Roman" w:hAnsi="Times New Roman"/>
          <w:sz w:val="24"/>
          <w:szCs w:val="24"/>
          <w:lang w:eastAsia="ru-RU"/>
        </w:rPr>
        <w:t>К-3</w:t>
      </w:r>
      <w:r w:rsidRPr="00171F6F">
        <w:rPr>
          <w:rFonts w:ascii="Times New Roman" w:hAnsi="Times New Roman"/>
          <w:sz w:val="24"/>
          <w:szCs w:val="24"/>
          <w:lang w:eastAsia="ru-RU"/>
        </w:rPr>
        <w:t xml:space="preserve">. </w:t>
      </w:r>
    </w:p>
    <w:p w14:paraId="253DA10D" w14:textId="6143EAD9" w:rsidR="00183DCB" w:rsidRPr="00183DCB" w:rsidRDefault="00183DCB" w:rsidP="00183DC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Рассмотрим более подробно динамику изменения потребительских расходов </w:t>
      </w:r>
      <w:r w:rsidRPr="00183DCB">
        <w:rPr>
          <w:rFonts w:ascii="Times New Roman" w:hAnsi="Times New Roman"/>
          <w:i/>
          <w:iCs/>
          <w:sz w:val="24"/>
          <w:szCs w:val="24"/>
          <w:lang w:eastAsia="ru-RU"/>
        </w:rPr>
        <w:t>(рис. 2)</w:t>
      </w:r>
    </w:p>
    <w:p w14:paraId="521BDE8A" w14:textId="77777777" w:rsidR="00183DCB" w:rsidRPr="00171F6F" w:rsidRDefault="00183DCB" w:rsidP="00171F6F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</w:p>
    <w:p w14:paraId="52F55FF8" w14:textId="75B534C9" w:rsidR="00171F6F" w:rsidRDefault="00171F6F" w:rsidP="00171F6F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171F6F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10090F72" wp14:editId="433E661B">
            <wp:extent cx="6238875" cy="3152775"/>
            <wp:effectExtent l="0" t="0" r="9525" b="9525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3B6E6C0" w14:textId="7234FFA3" w:rsidR="00BE1FFB" w:rsidRPr="00171F6F" w:rsidRDefault="00BE1FFB" w:rsidP="00171F6F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BE1FFB">
        <w:rPr>
          <w:rFonts w:ascii="Times New Roman" w:hAnsi="Times New Roman"/>
          <w:sz w:val="24"/>
          <w:szCs w:val="24"/>
        </w:rPr>
        <w:t>Рисунок 2</w:t>
      </w:r>
      <w:r>
        <w:rPr>
          <w:rFonts w:ascii="Times New Roman" w:hAnsi="Times New Roman"/>
          <w:sz w:val="24"/>
          <w:szCs w:val="24"/>
        </w:rPr>
        <w:t>.</w:t>
      </w:r>
      <w:r w:rsidRPr="00BE1FFB">
        <w:rPr>
          <w:rFonts w:ascii="Times New Roman" w:hAnsi="Times New Roman"/>
          <w:sz w:val="24"/>
          <w:szCs w:val="24"/>
        </w:rPr>
        <w:t xml:space="preserve"> Потребительские расходы в среднем на душу населения (в месяц; рублей) по отношению к РФ в процентах</w:t>
      </w:r>
      <w:r>
        <w:rPr>
          <w:rFonts w:ascii="Times New Roman" w:hAnsi="Times New Roman"/>
          <w:sz w:val="24"/>
          <w:szCs w:val="24"/>
        </w:rPr>
        <w:t>.</w:t>
      </w:r>
    </w:p>
    <w:p w14:paraId="2A6FA0A3" w14:textId="3133BE7B" w:rsidR="00171F6F" w:rsidRPr="00171F6F" w:rsidRDefault="00171F6F" w:rsidP="00171F6F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171F6F">
        <w:rPr>
          <w:rFonts w:ascii="Times New Roman" w:hAnsi="Times New Roman"/>
          <w:sz w:val="24"/>
          <w:szCs w:val="24"/>
        </w:rPr>
        <w:t>График показывает, что динамика потребительских расходов кластеров по соотношению с величиной показателя по РФ остается постоянной. Следует отметить падение расходов с 201</w:t>
      </w:r>
      <w:r w:rsidR="00BE1FFB">
        <w:rPr>
          <w:rFonts w:ascii="Times New Roman" w:hAnsi="Times New Roman"/>
          <w:sz w:val="24"/>
          <w:szCs w:val="24"/>
        </w:rPr>
        <w:t>9</w:t>
      </w:r>
      <w:r w:rsidRPr="00171F6F">
        <w:rPr>
          <w:rFonts w:ascii="Times New Roman" w:hAnsi="Times New Roman"/>
          <w:sz w:val="24"/>
          <w:szCs w:val="24"/>
        </w:rPr>
        <w:t xml:space="preserve"> года в кластерах </w:t>
      </w:r>
      <w:r w:rsidR="00BE1FFB">
        <w:rPr>
          <w:rFonts w:ascii="Times New Roman" w:hAnsi="Times New Roman"/>
          <w:sz w:val="24"/>
          <w:szCs w:val="24"/>
        </w:rPr>
        <w:t>К-4</w:t>
      </w:r>
      <w:r w:rsidRPr="00171F6F">
        <w:rPr>
          <w:rFonts w:ascii="Times New Roman" w:hAnsi="Times New Roman"/>
          <w:sz w:val="24"/>
          <w:szCs w:val="24"/>
        </w:rPr>
        <w:t xml:space="preserve">, </w:t>
      </w:r>
      <w:r w:rsidR="00BE1FFB">
        <w:rPr>
          <w:rFonts w:ascii="Times New Roman" w:hAnsi="Times New Roman"/>
          <w:sz w:val="24"/>
          <w:szCs w:val="24"/>
        </w:rPr>
        <w:t>К-3</w:t>
      </w:r>
      <w:r w:rsidRPr="00171F6F">
        <w:rPr>
          <w:rFonts w:ascii="Times New Roman" w:hAnsi="Times New Roman"/>
          <w:sz w:val="24"/>
          <w:szCs w:val="24"/>
        </w:rPr>
        <w:t xml:space="preserve">, </w:t>
      </w:r>
      <w:r w:rsidR="00BE1FFB">
        <w:rPr>
          <w:rFonts w:ascii="Times New Roman" w:hAnsi="Times New Roman"/>
          <w:sz w:val="24"/>
          <w:szCs w:val="24"/>
        </w:rPr>
        <w:t>К-2</w:t>
      </w:r>
      <w:r w:rsidRPr="00171F6F">
        <w:rPr>
          <w:rFonts w:ascii="Times New Roman" w:hAnsi="Times New Roman"/>
          <w:sz w:val="24"/>
          <w:szCs w:val="24"/>
        </w:rPr>
        <w:t>.</w:t>
      </w:r>
    </w:p>
    <w:p w14:paraId="2C89BF2E" w14:textId="508904AA" w:rsidR="00171F6F" w:rsidRPr="00171F6F" w:rsidRDefault="00171F6F" w:rsidP="00171F6F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171F6F">
        <w:rPr>
          <w:rFonts w:ascii="Times New Roman" w:hAnsi="Times New Roman"/>
          <w:sz w:val="24"/>
          <w:szCs w:val="24"/>
        </w:rPr>
        <w:t>Как уже отмечалось выше на потребление оказывает влияние количество население получающего поддержку от государства.</w:t>
      </w:r>
      <w:r w:rsidR="00BE1FFB">
        <w:rPr>
          <w:rFonts w:ascii="Times New Roman" w:hAnsi="Times New Roman"/>
          <w:sz w:val="24"/>
          <w:szCs w:val="24"/>
        </w:rPr>
        <w:t xml:space="preserve"> </w:t>
      </w:r>
      <w:r w:rsidRPr="00171F6F">
        <w:rPr>
          <w:rFonts w:ascii="Times New Roman" w:hAnsi="Times New Roman"/>
          <w:sz w:val="24"/>
          <w:szCs w:val="24"/>
        </w:rPr>
        <w:t xml:space="preserve">При том что самая высокая численность (по соотношению с РФ) пенсионеров в кластере </w:t>
      </w:r>
      <w:r w:rsidR="00BE1FFB">
        <w:rPr>
          <w:rFonts w:ascii="Times New Roman" w:hAnsi="Times New Roman"/>
          <w:sz w:val="24"/>
          <w:szCs w:val="24"/>
        </w:rPr>
        <w:t>К-2</w:t>
      </w:r>
      <w:r w:rsidRPr="00171F6F">
        <w:rPr>
          <w:rFonts w:ascii="Times New Roman" w:hAnsi="Times New Roman"/>
          <w:sz w:val="24"/>
          <w:szCs w:val="24"/>
        </w:rPr>
        <w:t xml:space="preserve"> – 106,6% в 20</w:t>
      </w:r>
      <w:r w:rsidR="00BE1FFB">
        <w:rPr>
          <w:rFonts w:ascii="Times New Roman" w:hAnsi="Times New Roman"/>
          <w:sz w:val="24"/>
          <w:szCs w:val="24"/>
        </w:rPr>
        <w:t>21</w:t>
      </w:r>
      <w:r w:rsidRPr="00171F6F">
        <w:rPr>
          <w:rFonts w:ascii="Times New Roman" w:hAnsi="Times New Roman"/>
          <w:sz w:val="24"/>
          <w:szCs w:val="24"/>
        </w:rPr>
        <w:t xml:space="preserve"> г. По Среднему размеру пенсии кластер занимает третье место (100,3%) после кластеров </w:t>
      </w:r>
      <w:r w:rsidR="00BE1FFB">
        <w:rPr>
          <w:rFonts w:ascii="Times New Roman" w:hAnsi="Times New Roman"/>
          <w:sz w:val="24"/>
          <w:szCs w:val="24"/>
        </w:rPr>
        <w:t>К-3</w:t>
      </w:r>
      <w:r w:rsidRPr="00171F6F">
        <w:rPr>
          <w:rFonts w:ascii="Times New Roman" w:hAnsi="Times New Roman"/>
          <w:sz w:val="24"/>
          <w:szCs w:val="24"/>
        </w:rPr>
        <w:t xml:space="preserve"> (154,8%) и </w:t>
      </w:r>
      <w:r w:rsidR="00BE1FFB">
        <w:rPr>
          <w:rFonts w:ascii="Times New Roman" w:hAnsi="Times New Roman"/>
          <w:sz w:val="24"/>
          <w:szCs w:val="24"/>
        </w:rPr>
        <w:t xml:space="preserve">К-1 </w:t>
      </w:r>
      <w:r w:rsidRPr="00171F6F">
        <w:rPr>
          <w:rFonts w:ascii="Times New Roman" w:hAnsi="Times New Roman"/>
          <w:sz w:val="24"/>
          <w:szCs w:val="24"/>
        </w:rPr>
        <w:t>(108,6%)</w:t>
      </w:r>
    </w:p>
    <w:p w14:paraId="0765CAA8" w14:textId="77777777" w:rsidR="00BE1FFB" w:rsidRPr="00BE1FFB" w:rsidRDefault="00BE1FFB" w:rsidP="00BE1FFB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BE1FFB">
        <w:rPr>
          <w:rFonts w:ascii="Times New Roman" w:hAnsi="Times New Roman"/>
          <w:sz w:val="24"/>
          <w:szCs w:val="24"/>
        </w:rPr>
        <w:t>Выводы:</w:t>
      </w:r>
    </w:p>
    <w:p w14:paraId="671C32C5" w14:textId="688D3893" w:rsidR="00BE1FFB" w:rsidRPr="00BE1FFB" w:rsidRDefault="00BE1FFB" w:rsidP="00BE1FFB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BE1FFB">
        <w:rPr>
          <w:rFonts w:ascii="Times New Roman" w:hAnsi="Times New Roman"/>
          <w:sz w:val="24"/>
          <w:szCs w:val="24"/>
        </w:rPr>
        <w:t>Различия в социально-экономическом положении кластеров дает возможность вывить отличия в потребительском поведении населения и сформулировать различные модели поведения</w:t>
      </w:r>
      <w:r w:rsidR="004D4867">
        <w:rPr>
          <w:rFonts w:ascii="Times New Roman" w:hAnsi="Times New Roman"/>
          <w:sz w:val="24"/>
          <w:szCs w:val="24"/>
        </w:rPr>
        <w:t>:</w:t>
      </w:r>
    </w:p>
    <w:p w14:paraId="3FD4A20F" w14:textId="3B708BC2" w:rsidR="00BE1FFB" w:rsidRPr="00BE1FFB" w:rsidRDefault="004D4867" w:rsidP="00BE1FFB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BE1FFB" w:rsidRPr="00BE1FFB">
        <w:rPr>
          <w:rFonts w:ascii="Times New Roman" w:hAnsi="Times New Roman"/>
          <w:sz w:val="24"/>
          <w:szCs w:val="24"/>
        </w:rPr>
        <w:t>.</w:t>
      </w:r>
      <w:r w:rsidR="00BE1FFB" w:rsidRPr="00BE1FFB">
        <w:rPr>
          <w:rFonts w:ascii="Times New Roman" w:hAnsi="Times New Roman"/>
          <w:sz w:val="24"/>
          <w:szCs w:val="24"/>
        </w:rPr>
        <w:tab/>
        <w:t xml:space="preserve">Для кластера </w:t>
      </w:r>
      <w:r>
        <w:rPr>
          <w:rFonts w:ascii="Times New Roman" w:hAnsi="Times New Roman"/>
          <w:sz w:val="24"/>
          <w:szCs w:val="24"/>
        </w:rPr>
        <w:t>К-1</w:t>
      </w:r>
      <w:r w:rsidR="00BE1FFB" w:rsidRPr="00BE1FFB">
        <w:rPr>
          <w:rFonts w:ascii="Times New Roman" w:hAnsi="Times New Roman"/>
          <w:sz w:val="24"/>
          <w:szCs w:val="24"/>
        </w:rPr>
        <w:t xml:space="preserve"> характерна значительная зависимость от макроэкономической конъектуры (при падении экономики РФ наблюдается резкое падение потребительских расходов). В целом рынок обеспечен товарами длительного потребления и развита инфраструктура. При высоких доходах относительно других кластеров расходы производятся в сфере услуг (демонстрируют рост расходов на отдых). При этом инвестиционным ресурсом может выступать недвижимость. </w:t>
      </w:r>
    </w:p>
    <w:p w14:paraId="5B59E1E7" w14:textId="2976CF5C" w:rsidR="00BE1FFB" w:rsidRPr="00BE1FFB" w:rsidRDefault="00BE1FFB" w:rsidP="00BE1FFB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BE1FFB">
        <w:rPr>
          <w:rFonts w:ascii="Times New Roman" w:hAnsi="Times New Roman"/>
          <w:sz w:val="24"/>
          <w:szCs w:val="24"/>
        </w:rPr>
        <w:t>3.</w:t>
      </w:r>
      <w:r w:rsidRPr="00BE1FFB">
        <w:rPr>
          <w:rFonts w:ascii="Times New Roman" w:hAnsi="Times New Roman"/>
          <w:sz w:val="24"/>
          <w:szCs w:val="24"/>
        </w:rPr>
        <w:tab/>
        <w:t xml:space="preserve">Кластер </w:t>
      </w:r>
      <w:r w:rsidR="004D4867">
        <w:rPr>
          <w:rFonts w:ascii="Times New Roman" w:hAnsi="Times New Roman"/>
          <w:sz w:val="24"/>
          <w:szCs w:val="24"/>
        </w:rPr>
        <w:t>К-3</w:t>
      </w:r>
      <w:r w:rsidRPr="00BE1FFB">
        <w:rPr>
          <w:rFonts w:ascii="Times New Roman" w:hAnsi="Times New Roman"/>
          <w:sz w:val="24"/>
          <w:szCs w:val="24"/>
        </w:rPr>
        <w:t xml:space="preserve"> получал последние несколько лет значительные инвестиционные ресурсы что стимулировало рост расходов и доходов населения, в регионах кластера действуют северные надбавки. При этом значительно дороже в этих регионах товары первой необходимости и обязательные платежи. Для кластера характерен низкий уровень дохода от </w:t>
      </w:r>
      <w:r w:rsidRPr="00BE1FFB">
        <w:rPr>
          <w:rFonts w:ascii="Times New Roman" w:hAnsi="Times New Roman"/>
          <w:sz w:val="24"/>
          <w:szCs w:val="24"/>
        </w:rPr>
        <w:lastRenderedPageBreak/>
        <w:t xml:space="preserve">предпринимательской деятельности, это может быть связано с малой численностью населения (1,7% от РФ). </w:t>
      </w:r>
    </w:p>
    <w:p w14:paraId="223C4D8F" w14:textId="181E9863" w:rsidR="00BE1FFB" w:rsidRPr="00BE1FFB" w:rsidRDefault="00BE1FFB" w:rsidP="00BE1FFB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BE1FFB">
        <w:rPr>
          <w:rFonts w:ascii="Times New Roman" w:hAnsi="Times New Roman"/>
          <w:sz w:val="24"/>
          <w:szCs w:val="24"/>
        </w:rPr>
        <w:t>4.</w:t>
      </w:r>
      <w:r w:rsidRPr="00BE1FFB">
        <w:rPr>
          <w:rFonts w:ascii="Times New Roman" w:hAnsi="Times New Roman"/>
          <w:sz w:val="24"/>
          <w:szCs w:val="24"/>
        </w:rPr>
        <w:tab/>
        <w:t xml:space="preserve">Кластер </w:t>
      </w:r>
      <w:r w:rsidR="004D4867">
        <w:rPr>
          <w:rFonts w:ascii="Times New Roman" w:hAnsi="Times New Roman"/>
          <w:sz w:val="24"/>
          <w:szCs w:val="24"/>
        </w:rPr>
        <w:t>К-2</w:t>
      </w:r>
      <w:r w:rsidRPr="00BE1FFB">
        <w:rPr>
          <w:rFonts w:ascii="Times New Roman" w:hAnsi="Times New Roman"/>
          <w:sz w:val="24"/>
          <w:szCs w:val="24"/>
        </w:rPr>
        <w:t xml:space="preserve"> наиболее перспективная группа регионов с высокой устойчивостью экономики. В данном кластере высокий уровень прочих доходов это может являться результатом активной теневой экономической деятельности или серых зарплат легализация которых позволит сохранить высокий уровень потребления. Регионы обладают достаточно высоким уровнем комфорта и могут привлекать население остальных кластеров (на 20</w:t>
      </w:r>
      <w:r w:rsidR="004D4867">
        <w:rPr>
          <w:rFonts w:ascii="Times New Roman" w:hAnsi="Times New Roman"/>
          <w:sz w:val="24"/>
          <w:szCs w:val="24"/>
        </w:rPr>
        <w:t>22</w:t>
      </w:r>
      <w:r w:rsidRPr="00BE1FFB">
        <w:rPr>
          <w:rFonts w:ascii="Times New Roman" w:hAnsi="Times New Roman"/>
          <w:sz w:val="24"/>
          <w:szCs w:val="24"/>
        </w:rPr>
        <w:t xml:space="preserve"> год в кластере проживает 35% населения РФ). </w:t>
      </w:r>
    </w:p>
    <w:p w14:paraId="7E783D57" w14:textId="626E072D" w:rsidR="00BE1FFB" w:rsidRPr="00BE1FFB" w:rsidRDefault="00BE1FFB" w:rsidP="00BE1FFB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BE1FFB">
        <w:rPr>
          <w:rFonts w:ascii="Times New Roman" w:hAnsi="Times New Roman"/>
          <w:sz w:val="24"/>
          <w:szCs w:val="24"/>
        </w:rPr>
        <w:t>5.</w:t>
      </w:r>
      <w:r w:rsidRPr="00BE1FFB">
        <w:rPr>
          <w:rFonts w:ascii="Times New Roman" w:hAnsi="Times New Roman"/>
          <w:sz w:val="24"/>
          <w:szCs w:val="24"/>
        </w:rPr>
        <w:tab/>
        <w:t xml:space="preserve">Кластер </w:t>
      </w:r>
      <w:r w:rsidR="004D4867">
        <w:rPr>
          <w:rFonts w:ascii="Times New Roman" w:hAnsi="Times New Roman"/>
          <w:sz w:val="24"/>
          <w:szCs w:val="24"/>
        </w:rPr>
        <w:t>К-4</w:t>
      </w:r>
      <w:r w:rsidRPr="00BE1FFB">
        <w:rPr>
          <w:rFonts w:ascii="Times New Roman" w:hAnsi="Times New Roman"/>
          <w:sz w:val="24"/>
          <w:szCs w:val="24"/>
        </w:rPr>
        <w:t xml:space="preserve"> наиболее многочисленный (55 регионов) в нем сконцентрировано более половины территории страны и около 44% населения РФ.  Основной проблемой большинства регионов является отсутствие рабочих мест и низкий уровень оплаты труда, что стимулирует население к переезду. В регионах остается преимущественно пожилое население и те кто получают социальные выплаты их доля в структуре доходов составляет 24% при 19,1% в среднем по РФ. При этом в кластере наблюдается достаточно высокий уровень доходов от предпринимательской деятельности.</w:t>
      </w:r>
    </w:p>
    <w:p w14:paraId="06319620" w14:textId="53076DD1" w:rsidR="00171F6F" w:rsidRDefault="00BE1FFB" w:rsidP="00BE1FFB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BE1FFB">
        <w:rPr>
          <w:rFonts w:ascii="Times New Roman" w:hAnsi="Times New Roman"/>
          <w:sz w:val="24"/>
          <w:szCs w:val="24"/>
        </w:rPr>
        <w:t>6.</w:t>
      </w:r>
      <w:r w:rsidRPr="00BE1FFB">
        <w:rPr>
          <w:rFonts w:ascii="Times New Roman" w:hAnsi="Times New Roman"/>
          <w:sz w:val="24"/>
          <w:szCs w:val="24"/>
        </w:rPr>
        <w:tab/>
        <w:t xml:space="preserve">Кластер </w:t>
      </w:r>
      <w:r w:rsidR="004D4867">
        <w:rPr>
          <w:rFonts w:ascii="Times New Roman" w:hAnsi="Times New Roman"/>
          <w:sz w:val="24"/>
          <w:szCs w:val="24"/>
        </w:rPr>
        <w:t>К-5</w:t>
      </w:r>
      <w:r w:rsidRPr="00BE1FFB">
        <w:rPr>
          <w:rFonts w:ascii="Times New Roman" w:hAnsi="Times New Roman"/>
          <w:sz w:val="24"/>
          <w:szCs w:val="24"/>
        </w:rPr>
        <w:t xml:space="preserve"> сочетает в себе регионы с наиболее неблагоприятной социально-экономической обстановкой. В кластере наблюдается крайне низкий уровень потребительских расходов около 40% от средних показателей по РФ. Доля социальных выплат и прочих доходов составляет примерно 45% от всего дохода. Наблюдается высокая предпринимательская активность. Основные потребительские траты идут на товары первой необходимости и продукты питания.</w:t>
      </w:r>
    </w:p>
    <w:p w14:paraId="0A3A340F" w14:textId="77777777" w:rsidR="003A65B6" w:rsidRPr="00171F6F" w:rsidRDefault="003A65B6" w:rsidP="00C8663D">
      <w:pPr>
        <w:spacing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171F6F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Библиографический список</w:t>
      </w:r>
    </w:p>
    <w:p w14:paraId="71F84472" w14:textId="471712FB" w:rsidR="00BE1FFB" w:rsidRPr="00BE1FFB" w:rsidRDefault="00183DCB" w:rsidP="00BE1FFB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183DCB">
        <w:rPr>
          <w:rFonts w:ascii="Times New Roman" w:hAnsi="Times New Roman"/>
          <w:sz w:val="24"/>
          <w:szCs w:val="24"/>
        </w:rPr>
        <w:t xml:space="preserve">1. </w:t>
      </w:r>
      <w:r w:rsidR="00BE1FFB" w:rsidRPr="00BE1FFB">
        <w:rPr>
          <w:rFonts w:ascii="Times New Roman" w:hAnsi="Times New Roman"/>
          <w:sz w:val="24"/>
          <w:szCs w:val="24"/>
        </w:rPr>
        <w:t xml:space="preserve">Рослякова Н.А., Дорофеева Л.В. Влияние </w:t>
      </w:r>
      <w:proofErr w:type="spellStart"/>
      <w:r w:rsidR="00BE1FFB" w:rsidRPr="00BE1FFB">
        <w:rPr>
          <w:rFonts w:ascii="Times New Roman" w:hAnsi="Times New Roman"/>
          <w:sz w:val="24"/>
          <w:szCs w:val="24"/>
        </w:rPr>
        <w:t>коронакризиса</w:t>
      </w:r>
      <w:proofErr w:type="spellEnd"/>
      <w:r w:rsidR="00BE1FFB" w:rsidRPr="00BE1FFB">
        <w:rPr>
          <w:rFonts w:ascii="Times New Roman" w:hAnsi="Times New Roman"/>
          <w:sz w:val="24"/>
          <w:szCs w:val="24"/>
        </w:rPr>
        <w:t xml:space="preserve"> на динамику потребительских цен в регионах России // Региональная экономика. Юг России. 2020. Т. 8. № 4. С. </w:t>
      </w:r>
      <w:proofErr w:type="gramStart"/>
      <w:r w:rsidR="00BE1FFB" w:rsidRPr="00BE1FFB">
        <w:rPr>
          <w:rFonts w:ascii="Times New Roman" w:hAnsi="Times New Roman"/>
          <w:sz w:val="24"/>
          <w:szCs w:val="24"/>
        </w:rPr>
        <w:t>64-75</w:t>
      </w:r>
      <w:proofErr w:type="gramEnd"/>
      <w:r w:rsidR="00BE1FFB" w:rsidRPr="00BE1FFB">
        <w:rPr>
          <w:rFonts w:ascii="Times New Roman" w:hAnsi="Times New Roman"/>
          <w:sz w:val="24"/>
          <w:szCs w:val="24"/>
        </w:rPr>
        <w:t>.</w:t>
      </w:r>
    </w:p>
    <w:p w14:paraId="5C66D108" w14:textId="17982E49" w:rsidR="00BE1FFB" w:rsidRPr="00BE1FFB" w:rsidRDefault="00183DCB" w:rsidP="00BE1FFB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183DCB">
        <w:rPr>
          <w:rFonts w:ascii="Times New Roman" w:hAnsi="Times New Roman"/>
          <w:sz w:val="24"/>
          <w:szCs w:val="24"/>
        </w:rPr>
        <w:t xml:space="preserve">2. </w:t>
      </w:r>
      <w:r w:rsidR="00BE1FFB" w:rsidRPr="00BE1FFB">
        <w:rPr>
          <w:rFonts w:ascii="Times New Roman" w:hAnsi="Times New Roman"/>
          <w:sz w:val="24"/>
          <w:szCs w:val="24"/>
        </w:rPr>
        <w:t xml:space="preserve">Рослякова Н.А., Митрофанова И.В., Дорофеева Л.В. </w:t>
      </w:r>
      <w:proofErr w:type="spellStart"/>
      <w:r w:rsidR="00BE1FFB" w:rsidRPr="00BE1FFB">
        <w:rPr>
          <w:rFonts w:ascii="Times New Roman" w:hAnsi="Times New Roman"/>
          <w:sz w:val="24"/>
          <w:szCs w:val="24"/>
        </w:rPr>
        <w:t>Коронакризис</w:t>
      </w:r>
      <w:proofErr w:type="spellEnd"/>
      <w:r w:rsidR="00BE1FFB" w:rsidRPr="00BE1FFB">
        <w:rPr>
          <w:rFonts w:ascii="Times New Roman" w:hAnsi="Times New Roman"/>
          <w:sz w:val="24"/>
          <w:szCs w:val="24"/>
        </w:rPr>
        <w:t xml:space="preserve"> и трансформация потребительского спроса в регионах России // Экономика: вчера, сегодня, завтра, 2020. № 5А (10), стр. 448-468. DOI: 10.34670/AR.2020.46.64.052</w:t>
      </w:r>
    </w:p>
    <w:p w14:paraId="28F3722D" w14:textId="602700F1" w:rsidR="00507123" w:rsidRPr="00183DCB" w:rsidRDefault="00183DCB" w:rsidP="00BE1FFB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183DCB">
        <w:rPr>
          <w:rFonts w:ascii="Times New Roman" w:hAnsi="Times New Roman"/>
          <w:sz w:val="24"/>
          <w:szCs w:val="24"/>
        </w:rPr>
        <w:t xml:space="preserve">3. </w:t>
      </w:r>
      <w:r w:rsidR="00BE1FFB" w:rsidRPr="00BE1FFB">
        <w:rPr>
          <w:rFonts w:ascii="Times New Roman" w:hAnsi="Times New Roman"/>
          <w:sz w:val="24"/>
          <w:szCs w:val="24"/>
        </w:rPr>
        <w:t>Регионы России: социально-экономические показатели. 202</w:t>
      </w:r>
      <w:r w:rsidRPr="00183DCB">
        <w:rPr>
          <w:rFonts w:ascii="Times New Roman" w:hAnsi="Times New Roman"/>
          <w:sz w:val="24"/>
          <w:szCs w:val="24"/>
        </w:rPr>
        <w:t>2</w:t>
      </w:r>
      <w:r w:rsidR="00BE1FFB" w:rsidRPr="00BE1FFB">
        <w:rPr>
          <w:rFonts w:ascii="Times New Roman" w:hAnsi="Times New Roman"/>
          <w:sz w:val="24"/>
          <w:szCs w:val="24"/>
        </w:rPr>
        <w:t xml:space="preserve"> [Электронный ресурс]. Режим доступа: http://www.gks.ru/, дата обращения 20.0</w:t>
      </w:r>
      <w:r w:rsidRPr="00183DCB">
        <w:rPr>
          <w:rFonts w:ascii="Times New Roman" w:hAnsi="Times New Roman"/>
          <w:sz w:val="24"/>
          <w:szCs w:val="24"/>
        </w:rPr>
        <w:t>2</w:t>
      </w:r>
      <w:r w:rsidR="00BE1FFB" w:rsidRPr="00BE1FFB">
        <w:rPr>
          <w:rFonts w:ascii="Times New Roman" w:hAnsi="Times New Roman"/>
          <w:sz w:val="24"/>
          <w:szCs w:val="24"/>
        </w:rPr>
        <w:t>.202</w:t>
      </w:r>
      <w:r w:rsidRPr="00183DCB">
        <w:rPr>
          <w:rFonts w:ascii="Times New Roman" w:hAnsi="Times New Roman"/>
          <w:sz w:val="24"/>
          <w:szCs w:val="24"/>
        </w:rPr>
        <w:t>3</w:t>
      </w:r>
    </w:p>
    <w:p w14:paraId="0ADB013E" w14:textId="47DEB440" w:rsidR="00183DCB" w:rsidRDefault="00183DCB" w:rsidP="005524F2">
      <w:pPr>
        <w:spacing w:after="0"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</w:p>
    <w:p w14:paraId="45B5C701" w14:textId="77777777" w:rsidR="004D4867" w:rsidRDefault="004D4867" w:rsidP="005524F2">
      <w:pPr>
        <w:spacing w:after="0"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</w:p>
    <w:p w14:paraId="1E6FF5E7" w14:textId="535BFBE2" w:rsidR="0089594B" w:rsidRPr="00171F6F" w:rsidRDefault="00855F78" w:rsidP="005524F2">
      <w:pPr>
        <w:spacing w:after="0"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171F6F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Информация об </w:t>
      </w:r>
      <w:r w:rsidR="00CD633A" w:rsidRPr="00171F6F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авторах</w:t>
      </w:r>
    </w:p>
    <w:p w14:paraId="48395252" w14:textId="7117FF60" w:rsidR="00855F78" w:rsidRPr="00AE0513" w:rsidRDefault="00BE1FFB" w:rsidP="003F31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Дорофеева Людмил</w:t>
      </w:r>
      <w:r w:rsidR="00855F78" w:rsidRPr="00171F6F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 xml:space="preserve"> Владимировна</w:t>
      </w:r>
      <w:r w:rsidR="00855F78" w:rsidRPr="00171F6F">
        <w:rPr>
          <w:rFonts w:ascii="Times New Roman" w:hAnsi="Times New Roman"/>
          <w:sz w:val="24"/>
          <w:szCs w:val="24"/>
        </w:rPr>
        <w:t xml:space="preserve"> (Россия, г. </w:t>
      </w:r>
      <w:r>
        <w:rPr>
          <w:rFonts w:ascii="Times New Roman" w:hAnsi="Times New Roman"/>
          <w:sz w:val="24"/>
          <w:szCs w:val="24"/>
        </w:rPr>
        <w:t>Санкт-Петербург</w:t>
      </w:r>
      <w:r w:rsidR="00855F78" w:rsidRPr="00171F6F">
        <w:rPr>
          <w:rFonts w:ascii="Times New Roman" w:hAnsi="Times New Roman"/>
          <w:sz w:val="24"/>
          <w:szCs w:val="24"/>
        </w:rPr>
        <w:t xml:space="preserve">) – </w:t>
      </w:r>
      <w:r>
        <w:rPr>
          <w:rFonts w:ascii="Times New Roman" w:hAnsi="Times New Roman"/>
          <w:sz w:val="24"/>
          <w:szCs w:val="24"/>
        </w:rPr>
        <w:t xml:space="preserve">старший </w:t>
      </w:r>
      <w:r w:rsidR="00855F78" w:rsidRPr="00171F6F">
        <w:rPr>
          <w:rFonts w:ascii="Times New Roman" w:hAnsi="Times New Roman"/>
          <w:sz w:val="24"/>
          <w:szCs w:val="24"/>
        </w:rPr>
        <w:t xml:space="preserve">научный сотрудник, Федеральное государственное бюджетное учреждение науки </w:t>
      </w:r>
      <w:r>
        <w:rPr>
          <w:rFonts w:ascii="Times New Roman" w:hAnsi="Times New Roman"/>
          <w:sz w:val="24"/>
          <w:szCs w:val="24"/>
        </w:rPr>
        <w:t>Институт проблем региональной экономики</w:t>
      </w:r>
      <w:r w:rsidR="00855F78" w:rsidRPr="00171F6F">
        <w:rPr>
          <w:rFonts w:ascii="Times New Roman" w:hAnsi="Times New Roman"/>
          <w:sz w:val="24"/>
          <w:szCs w:val="24"/>
        </w:rPr>
        <w:t xml:space="preserve"> РАН (1</w:t>
      </w:r>
      <w:r>
        <w:rPr>
          <w:rFonts w:ascii="Times New Roman" w:hAnsi="Times New Roman"/>
          <w:sz w:val="24"/>
          <w:szCs w:val="24"/>
        </w:rPr>
        <w:t>9</w:t>
      </w:r>
      <w:r w:rsidR="00855F78" w:rsidRPr="00171F6F">
        <w:rPr>
          <w:rFonts w:ascii="Times New Roman" w:hAnsi="Times New Roman"/>
          <w:sz w:val="24"/>
          <w:szCs w:val="24"/>
        </w:rPr>
        <w:t>001</w:t>
      </w:r>
      <w:r>
        <w:rPr>
          <w:rFonts w:ascii="Times New Roman" w:hAnsi="Times New Roman"/>
          <w:sz w:val="24"/>
          <w:szCs w:val="24"/>
        </w:rPr>
        <w:t>3</w:t>
      </w:r>
      <w:r w:rsidR="00855F78" w:rsidRPr="00171F6F">
        <w:rPr>
          <w:rFonts w:ascii="Times New Roman" w:hAnsi="Times New Roman"/>
          <w:sz w:val="24"/>
          <w:szCs w:val="24"/>
        </w:rPr>
        <w:t xml:space="preserve">, Россия, г. </w:t>
      </w:r>
      <w:r>
        <w:rPr>
          <w:rFonts w:ascii="Times New Roman" w:hAnsi="Times New Roman"/>
          <w:sz w:val="24"/>
          <w:szCs w:val="24"/>
        </w:rPr>
        <w:t>Санкт-Петербург</w:t>
      </w:r>
      <w:r w:rsidR="00855F78" w:rsidRPr="00171F6F">
        <w:rPr>
          <w:rFonts w:ascii="Times New Roman" w:hAnsi="Times New Roman"/>
          <w:sz w:val="24"/>
          <w:szCs w:val="24"/>
        </w:rPr>
        <w:t xml:space="preserve">, ул. </w:t>
      </w:r>
      <w:r>
        <w:rPr>
          <w:rFonts w:ascii="Times New Roman" w:hAnsi="Times New Roman"/>
          <w:sz w:val="24"/>
          <w:szCs w:val="24"/>
        </w:rPr>
        <w:t>Серпуховская</w:t>
      </w:r>
      <w:r w:rsidR="00855F78" w:rsidRPr="00AE0513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855F78" w:rsidRPr="00171F6F">
        <w:rPr>
          <w:rFonts w:ascii="Times New Roman" w:hAnsi="Times New Roman"/>
          <w:sz w:val="24"/>
          <w:szCs w:val="24"/>
        </w:rPr>
        <w:t>д</w:t>
      </w:r>
      <w:r w:rsidR="00855F78" w:rsidRPr="00AE0513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AE0513">
        <w:rPr>
          <w:rFonts w:ascii="Times New Roman" w:hAnsi="Times New Roman"/>
          <w:sz w:val="24"/>
          <w:szCs w:val="24"/>
          <w:lang w:val="en-US"/>
        </w:rPr>
        <w:t>38</w:t>
      </w:r>
      <w:r w:rsidR="00855F78" w:rsidRPr="00AE0513">
        <w:rPr>
          <w:rFonts w:ascii="Times New Roman" w:hAnsi="Times New Roman"/>
          <w:sz w:val="24"/>
          <w:szCs w:val="24"/>
          <w:lang w:val="en-US"/>
        </w:rPr>
        <w:t xml:space="preserve">), </w:t>
      </w:r>
      <w:r w:rsidR="00855F78" w:rsidRPr="00171F6F">
        <w:rPr>
          <w:rFonts w:ascii="Times New Roman" w:hAnsi="Times New Roman"/>
          <w:sz w:val="24"/>
          <w:szCs w:val="24"/>
          <w:lang w:val="en-US"/>
        </w:rPr>
        <w:t>e</w:t>
      </w:r>
      <w:r w:rsidR="00855F78" w:rsidRPr="00AE0513">
        <w:rPr>
          <w:rFonts w:ascii="Times New Roman" w:hAnsi="Times New Roman"/>
          <w:sz w:val="24"/>
          <w:szCs w:val="24"/>
          <w:lang w:val="en-US"/>
        </w:rPr>
        <w:t>-</w:t>
      </w:r>
      <w:r w:rsidR="00855F78" w:rsidRPr="00171F6F">
        <w:rPr>
          <w:rFonts w:ascii="Times New Roman" w:hAnsi="Times New Roman"/>
          <w:sz w:val="24"/>
          <w:szCs w:val="24"/>
          <w:lang w:val="en-US"/>
        </w:rPr>
        <w:t>mail</w:t>
      </w:r>
      <w:r w:rsidR="00855F78" w:rsidRPr="00AE0513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10" w:history="1">
        <w:r w:rsidRPr="000D72F9">
          <w:rPr>
            <w:rStyle w:val="a6"/>
            <w:rFonts w:ascii="Times New Roman" w:hAnsi="Times New Roman"/>
            <w:sz w:val="24"/>
            <w:szCs w:val="24"/>
            <w:lang w:val="en-US"/>
          </w:rPr>
          <w:t>dorofeevalucy</w:t>
        </w:r>
        <w:r w:rsidRPr="00AE0513">
          <w:rPr>
            <w:rStyle w:val="a6"/>
            <w:rFonts w:ascii="Times New Roman" w:hAnsi="Times New Roman"/>
            <w:sz w:val="24"/>
            <w:szCs w:val="24"/>
            <w:lang w:val="en-US"/>
          </w:rPr>
          <w:t>@</w:t>
        </w:r>
        <w:r w:rsidRPr="000D72F9">
          <w:rPr>
            <w:rStyle w:val="a6"/>
            <w:rFonts w:ascii="Times New Roman" w:hAnsi="Times New Roman"/>
            <w:sz w:val="24"/>
            <w:szCs w:val="24"/>
            <w:lang w:val="en-US"/>
          </w:rPr>
          <w:t>gmail.com</w:t>
        </w:r>
      </w:hyperlink>
      <w:r w:rsidR="003F316C" w:rsidRPr="00AE0513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60BF6548" w14:textId="0D3CC536" w:rsidR="003F316C" w:rsidRDefault="003F316C" w:rsidP="003F31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40CBED89" w14:textId="77777777" w:rsidR="004D4867" w:rsidRPr="004D4867" w:rsidRDefault="004D4867" w:rsidP="004D4867">
      <w:pPr>
        <w:spacing w:after="0" w:line="240" w:lineRule="auto"/>
        <w:ind w:firstLine="709"/>
        <w:jc w:val="right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4D4867">
        <w:rPr>
          <w:rFonts w:ascii="Times New Roman" w:hAnsi="Times New Roman"/>
          <w:b/>
          <w:bCs/>
          <w:sz w:val="24"/>
          <w:szCs w:val="24"/>
          <w:lang w:val="en-US"/>
        </w:rPr>
        <w:t>Dorofeeva L.V.</w:t>
      </w:r>
    </w:p>
    <w:p w14:paraId="6A646E78" w14:textId="77777777" w:rsidR="004D4867" w:rsidRPr="004D4867" w:rsidRDefault="004D4867" w:rsidP="004D4867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4D4867">
        <w:rPr>
          <w:rFonts w:ascii="Times New Roman" w:hAnsi="Times New Roman"/>
          <w:b/>
          <w:bCs/>
          <w:sz w:val="24"/>
          <w:szCs w:val="24"/>
          <w:lang w:val="en-US"/>
        </w:rPr>
        <w:t>TRENDS IN CONSUMER BEHAVIOR AGAINST THE BACKGROUND OF EXTERNAL SHOCKS</w:t>
      </w:r>
    </w:p>
    <w:p w14:paraId="29EED94C" w14:textId="77777777" w:rsidR="004D4867" w:rsidRPr="004D4867" w:rsidRDefault="004D4867" w:rsidP="004D486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4B12FB12" w14:textId="0A60BBFD" w:rsidR="004D4867" w:rsidRPr="004D4867" w:rsidRDefault="004D4867" w:rsidP="004D486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D4867">
        <w:rPr>
          <w:rFonts w:ascii="Times New Roman" w:hAnsi="Times New Roman"/>
          <w:b/>
          <w:bCs/>
          <w:sz w:val="24"/>
          <w:szCs w:val="24"/>
          <w:lang w:val="en-US"/>
        </w:rPr>
        <w:t>Abstract.</w:t>
      </w:r>
      <w:r w:rsidRPr="004D4867">
        <w:rPr>
          <w:rFonts w:ascii="Times New Roman" w:hAnsi="Times New Roman"/>
          <w:sz w:val="24"/>
          <w:szCs w:val="24"/>
          <w:lang w:val="en-US"/>
        </w:rPr>
        <w:t xml:space="preserve"> The paper considers the issues of changing consumer behavior patterns under the influence of the pandemic of a new coronavirus infection and sanctions pressure, </w:t>
      </w:r>
      <w:proofErr w:type="gramStart"/>
      <w:r w:rsidRPr="004D4867">
        <w:rPr>
          <w:rFonts w:ascii="Times New Roman" w:hAnsi="Times New Roman"/>
          <w:sz w:val="24"/>
          <w:szCs w:val="24"/>
          <w:lang w:val="en-US"/>
        </w:rPr>
        <w:t>in order to</w:t>
      </w:r>
      <w:proofErr w:type="gramEnd"/>
      <w:r w:rsidRPr="004D4867">
        <w:rPr>
          <w:rFonts w:ascii="Times New Roman" w:hAnsi="Times New Roman"/>
          <w:sz w:val="24"/>
          <w:szCs w:val="24"/>
          <w:lang w:val="en-US"/>
        </w:rPr>
        <w:t xml:space="preserve"> form scenarios for overcoming negative effects.</w:t>
      </w:r>
    </w:p>
    <w:p w14:paraId="6ACB5A1B" w14:textId="3236BFCD" w:rsidR="004D4867" w:rsidRPr="00171F6F" w:rsidRDefault="004D4867" w:rsidP="004D486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D4867">
        <w:rPr>
          <w:rFonts w:ascii="Times New Roman" w:hAnsi="Times New Roman"/>
          <w:b/>
          <w:bCs/>
          <w:sz w:val="24"/>
          <w:szCs w:val="24"/>
          <w:lang w:val="en-US"/>
        </w:rPr>
        <w:t>Keywords:</w:t>
      </w:r>
      <w:r w:rsidRPr="004D4867">
        <w:rPr>
          <w:rFonts w:ascii="Times New Roman" w:hAnsi="Times New Roman"/>
          <w:sz w:val="24"/>
          <w:szCs w:val="24"/>
          <w:lang w:val="en-US"/>
        </w:rPr>
        <w:t xml:space="preserve"> regions of Russia, coronavirus, clustering, consumer models, socio-economic trends, income of the population, savings.</w:t>
      </w:r>
    </w:p>
    <w:p w14:paraId="2A42BB85" w14:textId="77777777" w:rsidR="00ED1FC7" w:rsidRPr="00183DCB" w:rsidRDefault="00ED1FC7" w:rsidP="00C8663D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highlight w:val="yellow"/>
          <w:lang w:val="en-US"/>
        </w:rPr>
      </w:pPr>
    </w:p>
    <w:p w14:paraId="5D209C54" w14:textId="77777777" w:rsidR="008D379A" w:rsidRPr="004D4867" w:rsidRDefault="008D379A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4D4867">
        <w:rPr>
          <w:rFonts w:ascii="Times New Roman" w:hAnsi="Times New Roman"/>
          <w:b/>
          <w:sz w:val="24"/>
          <w:szCs w:val="24"/>
          <w:lang w:val="en-US"/>
        </w:rPr>
        <w:lastRenderedPageBreak/>
        <w:t>About the author</w:t>
      </w:r>
      <w:r w:rsidR="00CD633A" w:rsidRPr="004D4867">
        <w:rPr>
          <w:rFonts w:ascii="Times New Roman" w:hAnsi="Times New Roman"/>
          <w:b/>
          <w:sz w:val="24"/>
          <w:szCs w:val="24"/>
          <w:lang w:val="en-US"/>
        </w:rPr>
        <w:t>s</w:t>
      </w:r>
    </w:p>
    <w:p w14:paraId="471A3980" w14:textId="43319986" w:rsidR="0056333E" w:rsidRPr="00183DCB" w:rsidRDefault="004D4867" w:rsidP="003F31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  <w:lang w:val="en-US"/>
        </w:rPr>
      </w:pPr>
      <w:r w:rsidRPr="004D4867">
        <w:rPr>
          <w:rFonts w:ascii="Times New Roman" w:hAnsi="Times New Roman"/>
          <w:sz w:val="24"/>
          <w:szCs w:val="24"/>
          <w:lang w:val="en-US"/>
        </w:rPr>
        <w:t xml:space="preserve">Dorofeeva Lyudmila Vladimirovna (Russia, Saint Petersburg) - Senior Researcher, Federal State Budgetary Institution of Science Institute of Problems of Regional Economics of the Russian Academy of Sciences (190013, Russia, Saint Petersburg, </w:t>
      </w:r>
      <w:proofErr w:type="spellStart"/>
      <w:r w:rsidRPr="004D4867">
        <w:rPr>
          <w:rFonts w:ascii="Times New Roman" w:hAnsi="Times New Roman"/>
          <w:sz w:val="24"/>
          <w:szCs w:val="24"/>
          <w:lang w:val="en-US"/>
        </w:rPr>
        <w:t>Serpukhovskaya</w:t>
      </w:r>
      <w:proofErr w:type="spellEnd"/>
      <w:r w:rsidRPr="004D4867">
        <w:rPr>
          <w:rFonts w:ascii="Times New Roman" w:hAnsi="Times New Roman"/>
          <w:sz w:val="24"/>
          <w:szCs w:val="24"/>
          <w:lang w:val="en-US"/>
        </w:rPr>
        <w:t xml:space="preserve"> str., 38), e–mail: dorofeevalucy@gmail.com</w:t>
      </w:r>
    </w:p>
    <w:p w14:paraId="7027E6CA" w14:textId="77777777" w:rsidR="0056333E" w:rsidRPr="00183DCB" w:rsidRDefault="0056333E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highlight w:val="yellow"/>
          <w:lang w:val="en-US"/>
        </w:rPr>
      </w:pPr>
    </w:p>
    <w:p w14:paraId="45CDC041" w14:textId="77777777" w:rsidR="00B11929" w:rsidRPr="00171F6F" w:rsidRDefault="00BF798B" w:rsidP="00C866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4D4867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56C92B38" w14:textId="77777777" w:rsidR="004D4867" w:rsidRPr="00AE0513" w:rsidRDefault="004D4867" w:rsidP="004D4867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D4867">
        <w:rPr>
          <w:rFonts w:ascii="Times New Roman" w:hAnsi="Times New Roman"/>
          <w:sz w:val="24"/>
          <w:szCs w:val="24"/>
          <w:lang w:val="en-US"/>
        </w:rPr>
        <w:t xml:space="preserve">1. Roslyakova N.A., Dorofeeva L.V. The influence of the Koran crisis on the dynamics of consumer prices in the regions of Russia // Regional economy. </w:t>
      </w:r>
      <w:r w:rsidRPr="00AE0513">
        <w:rPr>
          <w:rFonts w:ascii="Times New Roman" w:hAnsi="Times New Roman"/>
          <w:sz w:val="24"/>
          <w:szCs w:val="24"/>
          <w:lang w:val="en-US"/>
        </w:rPr>
        <w:t>South of Russia. 2020. Vol. 8. No. 4. pp. 64-75.</w:t>
      </w:r>
    </w:p>
    <w:p w14:paraId="7E8BDA68" w14:textId="77777777" w:rsidR="004D4867" w:rsidRPr="004D4867" w:rsidRDefault="004D4867" w:rsidP="004D4867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AE0513">
        <w:rPr>
          <w:rFonts w:ascii="Times New Roman" w:hAnsi="Times New Roman"/>
          <w:sz w:val="24"/>
          <w:szCs w:val="24"/>
          <w:lang w:val="en-US"/>
        </w:rPr>
        <w:t xml:space="preserve">2. Roslyakova N.A., Mitrofanova I.V., Dorofeeva L.V. </w:t>
      </w:r>
      <w:proofErr w:type="spellStart"/>
      <w:r w:rsidRPr="00AE0513">
        <w:rPr>
          <w:rFonts w:ascii="Times New Roman" w:hAnsi="Times New Roman"/>
          <w:sz w:val="24"/>
          <w:szCs w:val="24"/>
          <w:lang w:val="en-US"/>
        </w:rPr>
        <w:t>Coronacrisis</w:t>
      </w:r>
      <w:proofErr w:type="spellEnd"/>
      <w:r w:rsidRPr="00AE0513">
        <w:rPr>
          <w:rFonts w:ascii="Times New Roman" w:hAnsi="Times New Roman"/>
          <w:sz w:val="24"/>
          <w:szCs w:val="24"/>
          <w:lang w:val="en-US"/>
        </w:rPr>
        <w:t xml:space="preserve"> and transformation of consumer demand in the regions of Russia // Economics: Yesterday, today, tomorrow, 2020. </w:t>
      </w:r>
      <w:r w:rsidRPr="004D4867">
        <w:rPr>
          <w:rFonts w:ascii="Times New Roman" w:hAnsi="Times New Roman"/>
          <w:sz w:val="24"/>
          <w:szCs w:val="24"/>
        </w:rPr>
        <w:t>No. 5A (10), pp. 448-468. DOI: 10.34670/AR.2020.46.64.052</w:t>
      </w:r>
    </w:p>
    <w:p w14:paraId="087F231D" w14:textId="5646CA88" w:rsidR="00B11929" w:rsidRPr="00AE0513" w:rsidRDefault="004D4867" w:rsidP="004D4867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AE0513">
        <w:rPr>
          <w:rFonts w:ascii="Times New Roman" w:hAnsi="Times New Roman"/>
          <w:sz w:val="24"/>
          <w:szCs w:val="24"/>
          <w:lang w:val="en-US"/>
        </w:rPr>
        <w:t xml:space="preserve">3. Regions of Russia: socio-economic indicators. 2022 [Electronic resource]. Access mode: http://www.gks.ru /, accessed </w:t>
      </w:r>
      <w:proofErr w:type="gramStart"/>
      <w:r w:rsidRPr="00AE0513">
        <w:rPr>
          <w:rFonts w:ascii="Times New Roman" w:hAnsi="Times New Roman"/>
          <w:sz w:val="24"/>
          <w:szCs w:val="24"/>
          <w:lang w:val="en-US"/>
        </w:rPr>
        <w:t>20.02.2023</w:t>
      </w:r>
      <w:proofErr w:type="gramEnd"/>
    </w:p>
    <w:sectPr w:rsidR="00B11929" w:rsidRPr="00AE0513" w:rsidSect="00920B6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A8AB76" w14:textId="77777777" w:rsidR="00A23DC9" w:rsidRDefault="00A23DC9" w:rsidP="00CF7A28">
      <w:pPr>
        <w:spacing w:after="0" w:line="240" w:lineRule="auto"/>
      </w:pPr>
      <w:r>
        <w:separator/>
      </w:r>
    </w:p>
  </w:endnote>
  <w:endnote w:type="continuationSeparator" w:id="0">
    <w:p w14:paraId="3855EE54" w14:textId="77777777" w:rsidR="00A23DC9" w:rsidRDefault="00A23DC9" w:rsidP="00CF7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097A13" w14:textId="77777777" w:rsidR="00A23DC9" w:rsidRDefault="00A23DC9" w:rsidP="00CF7A28">
      <w:pPr>
        <w:spacing w:after="0" w:line="240" w:lineRule="auto"/>
      </w:pPr>
      <w:r>
        <w:separator/>
      </w:r>
    </w:p>
  </w:footnote>
  <w:footnote w:type="continuationSeparator" w:id="0">
    <w:p w14:paraId="205A9ED5" w14:textId="77777777" w:rsidR="00A23DC9" w:rsidRDefault="00A23DC9" w:rsidP="00CF7A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FE0C8B"/>
    <w:multiLevelType w:val="hybridMultilevel"/>
    <w:tmpl w:val="DAD81B5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66540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A0C"/>
    <w:rsid w:val="00002810"/>
    <w:rsid w:val="00003ACE"/>
    <w:rsid w:val="00003D54"/>
    <w:rsid w:val="00003DD3"/>
    <w:rsid w:val="000070B8"/>
    <w:rsid w:val="000131AE"/>
    <w:rsid w:val="000135C5"/>
    <w:rsid w:val="00014B33"/>
    <w:rsid w:val="00020CAF"/>
    <w:rsid w:val="00024080"/>
    <w:rsid w:val="00033AB0"/>
    <w:rsid w:val="00036F7D"/>
    <w:rsid w:val="0004182A"/>
    <w:rsid w:val="00045671"/>
    <w:rsid w:val="00045C4E"/>
    <w:rsid w:val="00053CFB"/>
    <w:rsid w:val="000555DE"/>
    <w:rsid w:val="000568E6"/>
    <w:rsid w:val="0005760D"/>
    <w:rsid w:val="00057913"/>
    <w:rsid w:val="00057FC6"/>
    <w:rsid w:val="00063462"/>
    <w:rsid w:val="00067743"/>
    <w:rsid w:val="00070BF1"/>
    <w:rsid w:val="00080A85"/>
    <w:rsid w:val="00085996"/>
    <w:rsid w:val="00085B82"/>
    <w:rsid w:val="00091AF9"/>
    <w:rsid w:val="000954C9"/>
    <w:rsid w:val="00095BDC"/>
    <w:rsid w:val="00096B8D"/>
    <w:rsid w:val="000A22AE"/>
    <w:rsid w:val="000A2BF8"/>
    <w:rsid w:val="000B7676"/>
    <w:rsid w:val="000C013C"/>
    <w:rsid w:val="000C48B1"/>
    <w:rsid w:val="000C6416"/>
    <w:rsid w:val="000D29C1"/>
    <w:rsid w:val="000D4F8D"/>
    <w:rsid w:val="000D4FEC"/>
    <w:rsid w:val="000D5DAA"/>
    <w:rsid w:val="000E603B"/>
    <w:rsid w:val="000F7E97"/>
    <w:rsid w:val="00102E25"/>
    <w:rsid w:val="00114D9A"/>
    <w:rsid w:val="0011647E"/>
    <w:rsid w:val="00116B25"/>
    <w:rsid w:val="00116F35"/>
    <w:rsid w:val="00117152"/>
    <w:rsid w:val="00120D7A"/>
    <w:rsid w:val="001229C7"/>
    <w:rsid w:val="00122B77"/>
    <w:rsid w:val="001248FA"/>
    <w:rsid w:val="00127E18"/>
    <w:rsid w:val="0013223A"/>
    <w:rsid w:val="00141FE3"/>
    <w:rsid w:val="00146178"/>
    <w:rsid w:val="001474E6"/>
    <w:rsid w:val="00154619"/>
    <w:rsid w:val="00154942"/>
    <w:rsid w:val="001552CA"/>
    <w:rsid w:val="0015760A"/>
    <w:rsid w:val="001607D4"/>
    <w:rsid w:val="00162A75"/>
    <w:rsid w:val="0016385D"/>
    <w:rsid w:val="00166AC5"/>
    <w:rsid w:val="00171F6F"/>
    <w:rsid w:val="00172AAE"/>
    <w:rsid w:val="00181A0C"/>
    <w:rsid w:val="00181FC0"/>
    <w:rsid w:val="00183DCB"/>
    <w:rsid w:val="001917E0"/>
    <w:rsid w:val="001A2624"/>
    <w:rsid w:val="001B2AF8"/>
    <w:rsid w:val="001B3554"/>
    <w:rsid w:val="001B441B"/>
    <w:rsid w:val="001B6CB4"/>
    <w:rsid w:val="001C04AF"/>
    <w:rsid w:val="001C219A"/>
    <w:rsid w:val="001C2EDE"/>
    <w:rsid w:val="001C478C"/>
    <w:rsid w:val="001D110D"/>
    <w:rsid w:val="001D6A10"/>
    <w:rsid w:val="001E1804"/>
    <w:rsid w:val="001E248B"/>
    <w:rsid w:val="001E2D93"/>
    <w:rsid w:val="001E3C96"/>
    <w:rsid w:val="001E54E9"/>
    <w:rsid w:val="001F3743"/>
    <w:rsid w:val="001F43FB"/>
    <w:rsid w:val="002020FA"/>
    <w:rsid w:val="00204DB6"/>
    <w:rsid w:val="00211772"/>
    <w:rsid w:val="002223F1"/>
    <w:rsid w:val="0022364D"/>
    <w:rsid w:val="0022764F"/>
    <w:rsid w:val="00231CB1"/>
    <w:rsid w:val="002365AF"/>
    <w:rsid w:val="0024061F"/>
    <w:rsid w:val="002419E3"/>
    <w:rsid w:val="002501B1"/>
    <w:rsid w:val="002505CA"/>
    <w:rsid w:val="00256D2F"/>
    <w:rsid w:val="00264ABE"/>
    <w:rsid w:val="00267274"/>
    <w:rsid w:val="00273085"/>
    <w:rsid w:val="0027703F"/>
    <w:rsid w:val="00277E13"/>
    <w:rsid w:val="00281283"/>
    <w:rsid w:val="00284E25"/>
    <w:rsid w:val="002859B1"/>
    <w:rsid w:val="002869AE"/>
    <w:rsid w:val="00296B54"/>
    <w:rsid w:val="002A3191"/>
    <w:rsid w:val="002B6D4A"/>
    <w:rsid w:val="002D2293"/>
    <w:rsid w:val="002D2535"/>
    <w:rsid w:val="002E2D46"/>
    <w:rsid w:val="002E3A31"/>
    <w:rsid w:val="002E70C4"/>
    <w:rsid w:val="00302B6F"/>
    <w:rsid w:val="00302E14"/>
    <w:rsid w:val="00310F6A"/>
    <w:rsid w:val="003121E9"/>
    <w:rsid w:val="003169CB"/>
    <w:rsid w:val="003308AA"/>
    <w:rsid w:val="00333AE5"/>
    <w:rsid w:val="0033502D"/>
    <w:rsid w:val="003357C4"/>
    <w:rsid w:val="00340802"/>
    <w:rsid w:val="00344793"/>
    <w:rsid w:val="003468B2"/>
    <w:rsid w:val="003512FD"/>
    <w:rsid w:val="00355C7F"/>
    <w:rsid w:val="00362BF5"/>
    <w:rsid w:val="0036404C"/>
    <w:rsid w:val="00365016"/>
    <w:rsid w:val="003661D0"/>
    <w:rsid w:val="003732DC"/>
    <w:rsid w:val="003748D2"/>
    <w:rsid w:val="00374AD4"/>
    <w:rsid w:val="00380533"/>
    <w:rsid w:val="003865F4"/>
    <w:rsid w:val="00392C21"/>
    <w:rsid w:val="003934C9"/>
    <w:rsid w:val="00394738"/>
    <w:rsid w:val="003955E5"/>
    <w:rsid w:val="003A65B6"/>
    <w:rsid w:val="003A6F9A"/>
    <w:rsid w:val="003A78D1"/>
    <w:rsid w:val="003A796F"/>
    <w:rsid w:val="003B2A2A"/>
    <w:rsid w:val="003B5FF4"/>
    <w:rsid w:val="003B787B"/>
    <w:rsid w:val="003C14EC"/>
    <w:rsid w:val="003C3E7A"/>
    <w:rsid w:val="003C453E"/>
    <w:rsid w:val="003C76FA"/>
    <w:rsid w:val="003D0184"/>
    <w:rsid w:val="003D1C6D"/>
    <w:rsid w:val="003D407E"/>
    <w:rsid w:val="003D4425"/>
    <w:rsid w:val="003D55C2"/>
    <w:rsid w:val="003E0745"/>
    <w:rsid w:val="003E19A8"/>
    <w:rsid w:val="003F0298"/>
    <w:rsid w:val="003F1385"/>
    <w:rsid w:val="003F316C"/>
    <w:rsid w:val="003F67BA"/>
    <w:rsid w:val="003F6FE6"/>
    <w:rsid w:val="00400DC1"/>
    <w:rsid w:val="00402BBC"/>
    <w:rsid w:val="00406A64"/>
    <w:rsid w:val="00410A06"/>
    <w:rsid w:val="0041345C"/>
    <w:rsid w:val="00413E10"/>
    <w:rsid w:val="00415E85"/>
    <w:rsid w:val="00416B71"/>
    <w:rsid w:val="004229BC"/>
    <w:rsid w:val="00424CEF"/>
    <w:rsid w:val="00425956"/>
    <w:rsid w:val="00426DEF"/>
    <w:rsid w:val="00430881"/>
    <w:rsid w:val="004330CC"/>
    <w:rsid w:val="00435DC2"/>
    <w:rsid w:val="00441504"/>
    <w:rsid w:val="004514BA"/>
    <w:rsid w:val="00456EAD"/>
    <w:rsid w:val="00462AEC"/>
    <w:rsid w:val="00463209"/>
    <w:rsid w:val="004650D3"/>
    <w:rsid w:val="00466EDE"/>
    <w:rsid w:val="00474940"/>
    <w:rsid w:val="004826F9"/>
    <w:rsid w:val="0049336D"/>
    <w:rsid w:val="004A0E75"/>
    <w:rsid w:val="004A3D06"/>
    <w:rsid w:val="004A3E2C"/>
    <w:rsid w:val="004A4627"/>
    <w:rsid w:val="004A6379"/>
    <w:rsid w:val="004B78FC"/>
    <w:rsid w:val="004C60BF"/>
    <w:rsid w:val="004C7F1F"/>
    <w:rsid w:val="004D0DA3"/>
    <w:rsid w:val="004D2781"/>
    <w:rsid w:val="004D35C6"/>
    <w:rsid w:val="004D4867"/>
    <w:rsid w:val="004D67BC"/>
    <w:rsid w:val="004D69E8"/>
    <w:rsid w:val="004E173A"/>
    <w:rsid w:val="004E1A02"/>
    <w:rsid w:val="004E354D"/>
    <w:rsid w:val="00501C76"/>
    <w:rsid w:val="00503750"/>
    <w:rsid w:val="005063CC"/>
    <w:rsid w:val="00507123"/>
    <w:rsid w:val="005100EE"/>
    <w:rsid w:val="00512168"/>
    <w:rsid w:val="005153C4"/>
    <w:rsid w:val="00517D4E"/>
    <w:rsid w:val="00520570"/>
    <w:rsid w:val="005255B8"/>
    <w:rsid w:val="00531021"/>
    <w:rsid w:val="00536218"/>
    <w:rsid w:val="00540218"/>
    <w:rsid w:val="005415D7"/>
    <w:rsid w:val="005423D2"/>
    <w:rsid w:val="00542535"/>
    <w:rsid w:val="00546C8F"/>
    <w:rsid w:val="005504A4"/>
    <w:rsid w:val="005524F2"/>
    <w:rsid w:val="00555F63"/>
    <w:rsid w:val="005616BB"/>
    <w:rsid w:val="00562985"/>
    <w:rsid w:val="0056333E"/>
    <w:rsid w:val="00566C44"/>
    <w:rsid w:val="00582EA7"/>
    <w:rsid w:val="00583ECB"/>
    <w:rsid w:val="0058741B"/>
    <w:rsid w:val="00587D28"/>
    <w:rsid w:val="005970CE"/>
    <w:rsid w:val="005A301C"/>
    <w:rsid w:val="005A5E70"/>
    <w:rsid w:val="005A6AEA"/>
    <w:rsid w:val="005B7559"/>
    <w:rsid w:val="005C6AF6"/>
    <w:rsid w:val="005D26C2"/>
    <w:rsid w:val="005D49DF"/>
    <w:rsid w:val="005D4F15"/>
    <w:rsid w:val="005D7652"/>
    <w:rsid w:val="005E3529"/>
    <w:rsid w:val="005E40BD"/>
    <w:rsid w:val="005E4A1D"/>
    <w:rsid w:val="005E7014"/>
    <w:rsid w:val="005F3BE3"/>
    <w:rsid w:val="0061227A"/>
    <w:rsid w:val="006134CB"/>
    <w:rsid w:val="006264A5"/>
    <w:rsid w:val="00641EB1"/>
    <w:rsid w:val="00653F5E"/>
    <w:rsid w:val="0066356F"/>
    <w:rsid w:val="006658BE"/>
    <w:rsid w:val="006673B4"/>
    <w:rsid w:val="006707F9"/>
    <w:rsid w:val="00670AE5"/>
    <w:rsid w:val="00670FD0"/>
    <w:rsid w:val="0067454A"/>
    <w:rsid w:val="00676ABE"/>
    <w:rsid w:val="00684B55"/>
    <w:rsid w:val="0068793B"/>
    <w:rsid w:val="006A3796"/>
    <w:rsid w:val="006A410A"/>
    <w:rsid w:val="006B0DC6"/>
    <w:rsid w:val="006B2E1C"/>
    <w:rsid w:val="006B50EE"/>
    <w:rsid w:val="006B78B9"/>
    <w:rsid w:val="006B7A8F"/>
    <w:rsid w:val="006C06D3"/>
    <w:rsid w:val="006C1710"/>
    <w:rsid w:val="006C2FEB"/>
    <w:rsid w:val="006C7FC4"/>
    <w:rsid w:val="006D34CC"/>
    <w:rsid w:val="006D74D0"/>
    <w:rsid w:val="006E118E"/>
    <w:rsid w:val="006E1D99"/>
    <w:rsid w:val="006E35C2"/>
    <w:rsid w:val="006E3C47"/>
    <w:rsid w:val="006E6E05"/>
    <w:rsid w:val="006E6EBA"/>
    <w:rsid w:val="006F4772"/>
    <w:rsid w:val="007049FC"/>
    <w:rsid w:val="00706F34"/>
    <w:rsid w:val="00715B5E"/>
    <w:rsid w:val="00720242"/>
    <w:rsid w:val="0072270D"/>
    <w:rsid w:val="00725230"/>
    <w:rsid w:val="00725447"/>
    <w:rsid w:val="007306F7"/>
    <w:rsid w:val="00730B06"/>
    <w:rsid w:val="00730FB4"/>
    <w:rsid w:val="007357CD"/>
    <w:rsid w:val="00742233"/>
    <w:rsid w:val="007526C3"/>
    <w:rsid w:val="00761991"/>
    <w:rsid w:val="007752E8"/>
    <w:rsid w:val="00776624"/>
    <w:rsid w:val="00780BBD"/>
    <w:rsid w:val="007928D4"/>
    <w:rsid w:val="007A0E7F"/>
    <w:rsid w:val="007A2232"/>
    <w:rsid w:val="007A7F55"/>
    <w:rsid w:val="007B481D"/>
    <w:rsid w:val="007D0AA6"/>
    <w:rsid w:val="007E3C42"/>
    <w:rsid w:val="007F25CB"/>
    <w:rsid w:val="007F3F2D"/>
    <w:rsid w:val="007F449D"/>
    <w:rsid w:val="007F4F8E"/>
    <w:rsid w:val="007F7DE9"/>
    <w:rsid w:val="0080053B"/>
    <w:rsid w:val="00801F36"/>
    <w:rsid w:val="00804D84"/>
    <w:rsid w:val="008062ED"/>
    <w:rsid w:val="00810FDF"/>
    <w:rsid w:val="008126A5"/>
    <w:rsid w:val="00816563"/>
    <w:rsid w:val="00817017"/>
    <w:rsid w:val="00817675"/>
    <w:rsid w:val="00821A5E"/>
    <w:rsid w:val="00824AFA"/>
    <w:rsid w:val="00826884"/>
    <w:rsid w:val="00827B96"/>
    <w:rsid w:val="00834463"/>
    <w:rsid w:val="0083773B"/>
    <w:rsid w:val="00842774"/>
    <w:rsid w:val="008443FB"/>
    <w:rsid w:val="008508A4"/>
    <w:rsid w:val="00854CB9"/>
    <w:rsid w:val="00855369"/>
    <w:rsid w:val="00855F78"/>
    <w:rsid w:val="0085737F"/>
    <w:rsid w:val="008574FC"/>
    <w:rsid w:val="00861F92"/>
    <w:rsid w:val="008627A9"/>
    <w:rsid w:val="0086748B"/>
    <w:rsid w:val="00867DC9"/>
    <w:rsid w:val="00872944"/>
    <w:rsid w:val="00872E1F"/>
    <w:rsid w:val="008772D4"/>
    <w:rsid w:val="008773D3"/>
    <w:rsid w:val="00885D07"/>
    <w:rsid w:val="00895752"/>
    <w:rsid w:val="0089594B"/>
    <w:rsid w:val="008A0366"/>
    <w:rsid w:val="008A0EC4"/>
    <w:rsid w:val="008B1449"/>
    <w:rsid w:val="008C7705"/>
    <w:rsid w:val="008D049A"/>
    <w:rsid w:val="008D379A"/>
    <w:rsid w:val="008D57A2"/>
    <w:rsid w:val="008E43F3"/>
    <w:rsid w:val="008E7685"/>
    <w:rsid w:val="008F0A67"/>
    <w:rsid w:val="008F286B"/>
    <w:rsid w:val="00903B36"/>
    <w:rsid w:val="00905EF0"/>
    <w:rsid w:val="00920B6B"/>
    <w:rsid w:val="00920BF8"/>
    <w:rsid w:val="00920DC6"/>
    <w:rsid w:val="00922128"/>
    <w:rsid w:val="00922593"/>
    <w:rsid w:val="00924986"/>
    <w:rsid w:val="009260B1"/>
    <w:rsid w:val="009326DD"/>
    <w:rsid w:val="0093341E"/>
    <w:rsid w:val="0093702A"/>
    <w:rsid w:val="0094228E"/>
    <w:rsid w:val="009443C3"/>
    <w:rsid w:val="00944DB3"/>
    <w:rsid w:val="009452E0"/>
    <w:rsid w:val="0095008F"/>
    <w:rsid w:val="00950F40"/>
    <w:rsid w:val="00951090"/>
    <w:rsid w:val="009519DC"/>
    <w:rsid w:val="00951EA6"/>
    <w:rsid w:val="009529FE"/>
    <w:rsid w:val="00956302"/>
    <w:rsid w:val="009666E1"/>
    <w:rsid w:val="009716F7"/>
    <w:rsid w:val="00974083"/>
    <w:rsid w:val="00982EEC"/>
    <w:rsid w:val="009830C3"/>
    <w:rsid w:val="009867D2"/>
    <w:rsid w:val="00992AF9"/>
    <w:rsid w:val="009A694B"/>
    <w:rsid w:val="009B0C93"/>
    <w:rsid w:val="009B32AF"/>
    <w:rsid w:val="009B7CC1"/>
    <w:rsid w:val="009C1E0E"/>
    <w:rsid w:val="009C2CCF"/>
    <w:rsid w:val="009E4BD3"/>
    <w:rsid w:val="009E792C"/>
    <w:rsid w:val="009F1509"/>
    <w:rsid w:val="009F2BAB"/>
    <w:rsid w:val="009F68BD"/>
    <w:rsid w:val="00A02C52"/>
    <w:rsid w:val="00A057EE"/>
    <w:rsid w:val="00A0739A"/>
    <w:rsid w:val="00A165A9"/>
    <w:rsid w:val="00A16F63"/>
    <w:rsid w:val="00A17603"/>
    <w:rsid w:val="00A23DC9"/>
    <w:rsid w:val="00A26732"/>
    <w:rsid w:val="00A27D1C"/>
    <w:rsid w:val="00A31A30"/>
    <w:rsid w:val="00A323AC"/>
    <w:rsid w:val="00A36FB4"/>
    <w:rsid w:val="00A4672F"/>
    <w:rsid w:val="00A47BC1"/>
    <w:rsid w:val="00A5076F"/>
    <w:rsid w:val="00A6064E"/>
    <w:rsid w:val="00A70B9B"/>
    <w:rsid w:val="00A868D9"/>
    <w:rsid w:val="00A87519"/>
    <w:rsid w:val="00A91D53"/>
    <w:rsid w:val="00A972E5"/>
    <w:rsid w:val="00A97356"/>
    <w:rsid w:val="00AA0156"/>
    <w:rsid w:val="00AA2E24"/>
    <w:rsid w:val="00AA49F0"/>
    <w:rsid w:val="00AA6F09"/>
    <w:rsid w:val="00AB090A"/>
    <w:rsid w:val="00AB1603"/>
    <w:rsid w:val="00AC37D8"/>
    <w:rsid w:val="00AC4985"/>
    <w:rsid w:val="00AC55F4"/>
    <w:rsid w:val="00AC61D1"/>
    <w:rsid w:val="00AD759E"/>
    <w:rsid w:val="00AD7AF0"/>
    <w:rsid w:val="00AE0513"/>
    <w:rsid w:val="00AE0E8E"/>
    <w:rsid w:val="00AF15CB"/>
    <w:rsid w:val="00AF40BB"/>
    <w:rsid w:val="00B005D2"/>
    <w:rsid w:val="00B01167"/>
    <w:rsid w:val="00B03DCE"/>
    <w:rsid w:val="00B07263"/>
    <w:rsid w:val="00B11929"/>
    <w:rsid w:val="00B12574"/>
    <w:rsid w:val="00B12A1C"/>
    <w:rsid w:val="00B22619"/>
    <w:rsid w:val="00B2494A"/>
    <w:rsid w:val="00B45D32"/>
    <w:rsid w:val="00B46235"/>
    <w:rsid w:val="00B52745"/>
    <w:rsid w:val="00B54119"/>
    <w:rsid w:val="00B54DFD"/>
    <w:rsid w:val="00B6248D"/>
    <w:rsid w:val="00B64987"/>
    <w:rsid w:val="00B70038"/>
    <w:rsid w:val="00B73AE8"/>
    <w:rsid w:val="00B76D63"/>
    <w:rsid w:val="00B8036D"/>
    <w:rsid w:val="00B816F0"/>
    <w:rsid w:val="00B81C20"/>
    <w:rsid w:val="00B8292F"/>
    <w:rsid w:val="00B82F43"/>
    <w:rsid w:val="00B836DD"/>
    <w:rsid w:val="00B849F4"/>
    <w:rsid w:val="00B85AAB"/>
    <w:rsid w:val="00B870C0"/>
    <w:rsid w:val="00B937E8"/>
    <w:rsid w:val="00B97A29"/>
    <w:rsid w:val="00B97B93"/>
    <w:rsid w:val="00BA61EF"/>
    <w:rsid w:val="00BA794F"/>
    <w:rsid w:val="00BB3505"/>
    <w:rsid w:val="00BB5847"/>
    <w:rsid w:val="00BB74A7"/>
    <w:rsid w:val="00BB7D56"/>
    <w:rsid w:val="00BC20B6"/>
    <w:rsid w:val="00BC3552"/>
    <w:rsid w:val="00BC69B3"/>
    <w:rsid w:val="00BC7EE8"/>
    <w:rsid w:val="00BD7E77"/>
    <w:rsid w:val="00BE1FFB"/>
    <w:rsid w:val="00BF0DDA"/>
    <w:rsid w:val="00BF2FFE"/>
    <w:rsid w:val="00BF798B"/>
    <w:rsid w:val="00C02224"/>
    <w:rsid w:val="00C02F06"/>
    <w:rsid w:val="00C03812"/>
    <w:rsid w:val="00C061BE"/>
    <w:rsid w:val="00C17FD9"/>
    <w:rsid w:val="00C26611"/>
    <w:rsid w:val="00C2670B"/>
    <w:rsid w:val="00C27684"/>
    <w:rsid w:val="00C30117"/>
    <w:rsid w:val="00C33FDA"/>
    <w:rsid w:val="00C341FD"/>
    <w:rsid w:val="00C36586"/>
    <w:rsid w:val="00C44867"/>
    <w:rsid w:val="00C47310"/>
    <w:rsid w:val="00C474B0"/>
    <w:rsid w:val="00C47ACB"/>
    <w:rsid w:val="00C515DA"/>
    <w:rsid w:val="00C632A5"/>
    <w:rsid w:val="00C6356A"/>
    <w:rsid w:val="00C731F5"/>
    <w:rsid w:val="00C75D3F"/>
    <w:rsid w:val="00C8309D"/>
    <w:rsid w:val="00C84DE4"/>
    <w:rsid w:val="00C85EF7"/>
    <w:rsid w:val="00C8653C"/>
    <w:rsid w:val="00C8663D"/>
    <w:rsid w:val="00C90E2A"/>
    <w:rsid w:val="00C91E20"/>
    <w:rsid w:val="00C95588"/>
    <w:rsid w:val="00C975B7"/>
    <w:rsid w:val="00CA091E"/>
    <w:rsid w:val="00CA2081"/>
    <w:rsid w:val="00CA214C"/>
    <w:rsid w:val="00CA349B"/>
    <w:rsid w:val="00CA4D10"/>
    <w:rsid w:val="00CA6164"/>
    <w:rsid w:val="00CB2F81"/>
    <w:rsid w:val="00CB3701"/>
    <w:rsid w:val="00CC37B6"/>
    <w:rsid w:val="00CC4BBA"/>
    <w:rsid w:val="00CC4C5B"/>
    <w:rsid w:val="00CC5B45"/>
    <w:rsid w:val="00CC5F98"/>
    <w:rsid w:val="00CC74FC"/>
    <w:rsid w:val="00CD1D0D"/>
    <w:rsid w:val="00CD4F5A"/>
    <w:rsid w:val="00CD4FFA"/>
    <w:rsid w:val="00CD633A"/>
    <w:rsid w:val="00CF32C7"/>
    <w:rsid w:val="00CF5DA7"/>
    <w:rsid w:val="00CF5E89"/>
    <w:rsid w:val="00CF7A28"/>
    <w:rsid w:val="00D00688"/>
    <w:rsid w:val="00D00A9D"/>
    <w:rsid w:val="00D12A4F"/>
    <w:rsid w:val="00D15F58"/>
    <w:rsid w:val="00D33C2E"/>
    <w:rsid w:val="00D361A2"/>
    <w:rsid w:val="00D36A39"/>
    <w:rsid w:val="00D36B5F"/>
    <w:rsid w:val="00D42283"/>
    <w:rsid w:val="00D42B15"/>
    <w:rsid w:val="00D42DC0"/>
    <w:rsid w:val="00D44087"/>
    <w:rsid w:val="00D50334"/>
    <w:rsid w:val="00D50F97"/>
    <w:rsid w:val="00D51CEB"/>
    <w:rsid w:val="00D521B1"/>
    <w:rsid w:val="00D5620F"/>
    <w:rsid w:val="00D56465"/>
    <w:rsid w:val="00D710AB"/>
    <w:rsid w:val="00D74AA1"/>
    <w:rsid w:val="00D86FD6"/>
    <w:rsid w:val="00D87AF8"/>
    <w:rsid w:val="00D95430"/>
    <w:rsid w:val="00DA1183"/>
    <w:rsid w:val="00DA1B6C"/>
    <w:rsid w:val="00DA35A1"/>
    <w:rsid w:val="00DB604D"/>
    <w:rsid w:val="00DB780B"/>
    <w:rsid w:val="00DC4A8D"/>
    <w:rsid w:val="00DD0809"/>
    <w:rsid w:val="00DD518E"/>
    <w:rsid w:val="00DE1710"/>
    <w:rsid w:val="00DF7D1A"/>
    <w:rsid w:val="00E0243D"/>
    <w:rsid w:val="00E041F2"/>
    <w:rsid w:val="00E05243"/>
    <w:rsid w:val="00E07AFB"/>
    <w:rsid w:val="00E1392B"/>
    <w:rsid w:val="00E15172"/>
    <w:rsid w:val="00E156CC"/>
    <w:rsid w:val="00E15F70"/>
    <w:rsid w:val="00E21DB5"/>
    <w:rsid w:val="00E25BA4"/>
    <w:rsid w:val="00E30FCB"/>
    <w:rsid w:val="00E32500"/>
    <w:rsid w:val="00E43B73"/>
    <w:rsid w:val="00E455E5"/>
    <w:rsid w:val="00E5685F"/>
    <w:rsid w:val="00E56A65"/>
    <w:rsid w:val="00E619B4"/>
    <w:rsid w:val="00E71DB7"/>
    <w:rsid w:val="00E7372C"/>
    <w:rsid w:val="00E81307"/>
    <w:rsid w:val="00E81769"/>
    <w:rsid w:val="00E84283"/>
    <w:rsid w:val="00E85C62"/>
    <w:rsid w:val="00E91FB3"/>
    <w:rsid w:val="00E932BE"/>
    <w:rsid w:val="00E959DE"/>
    <w:rsid w:val="00E9688E"/>
    <w:rsid w:val="00EA27E0"/>
    <w:rsid w:val="00EA3850"/>
    <w:rsid w:val="00EA6968"/>
    <w:rsid w:val="00EB0808"/>
    <w:rsid w:val="00EC0464"/>
    <w:rsid w:val="00EC3FA6"/>
    <w:rsid w:val="00ED15E2"/>
    <w:rsid w:val="00ED1FC7"/>
    <w:rsid w:val="00ED2414"/>
    <w:rsid w:val="00ED496B"/>
    <w:rsid w:val="00ED4C9E"/>
    <w:rsid w:val="00EE07F5"/>
    <w:rsid w:val="00EE1C47"/>
    <w:rsid w:val="00EE477F"/>
    <w:rsid w:val="00EF14F0"/>
    <w:rsid w:val="00F00614"/>
    <w:rsid w:val="00F01105"/>
    <w:rsid w:val="00F04DE8"/>
    <w:rsid w:val="00F12C8F"/>
    <w:rsid w:val="00F1722B"/>
    <w:rsid w:val="00F17533"/>
    <w:rsid w:val="00F2042E"/>
    <w:rsid w:val="00F20735"/>
    <w:rsid w:val="00F333C9"/>
    <w:rsid w:val="00F3694D"/>
    <w:rsid w:val="00F41475"/>
    <w:rsid w:val="00F460B3"/>
    <w:rsid w:val="00F54708"/>
    <w:rsid w:val="00F57791"/>
    <w:rsid w:val="00F60DB9"/>
    <w:rsid w:val="00F65466"/>
    <w:rsid w:val="00F77210"/>
    <w:rsid w:val="00F773EC"/>
    <w:rsid w:val="00F80856"/>
    <w:rsid w:val="00F8138A"/>
    <w:rsid w:val="00F82BED"/>
    <w:rsid w:val="00F855F5"/>
    <w:rsid w:val="00F87FA9"/>
    <w:rsid w:val="00FB7AB8"/>
    <w:rsid w:val="00FC2093"/>
    <w:rsid w:val="00FC21F4"/>
    <w:rsid w:val="00FC2B98"/>
    <w:rsid w:val="00FC6BE2"/>
    <w:rsid w:val="00FE4BF2"/>
    <w:rsid w:val="00FE4D0F"/>
    <w:rsid w:val="00FE5F16"/>
    <w:rsid w:val="00FE7F77"/>
    <w:rsid w:val="00FF1DBC"/>
    <w:rsid w:val="00FF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BE3E3"/>
  <w15:docId w15:val="{454F7257-472E-4D5C-9964-06C55074F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35A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CF7A2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CF7A28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F7A28"/>
    <w:rPr>
      <w:vertAlign w:val="superscript"/>
    </w:rPr>
  </w:style>
  <w:style w:type="character" w:styleId="a6">
    <w:name w:val="Hyperlink"/>
    <w:basedOn w:val="a0"/>
    <w:uiPriority w:val="99"/>
    <w:unhideWhenUsed/>
    <w:rsid w:val="009830C3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21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21A5E"/>
    <w:rPr>
      <w:rFonts w:ascii="Tahoma" w:eastAsia="Calibri" w:hAnsi="Tahoma" w:cs="Tahoma"/>
      <w:sz w:val="16"/>
      <w:szCs w:val="16"/>
    </w:rPr>
  </w:style>
  <w:style w:type="character" w:styleId="a9">
    <w:name w:val="FollowedHyperlink"/>
    <w:basedOn w:val="a0"/>
    <w:uiPriority w:val="99"/>
    <w:semiHidden/>
    <w:unhideWhenUsed/>
    <w:rsid w:val="0027703F"/>
    <w:rPr>
      <w:color w:val="800080" w:themeColor="followedHyperlink"/>
      <w:u w:val="single"/>
    </w:rPr>
  </w:style>
  <w:style w:type="paragraph" w:styleId="aa">
    <w:name w:val="List Paragraph"/>
    <w:basedOn w:val="a"/>
    <w:uiPriority w:val="34"/>
    <w:qFormat/>
    <w:rsid w:val="00D36A39"/>
    <w:pPr>
      <w:ind w:left="720"/>
      <w:contextualSpacing/>
    </w:pPr>
  </w:style>
  <w:style w:type="character" w:styleId="ab">
    <w:name w:val="Unresolved Mention"/>
    <w:basedOn w:val="a0"/>
    <w:uiPriority w:val="99"/>
    <w:semiHidden/>
    <w:unhideWhenUsed/>
    <w:rsid w:val="00BE1F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50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3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180902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7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968106">
          <w:marLeft w:val="0"/>
          <w:marRight w:val="0"/>
          <w:marTop w:val="0"/>
          <w:marBottom w:val="180"/>
          <w:divBdr>
            <w:top w:val="single" w:sz="6" w:space="5" w:color="CCCCCC"/>
            <w:left w:val="none" w:sz="0" w:space="0" w:color="auto"/>
            <w:bottom w:val="none" w:sz="0" w:space="0" w:color="auto"/>
            <w:right w:val="none" w:sz="0" w:space="15" w:color="auto"/>
          </w:divBdr>
        </w:div>
      </w:divsChild>
    </w:div>
    <w:div w:id="13569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dorofeevalucy@gmail.com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2"/>
          <c:order val="2"/>
          <c:tx>
            <c:strRef>
              <c:f>Обобщим!$D$150</c:f>
              <c:strCache>
                <c:ptCount val="1"/>
                <c:pt idx="0">
                  <c:v>К-2</c:v>
                </c:pt>
              </c:strCache>
            </c:strRef>
          </c:tx>
          <c:spPr>
            <a:pattFill prst="narHorz">
              <a:fgClr>
                <a:schemeClr val="dk1">
                  <a:tint val="75000"/>
                </a:schemeClr>
              </a:fgClr>
              <a:bgClr>
                <a:schemeClr val="dk1">
                  <a:tint val="750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75000"/>
                </a:schemeClr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Обобщим!$E$147:$J$147</c:f>
              <c:numCache>
                <c:formatCode>General</c:formatCode>
                <c:ptCount val="6"/>
                <c:pt idx="0">
                  <c:v>2010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</c:numCache>
            </c:numRef>
          </c:cat>
          <c:val>
            <c:numRef>
              <c:f>Обобщим!$E$150:$J$150</c:f>
              <c:numCache>
                <c:formatCode>0.0</c:formatCode>
                <c:ptCount val="6"/>
                <c:pt idx="0">
                  <c:v>106.14</c:v>
                </c:pt>
                <c:pt idx="1">
                  <c:v>100.425</c:v>
                </c:pt>
                <c:pt idx="2">
                  <c:v>96.35</c:v>
                </c:pt>
                <c:pt idx="3">
                  <c:v>94.950000000000017</c:v>
                </c:pt>
                <c:pt idx="4">
                  <c:v>99.137499999999989</c:v>
                </c:pt>
                <c:pt idx="5">
                  <c:v>101.05000000000001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B6F-4F29-98DF-1751AFF0AA4C}"/>
            </c:ext>
          </c:extLst>
        </c:ser>
        <c:ser>
          <c:idx val="4"/>
          <c:order val="4"/>
          <c:tx>
            <c:strRef>
              <c:f>Обобщим!$D$152</c:f>
              <c:strCache>
                <c:ptCount val="1"/>
                <c:pt idx="0">
                  <c:v>К-3</c:v>
                </c:pt>
              </c:strCache>
            </c:strRef>
          </c:tx>
          <c:spPr>
            <a:pattFill prst="narHorz">
              <a:fgClr>
                <a:schemeClr val="dk1">
                  <a:tint val="30000"/>
                </a:schemeClr>
              </a:fgClr>
              <a:bgClr>
                <a:schemeClr val="dk1">
                  <a:tint val="300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30000"/>
                </a:schemeClr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Обобщим!$E$147:$J$147</c:f>
              <c:numCache>
                <c:formatCode>General</c:formatCode>
                <c:ptCount val="6"/>
                <c:pt idx="0">
                  <c:v>2010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</c:numCache>
            </c:numRef>
          </c:cat>
          <c:val>
            <c:numRef>
              <c:f>Обобщим!$E$152:$J$152</c:f>
              <c:numCache>
                <c:formatCode>0.0</c:formatCode>
                <c:ptCount val="6"/>
                <c:pt idx="0">
                  <c:v>101.12</c:v>
                </c:pt>
                <c:pt idx="1">
                  <c:v>98.34</c:v>
                </c:pt>
                <c:pt idx="2">
                  <c:v>97.54</c:v>
                </c:pt>
                <c:pt idx="3">
                  <c:v>95.28</c:v>
                </c:pt>
                <c:pt idx="4">
                  <c:v>101.78</c:v>
                </c:pt>
                <c:pt idx="5">
                  <c:v>103.75999999999999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B6F-4F29-98DF-1751AFF0AA4C}"/>
            </c:ext>
          </c:extLst>
        </c:ser>
        <c:ser>
          <c:idx val="6"/>
          <c:order val="6"/>
          <c:tx>
            <c:strRef>
              <c:f>Обобщим!$D$154</c:f>
              <c:strCache>
                <c:ptCount val="1"/>
                <c:pt idx="0">
                  <c:v>К-5</c:v>
                </c:pt>
              </c:strCache>
            </c:strRef>
          </c:tx>
          <c:spPr>
            <a:pattFill prst="narHorz">
              <a:fgClr>
                <a:schemeClr val="dk1">
                  <a:tint val="80000"/>
                </a:schemeClr>
              </a:fgClr>
              <a:bgClr>
                <a:schemeClr val="dk1">
                  <a:tint val="800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80000"/>
                </a:schemeClr>
              </a:innerShdw>
            </a:effectLst>
          </c:spPr>
          <c:invertIfNegative val="0"/>
          <c:dLbls>
            <c:dLbl>
              <c:idx val="3"/>
              <c:layout>
                <c:manualLayout>
                  <c:x val="2.137894174238375E-3"/>
                  <c:y val="5.052574949870387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AB6F-4F29-98DF-1751AFF0AA4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Base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Обобщим!$E$147:$J$147</c:f>
              <c:numCache>
                <c:formatCode>General</c:formatCode>
                <c:ptCount val="6"/>
                <c:pt idx="0">
                  <c:v>2010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</c:numCache>
            </c:numRef>
          </c:cat>
          <c:val>
            <c:numRef>
              <c:f>Обобщим!$E$154:$J$154</c:f>
              <c:numCache>
                <c:formatCode>0.0</c:formatCode>
                <c:ptCount val="6"/>
                <c:pt idx="0">
                  <c:v>106.83999999999999</c:v>
                </c:pt>
                <c:pt idx="1">
                  <c:v>104.75</c:v>
                </c:pt>
                <c:pt idx="2">
                  <c:v>95.616666666666674</c:v>
                </c:pt>
                <c:pt idx="3">
                  <c:v>95</c:v>
                </c:pt>
                <c:pt idx="4">
                  <c:v>98.766666666666666</c:v>
                </c:pt>
                <c:pt idx="5">
                  <c:v>101.28333333333335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AB6F-4F29-98DF-1751AFF0AA4C}"/>
            </c:ext>
          </c:extLst>
        </c:ser>
        <c:ser>
          <c:idx val="8"/>
          <c:order val="8"/>
          <c:tx>
            <c:strRef>
              <c:f>Обобщим!$D$156</c:f>
              <c:strCache>
                <c:ptCount val="1"/>
                <c:pt idx="0">
                  <c:v>К-1</c:v>
                </c:pt>
              </c:strCache>
            </c:strRef>
          </c:tx>
          <c:spPr>
            <a:pattFill prst="narHorz">
              <a:fgClr>
                <a:schemeClr val="dk1">
                  <a:tint val="55000"/>
                </a:schemeClr>
              </a:fgClr>
              <a:bgClr>
                <a:schemeClr val="dk1">
                  <a:tint val="550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55000"/>
                </a:schemeClr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Обобщим!$E$147:$J$147</c:f>
              <c:numCache>
                <c:formatCode>General</c:formatCode>
                <c:ptCount val="6"/>
                <c:pt idx="0">
                  <c:v>2010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</c:numCache>
            </c:numRef>
          </c:cat>
          <c:val>
            <c:numRef>
              <c:f>Обобщим!$E$156:$J$156</c:f>
              <c:numCache>
                <c:formatCode>0.0</c:formatCode>
                <c:ptCount val="6"/>
                <c:pt idx="0">
                  <c:v>106.23333333333333</c:v>
                </c:pt>
                <c:pt idx="1">
                  <c:v>97.466666666666654</c:v>
                </c:pt>
                <c:pt idx="2">
                  <c:v>96.3</c:v>
                </c:pt>
                <c:pt idx="3">
                  <c:v>98.600000000000009</c:v>
                </c:pt>
                <c:pt idx="4">
                  <c:v>101.53333333333335</c:v>
                </c:pt>
                <c:pt idx="5">
                  <c:v>102.86666666666666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B6F-4F29-98DF-1751AFF0AA4C}"/>
            </c:ext>
          </c:extLst>
        </c:ser>
        <c:ser>
          <c:idx val="10"/>
          <c:order val="10"/>
          <c:tx>
            <c:strRef>
              <c:f>Обобщим!$D$158</c:f>
              <c:strCache>
                <c:ptCount val="1"/>
                <c:pt idx="0">
                  <c:v>К-4</c:v>
                </c:pt>
              </c:strCache>
            </c:strRef>
          </c:tx>
          <c:spPr>
            <a:pattFill prst="narHorz">
              <a:fgClr>
                <a:schemeClr val="dk1">
                  <a:tint val="98500"/>
                </a:schemeClr>
              </a:fgClr>
              <a:bgClr>
                <a:schemeClr val="dk1">
                  <a:tint val="985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98500"/>
                </a:schemeClr>
              </a:innerShdw>
            </a:effectLst>
          </c:spPr>
          <c:invertIfNegative val="0"/>
          <c:dLbls>
            <c:dLbl>
              <c:idx val="1"/>
              <c:layout>
                <c:manualLayout>
                  <c:x val="-3.9194273752108585E-17"/>
                  <c:y val="0.2428669242431651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B6F-4F29-98DF-1751AFF0AA4C}"/>
                </c:ext>
              </c:extLst>
            </c:dLbl>
            <c:dLbl>
              <c:idx val="2"/>
              <c:layout>
                <c:manualLayout>
                  <c:x val="0"/>
                  <c:y val="0.12659640371040576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AB6F-4F29-98DF-1751AFF0AA4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Обобщим!$E$147:$J$147</c:f>
              <c:numCache>
                <c:formatCode>General</c:formatCode>
                <c:ptCount val="6"/>
                <c:pt idx="0">
                  <c:v>2010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</c:numCache>
            </c:numRef>
          </c:cat>
          <c:val>
            <c:numRef>
              <c:f>Обобщим!$E$158:$J$158</c:f>
              <c:numCache>
                <c:formatCode>0.0</c:formatCode>
                <c:ptCount val="6"/>
                <c:pt idx="0">
                  <c:v>105.97692307692304</c:v>
                </c:pt>
                <c:pt idx="1">
                  <c:v>101.73773584905659</c:v>
                </c:pt>
                <c:pt idx="2">
                  <c:v>97.224528301886807</c:v>
                </c:pt>
                <c:pt idx="3">
                  <c:v>95.310909090909121</c:v>
                </c:pt>
                <c:pt idx="4">
                  <c:v>99.2290909090909</c:v>
                </c:pt>
                <c:pt idx="5">
                  <c:v>99.883636363636384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AB6F-4F29-98DF-1751AFF0AA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84"/>
        <c:axId val="1966055024"/>
        <c:axId val="1966055440"/>
      </c:barChart>
      <c:lineChart>
        <c:grouping val="standard"/>
        <c:varyColors val="0"/>
        <c:ser>
          <c:idx val="0"/>
          <c:order val="0"/>
          <c:tx>
            <c:strRef>
              <c:f>Обобщим!$D$148</c:f>
              <c:strCache>
                <c:ptCount val="1"/>
                <c:pt idx="0">
                  <c:v>Российская Федерация</c:v>
                </c:pt>
              </c:strCache>
            </c:strRef>
          </c:tx>
          <c:spPr>
            <a:ln w="28575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circle"/>
            <c:size val="6"/>
            <c:spPr>
              <a:solidFill>
                <a:schemeClr val="dk1">
                  <a:tint val="88500"/>
                </a:schemeClr>
              </a:solidFill>
              <a:ln>
                <a:noFill/>
              </a:ln>
              <a:effectLst/>
            </c:spPr>
          </c:marker>
          <c:cat>
            <c:numRef>
              <c:f>Обобщим!$E$147:$J$147</c:f>
              <c:numCache>
                <c:formatCode>General</c:formatCode>
                <c:ptCount val="6"/>
                <c:pt idx="0">
                  <c:v>2010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</c:numCache>
            </c:numRef>
          </c:cat>
          <c:val>
            <c:numRef>
              <c:f>Обобщим!$E$148:$J$148</c:f>
              <c:numCache>
                <c:formatCode>General</c:formatCode>
                <c:ptCount val="6"/>
                <c:pt idx="0">
                  <c:v>105.4</c:v>
                </c:pt>
                <c:pt idx="1">
                  <c:v>99.2</c:v>
                </c:pt>
                <c:pt idx="2">
                  <c:v>96.4</c:v>
                </c:pt>
                <c:pt idx="3">
                  <c:v>95.5</c:v>
                </c:pt>
                <c:pt idx="4">
                  <c:v>99.8</c:v>
                </c:pt>
                <c:pt idx="5">
                  <c:v>101.1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8-AB6F-4F29-98DF-1751AFF0AA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966055024"/>
        <c:axId val="1966055440"/>
        <c:extLst>
          <c:ext xmlns:c15="http://schemas.microsoft.com/office/drawing/2012/chart" uri="{02D57815-91ED-43cb-92C2-25804820EDAC}">
            <c15:filteredLine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Обобщим!$D$149</c15:sqref>
                        </c15:formulaRef>
                      </c:ext>
                    </c:extLst>
                    <c:strCache>
                      <c:ptCount val="1"/>
                      <c:pt idx="0">
                        <c:v>Воронежская область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55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cat>
                  <c:numRef>
                    <c:extLst>
                      <c:ext uri="{02D57815-91ED-43cb-92C2-25804820EDAC}">
                        <c15:formulaRef>
                          <c15:sqref>Обобщим!$E$147:$J$147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2010</c:v>
                      </c:pt>
                      <c:pt idx="1">
                        <c:v>2018</c:v>
                      </c:pt>
                      <c:pt idx="2">
                        <c:v>2019</c:v>
                      </c:pt>
                      <c:pt idx="3">
                        <c:v>2020</c:v>
                      </c:pt>
                      <c:pt idx="4">
                        <c:v>2021</c:v>
                      </c:pt>
                      <c:pt idx="5">
                        <c:v>2022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Обобщим!$E$149:$J$149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108.9</c:v>
                      </c:pt>
                      <c:pt idx="1">
                        <c:v>105.8</c:v>
                      </c:pt>
                      <c:pt idx="2">
                        <c:v>101.1</c:v>
                      </c:pt>
                      <c:pt idx="3">
                        <c:v>93.6</c:v>
                      </c:pt>
                      <c:pt idx="4">
                        <c:v>97.4</c:v>
                      </c:pt>
                      <c:pt idx="5">
                        <c:v>100</c:v>
                      </c:pt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9-AB6F-4F29-98DF-1751AFF0AA4C}"/>
                  </c:ext>
                </c:extLst>
              </c15:ser>
            </c15:filteredLineSeries>
            <c15:filteredLine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Обобщим!$D$151</c15:sqref>
                        </c15:formulaRef>
                      </c:ext>
                    </c:extLst>
                    <c:strCache>
                      <c:ptCount val="1"/>
                      <c:pt idx="0">
                        <c:v>Ямало-Ненецкий автономный округ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985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Обобщим!$E$147:$J$147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2010</c:v>
                      </c:pt>
                      <c:pt idx="1">
                        <c:v>2018</c:v>
                      </c:pt>
                      <c:pt idx="2">
                        <c:v>2019</c:v>
                      </c:pt>
                      <c:pt idx="3">
                        <c:v>2020</c:v>
                      </c:pt>
                      <c:pt idx="4">
                        <c:v>2021</c:v>
                      </c:pt>
                      <c:pt idx="5">
                        <c:v>2022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Обобщим!$E$151:$J$151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100.4</c:v>
                      </c:pt>
                      <c:pt idx="1">
                        <c:v>98.3</c:v>
                      </c:pt>
                      <c:pt idx="2">
                        <c:v>98.4</c:v>
                      </c:pt>
                      <c:pt idx="3">
                        <c:v>99.8</c:v>
                      </c:pt>
                      <c:pt idx="4">
                        <c:v>102.5</c:v>
                      </c:pt>
                      <c:pt idx="5">
                        <c:v>102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AB6F-4F29-98DF-1751AFF0AA4C}"/>
                  </c:ext>
                </c:extLst>
              </c15:ser>
            </c15:filteredLineSeries>
            <c15:filteredLine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Обобщим!$D$153</c15:sqref>
                        </c15:formulaRef>
                      </c:ext>
                    </c:extLst>
                    <c:strCache>
                      <c:ptCount val="1"/>
                      <c:pt idx="0">
                        <c:v>Карачаево-Черкесская Республика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Обобщим!$E$147:$J$147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2010</c:v>
                      </c:pt>
                      <c:pt idx="1">
                        <c:v>2018</c:v>
                      </c:pt>
                      <c:pt idx="2">
                        <c:v>2019</c:v>
                      </c:pt>
                      <c:pt idx="3">
                        <c:v>2020</c:v>
                      </c:pt>
                      <c:pt idx="4">
                        <c:v>2021</c:v>
                      </c:pt>
                      <c:pt idx="5">
                        <c:v>2022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Обобщим!$E$153:$J$153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109.8</c:v>
                      </c:pt>
                      <c:pt idx="1">
                        <c:v>106.6</c:v>
                      </c:pt>
                      <c:pt idx="2">
                        <c:v>93.3</c:v>
                      </c:pt>
                      <c:pt idx="3">
                        <c:v>92</c:v>
                      </c:pt>
                      <c:pt idx="4">
                        <c:v>98</c:v>
                      </c:pt>
                      <c:pt idx="5">
                        <c:v>98.5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AB6F-4F29-98DF-1751AFF0AA4C}"/>
                  </c:ext>
                </c:extLst>
              </c15:ser>
            </c15:filteredLineSeries>
            <c15:filteredLine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Обобщим!$D$155</c15:sqref>
                        </c15:formulaRef>
                      </c:ext>
                    </c:extLst>
                    <c:strCache>
                      <c:ptCount val="1"/>
                      <c:pt idx="0">
                        <c:v>г. Санкт-Петербург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885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Обобщим!$E$147:$J$147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2010</c:v>
                      </c:pt>
                      <c:pt idx="1">
                        <c:v>2018</c:v>
                      </c:pt>
                      <c:pt idx="2">
                        <c:v>2019</c:v>
                      </c:pt>
                      <c:pt idx="3">
                        <c:v>2020</c:v>
                      </c:pt>
                      <c:pt idx="4">
                        <c:v>2021</c:v>
                      </c:pt>
                      <c:pt idx="5">
                        <c:v>2022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Обобщим!$E$155:$J$155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109</c:v>
                      </c:pt>
                      <c:pt idx="1">
                        <c:v>102</c:v>
                      </c:pt>
                      <c:pt idx="2">
                        <c:v>97</c:v>
                      </c:pt>
                      <c:pt idx="3">
                        <c:v>100.4</c:v>
                      </c:pt>
                      <c:pt idx="4">
                        <c:v>103.1</c:v>
                      </c:pt>
                      <c:pt idx="5">
                        <c:v>104.2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C-AB6F-4F29-98DF-1751AFF0AA4C}"/>
                  </c:ext>
                </c:extLst>
              </c15:ser>
            </c15:filteredLineSeries>
            <c15:filteredLine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Обобщим!$D$157</c15:sqref>
                        </c15:formulaRef>
                      </c:ext>
                    </c:extLst>
                    <c:strCache>
                      <c:ptCount val="1"/>
                      <c:pt idx="0">
                        <c:v>Ульяновская область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75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Обобщим!$E$147:$J$147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2010</c:v>
                      </c:pt>
                      <c:pt idx="1">
                        <c:v>2018</c:v>
                      </c:pt>
                      <c:pt idx="2">
                        <c:v>2019</c:v>
                      </c:pt>
                      <c:pt idx="3">
                        <c:v>2020</c:v>
                      </c:pt>
                      <c:pt idx="4">
                        <c:v>2021</c:v>
                      </c:pt>
                      <c:pt idx="5">
                        <c:v>2022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Обобщим!$E$157:$J$157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112.8</c:v>
                      </c:pt>
                      <c:pt idx="1">
                        <c:v>106</c:v>
                      </c:pt>
                      <c:pt idx="2">
                        <c:v>94.1</c:v>
                      </c:pt>
                      <c:pt idx="3">
                        <c:v>93.5</c:v>
                      </c:pt>
                      <c:pt idx="4">
                        <c:v>98.7</c:v>
                      </c:pt>
                      <c:pt idx="5">
                        <c:v>94.6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D-AB6F-4F29-98DF-1751AFF0AA4C}"/>
                  </c:ext>
                </c:extLst>
              </c15:ser>
            </c15:filteredLineSeries>
          </c:ext>
        </c:extLst>
      </c:lineChart>
      <c:catAx>
        <c:axId val="19660550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66055440"/>
        <c:crosses val="autoZero"/>
        <c:auto val="1"/>
        <c:lblAlgn val="ctr"/>
        <c:lblOffset val="100"/>
        <c:noMultiLvlLbl val="0"/>
      </c:catAx>
      <c:valAx>
        <c:axId val="1966055440"/>
        <c:scaling>
          <c:orientation val="minMax"/>
          <c:max val="108"/>
          <c:min val="94"/>
        </c:scaling>
        <c:delete val="0"/>
        <c:axPos val="l"/>
        <c:majorGridlines>
          <c:spPr>
            <a:ln>
              <a:solidFill>
                <a:schemeClr val="tx1">
                  <a:lumMod val="15000"/>
                  <a:lumOff val="85000"/>
                </a:schemeClr>
              </a:solidFill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660550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2"/>
          <c:order val="2"/>
          <c:tx>
            <c:strRef>
              <c:f>Обобщим!$D$150</c:f>
              <c:strCache>
                <c:ptCount val="1"/>
                <c:pt idx="0">
                  <c:v>К-2</c:v>
                </c:pt>
              </c:strCache>
            </c:strRef>
          </c:tx>
          <c:spPr>
            <a:pattFill prst="narHorz">
              <a:fgClr>
                <a:schemeClr val="dk1">
                  <a:tint val="75000"/>
                </a:schemeClr>
              </a:fgClr>
              <a:bgClr>
                <a:schemeClr val="dk1">
                  <a:tint val="750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75000"/>
                </a:schemeClr>
              </a:innerShdw>
            </a:effectLst>
          </c:spPr>
          <c:invertIfNegative val="0"/>
          <c:dPt>
            <c:idx val="0"/>
            <c:invertIfNegative val="0"/>
            <c:bubble3D val="0"/>
            <c:spPr>
              <a:pattFill prst="narHorz">
                <a:fgClr>
                  <a:schemeClr val="dk1">
                    <a:tint val="75000"/>
                  </a:schemeClr>
                </a:fgClr>
                <a:bgClr>
                  <a:schemeClr val="dk1">
                    <a:tint val="75000"/>
                    <a:lumMod val="20000"/>
                    <a:lumOff val="80000"/>
                  </a:schemeClr>
                </a:bgClr>
              </a:pattFill>
              <a:ln>
                <a:noFill/>
              </a:ln>
              <a:effectLst>
                <a:innerShdw blurRad="114300">
                  <a:schemeClr val="dk1">
                    <a:tint val="75000"/>
                  </a:schemeClr>
                </a:innerShdw>
              </a:effectLst>
            </c:spPr>
            <c:extLst>
              <c:ext xmlns:c16="http://schemas.microsoft.com/office/drawing/2014/chart" uri="{C3380CC4-5D6E-409C-BE32-E72D297353CC}">
                <c16:uniqueId val="{00000001-67D4-4350-93AA-C57505D16667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Обобщим!$K$147:$Q$147</c:f>
              <c:numCache>
                <c:formatCode>General</c:formatCode>
                <c:ptCount val="7"/>
                <c:pt idx="0">
                  <c:v>2010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</c:numCache>
            </c:numRef>
          </c:cat>
          <c:val>
            <c:numRef>
              <c:f>Обобщим!$K$150:$Q$150</c:f>
              <c:numCache>
                <c:formatCode>0.0</c:formatCode>
                <c:ptCount val="7"/>
                <c:pt idx="0">
                  <c:v>94.018091772791593</c:v>
                </c:pt>
                <c:pt idx="1">
                  <c:v>94.450122292103416</c:v>
                </c:pt>
                <c:pt idx="2">
                  <c:v>95.488025882771495</c:v>
                </c:pt>
                <c:pt idx="3">
                  <c:v>95.032469616569671</c:v>
                </c:pt>
                <c:pt idx="4">
                  <c:v>94.519488123118094</c:v>
                </c:pt>
                <c:pt idx="5">
                  <c:v>94.140175987950371</c:v>
                </c:pt>
                <c:pt idx="6">
                  <c:v>93.441700896191179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7D4-4350-93AA-C57505D16667}"/>
            </c:ext>
          </c:extLst>
        </c:ser>
        <c:ser>
          <c:idx val="6"/>
          <c:order val="6"/>
          <c:tx>
            <c:strRef>
              <c:f>Обобщим!$D$154</c:f>
              <c:strCache>
                <c:ptCount val="1"/>
                <c:pt idx="0">
                  <c:v>К-5</c:v>
                </c:pt>
              </c:strCache>
            </c:strRef>
          </c:tx>
          <c:spPr>
            <a:pattFill prst="narHorz">
              <a:fgClr>
                <a:schemeClr val="dk1">
                  <a:tint val="80000"/>
                </a:schemeClr>
              </a:fgClr>
              <a:bgClr>
                <a:schemeClr val="dk1">
                  <a:tint val="800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80000"/>
                </a:schemeClr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Обобщим!$K$147:$Q$147</c:f>
              <c:numCache>
                <c:formatCode>General</c:formatCode>
                <c:ptCount val="7"/>
                <c:pt idx="0">
                  <c:v>2010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</c:numCache>
            </c:numRef>
          </c:cat>
          <c:val>
            <c:numRef>
              <c:f>Обобщим!$K$154:$Q$154</c:f>
              <c:numCache>
                <c:formatCode>0.0</c:formatCode>
                <c:ptCount val="7"/>
                <c:pt idx="0">
                  <c:v>36.144380432585407</c:v>
                </c:pt>
                <c:pt idx="1">
                  <c:v>37.417016072676446</c:v>
                </c:pt>
                <c:pt idx="2">
                  <c:v>41.398351566900885</c:v>
                </c:pt>
                <c:pt idx="3">
                  <c:v>43.793506789912129</c:v>
                </c:pt>
                <c:pt idx="4">
                  <c:v>44.244173079067686</c:v>
                </c:pt>
                <c:pt idx="5">
                  <c:v>43.724814036756641</c:v>
                </c:pt>
                <c:pt idx="6">
                  <c:v>43.872915110779189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7D4-4350-93AA-C57505D16667}"/>
            </c:ext>
          </c:extLst>
        </c:ser>
        <c:ser>
          <c:idx val="10"/>
          <c:order val="10"/>
          <c:tx>
            <c:strRef>
              <c:f>Обобщим!$D$158</c:f>
              <c:strCache>
                <c:ptCount val="1"/>
                <c:pt idx="0">
                  <c:v>К-4</c:v>
                </c:pt>
              </c:strCache>
            </c:strRef>
          </c:tx>
          <c:spPr>
            <a:pattFill prst="narHorz">
              <a:fgClr>
                <a:schemeClr val="dk1">
                  <a:tint val="98500"/>
                </a:schemeClr>
              </a:fgClr>
              <a:bgClr>
                <a:schemeClr val="dk1">
                  <a:tint val="985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98500"/>
                </a:schemeClr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Обобщим!$K$147:$Q$147</c:f>
              <c:numCache>
                <c:formatCode>General</c:formatCode>
                <c:ptCount val="7"/>
                <c:pt idx="0">
                  <c:v>2010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</c:numCache>
            </c:numRef>
          </c:cat>
          <c:val>
            <c:numRef>
              <c:f>Обобщим!$K$158:$Q$158</c:f>
              <c:numCache>
                <c:formatCode>0.0</c:formatCode>
                <c:ptCount val="7"/>
                <c:pt idx="0">
                  <c:v>76.446680972150958</c:v>
                </c:pt>
                <c:pt idx="1">
                  <c:v>76.852901749717802</c:v>
                </c:pt>
                <c:pt idx="2">
                  <c:v>79.665586469736311</c:v>
                </c:pt>
                <c:pt idx="3">
                  <c:v>80.78662351000591</c:v>
                </c:pt>
                <c:pt idx="4">
                  <c:v>81.646263572493083</c:v>
                </c:pt>
                <c:pt idx="5">
                  <c:v>80.980833744716577</c:v>
                </c:pt>
                <c:pt idx="6">
                  <c:v>80.906239391676294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7D4-4350-93AA-C57505D166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966055024"/>
        <c:axId val="1966055440"/>
      </c:barChart>
      <c:lineChart>
        <c:grouping val="standard"/>
        <c:varyColors val="0"/>
        <c:ser>
          <c:idx val="4"/>
          <c:order val="4"/>
          <c:tx>
            <c:strRef>
              <c:f>Обобщим!$D$152</c:f>
              <c:strCache>
                <c:ptCount val="1"/>
                <c:pt idx="0">
                  <c:v>К-3</c:v>
                </c:pt>
              </c:strCache>
            </c:strRef>
          </c:tx>
          <c:spPr>
            <a:ln w="28575" cap="rnd">
              <a:solidFill>
                <a:schemeClr val="dk1">
                  <a:tint val="30000"/>
                </a:schemeClr>
              </a:solidFill>
              <a:round/>
            </a:ln>
            <a:effectLst/>
          </c:spPr>
          <c:marker>
            <c:symbol val="circle"/>
            <c:size val="6"/>
            <c:spPr>
              <a:solidFill>
                <a:schemeClr val="dk1">
                  <a:tint val="30000"/>
                </a:schemeClr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Обобщим!$K$147:$Q$147</c:f>
              <c:numCache>
                <c:formatCode>General</c:formatCode>
                <c:ptCount val="7"/>
                <c:pt idx="0">
                  <c:v>2010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</c:numCache>
            </c:numRef>
          </c:cat>
          <c:val>
            <c:numRef>
              <c:f>Обобщим!$K$152:$Q$152</c:f>
              <c:numCache>
                <c:formatCode>0.0</c:formatCode>
                <c:ptCount val="7"/>
                <c:pt idx="0">
                  <c:v>125.68223165554882</c:v>
                </c:pt>
                <c:pt idx="1">
                  <c:v>120.2332285115304</c:v>
                </c:pt>
                <c:pt idx="2">
                  <c:v>119.70648403451037</c:v>
                </c:pt>
                <c:pt idx="3">
                  <c:v>125.59654228004109</c:v>
                </c:pt>
                <c:pt idx="4">
                  <c:v>125.76446972231514</c:v>
                </c:pt>
                <c:pt idx="5">
                  <c:v>124.05485750525189</c:v>
                </c:pt>
                <c:pt idx="6">
                  <c:v>122.86781179985064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67D4-4350-93AA-C57505D16667}"/>
            </c:ext>
          </c:extLst>
        </c:ser>
        <c:ser>
          <c:idx val="0"/>
          <c:order val="0"/>
          <c:tx>
            <c:strRef>
              <c:f>Обобщим!$D$148</c:f>
              <c:strCache>
                <c:ptCount val="1"/>
                <c:pt idx="0">
                  <c:v>Российская Федерация</c:v>
                </c:pt>
              </c:strCache>
            </c:strRef>
          </c:tx>
          <c:spPr>
            <a:ln w="28575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circle"/>
            <c:size val="6"/>
            <c:spPr>
              <a:solidFill>
                <a:schemeClr val="dk1">
                  <a:tint val="88500"/>
                </a:schemeClr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Обобщим!$K$147:$Q$147</c:f>
              <c:numCache>
                <c:formatCode>General</c:formatCode>
                <c:ptCount val="7"/>
                <c:pt idx="0">
                  <c:v>2010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</c:numCache>
            </c:numRef>
          </c:cat>
          <c:val>
            <c:numRef>
              <c:f>Обобщим!$K$148:$Q$148</c:f>
              <c:numCache>
                <c:formatCode>General</c:formatCode>
                <c:ptCount val="7"/>
                <c:pt idx="0">
                  <c:v>100</c:v>
                </c:pt>
                <c:pt idx="1">
                  <c:v>100</c:v>
                </c:pt>
                <c:pt idx="2">
                  <c:v>100</c:v>
                </c:pt>
                <c:pt idx="3">
                  <c:v>100</c:v>
                </c:pt>
                <c:pt idx="4">
                  <c:v>100</c:v>
                </c:pt>
                <c:pt idx="5">
                  <c:v>100</c:v>
                </c:pt>
                <c:pt idx="6">
                  <c:v>100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6-67D4-4350-93AA-C57505D16667}"/>
            </c:ext>
          </c:extLst>
        </c:ser>
        <c:ser>
          <c:idx val="8"/>
          <c:order val="8"/>
          <c:tx>
            <c:strRef>
              <c:f>Обобщим!$D$156</c:f>
              <c:strCache>
                <c:ptCount val="1"/>
                <c:pt idx="0">
                  <c:v>К-1</c:v>
                </c:pt>
              </c:strCache>
            </c:strRef>
          </c:tx>
          <c:spPr>
            <a:ln w="28575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circle"/>
            <c:size val="6"/>
            <c:spPr>
              <a:solidFill>
                <a:schemeClr val="dk1">
                  <a:tint val="55000"/>
                </a:schemeClr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Обобщим!$K$147:$Q$147</c:f>
              <c:numCache>
                <c:formatCode>General</c:formatCode>
                <c:ptCount val="7"/>
                <c:pt idx="0">
                  <c:v>2010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</c:numCache>
            </c:numRef>
          </c:cat>
          <c:val>
            <c:numRef>
              <c:f>Обобщим!$K$156:$Q$156</c:f>
              <c:numCache>
                <c:formatCode>0.0</c:formatCode>
                <c:ptCount val="7"/>
                <c:pt idx="0">
                  <c:v>161.23913482918942</c:v>
                </c:pt>
                <c:pt idx="1">
                  <c:v>158.45125786163524</c:v>
                </c:pt>
                <c:pt idx="2">
                  <c:v>151.39345963414274</c:v>
                </c:pt>
                <c:pt idx="3">
                  <c:v>153.32933926737417</c:v>
                </c:pt>
                <c:pt idx="4">
                  <c:v>154.08163265306123</c:v>
                </c:pt>
                <c:pt idx="5">
                  <c:v>156.0016911754991</c:v>
                </c:pt>
                <c:pt idx="6">
                  <c:v>156.96166293253674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67D4-4350-93AA-C57505D16667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966055024"/>
        <c:axId val="1966055440"/>
        <c:extLst>
          <c:ext xmlns:c15="http://schemas.microsoft.com/office/drawing/2012/chart" uri="{02D57815-91ED-43cb-92C2-25804820EDAC}">
            <c15:filteredLine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Обобщим!$D$149</c15:sqref>
                        </c15:formulaRef>
                      </c:ext>
                    </c:extLst>
                    <c:strCache>
                      <c:ptCount val="1"/>
                      <c:pt idx="0">
                        <c:v>Воронежская область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55000"/>
                      </a:schemeClr>
                    </a:solidFill>
                    <a:round/>
                  </a:ln>
                  <a:effectLst/>
                </c:spPr>
                <c:marker>
                  <c:symbol val="circle"/>
                  <c:size val="6"/>
                  <c:spPr>
                    <a:solidFill>
                      <a:schemeClr val="dk1">
                        <a:tint val="55000"/>
                      </a:schemeClr>
                    </a:solidFill>
                    <a:ln>
                      <a:noFill/>
                    </a:ln>
                    <a:effectLst/>
                  </c:spPr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Обобщим!$K$147:$Q$147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2010</c:v>
                      </c:pt>
                      <c:pt idx="1">
                        <c:v>2017</c:v>
                      </c:pt>
                      <c:pt idx="2">
                        <c:v>2018</c:v>
                      </c:pt>
                      <c:pt idx="3">
                        <c:v>2019</c:v>
                      </c:pt>
                      <c:pt idx="4">
                        <c:v>2020</c:v>
                      </c:pt>
                      <c:pt idx="5">
                        <c:v>2021</c:v>
                      </c:pt>
                      <c:pt idx="6">
                        <c:v>2022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Обобщим!$K$149:$Q$149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10060</c:v>
                      </c:pt>
                      <c:pt idx="1">
                        <c:v>12228</c:v>
                      </c:pt>
                      <c:pt idx="2">
                        <c:v>20920</c:v>
                      </c:pt>
                      <c:pt idx="3">
                        <c:v>22544</c:v>
                      </c:pt>
                      <c:pt idx="4">
                        <c:v>23580</c:v>
                      </c:pt>
                      <c:pt idx="5">
                        <c:v>25022</c:v>
                      </c:pt>
                      <c:pt idx="6">
                        <c:v>26530</c:v>
                      </c:pt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8-67D4-4350-93AA-C57505D16667}"/>
                  </c:ext>
                </c:extLst>
              </c15:ser>
            </c15:filteredLineSeries>
            <c15:filteredLine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Обобщим!$D$151</c15:sqref>
                        </c15:formulaRef>
                      </c:ext>
                    </c:extLst>
                    <c:strCache>
                      <c:ptCount val="1"/>
                      <c:pt idx="0">
                        <c:v>Ямало-Ненецкий автономный округ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98500"/>
                      </a:schemeClr>
                    </a:solidFill>
                    <a:round/>
                  </a:ln>
                  <a:effectLst/>
                </c:spPr>
                <c:marker>
                  <c:symbol val="circle"/>
                  <c:size val="6"/>
                  <c:spPr>
                    <a:solidFill>
                      <a:schemeClr val="dk1">
                        <a:tint val="98500"/>
                      </a:schemeClr>
                    </a:solidFill>
                    <a:ln>
                      <a:noFill/>
                    </a:ln>
                    <a:effectLst/>
                  </c:spPr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Обобщим!$K$147:$Q$147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2010</c:v>
                      </c:pt>
                      <c:pt idx="1">
                        <c:v>2017</c:v>
                      </c:pt>
                      <c:pt idx="2">
                        <c:v>2018</c:v>
                      </c:pt>
                      <c:pt idx="3">
                        <c:v>2019</c:v>
                      </c:pt>
                      <c:pt idx="4">
                        <c:v>2020</c:v>
                      </c:pt>
                      <c:pt idx="5">
                        <c:v>2021</c:v>
                      </c:pt>
                      <c:pt idx="6">
                        <c:v>2022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Обобщим!$K$151:$Q$151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21441</c:v>
                      </c:pt>
                      <c:pt idx="1">
                        <c:v>24079</c:v>
                      </c:pt>
                      <c:pt idx="2">
                        <c:v>30575</c:v>
                      </c:pt>
                      <c:pt idx="3">
                        <c:v>33031</c:v>
                      </c:pt>
                      <c:pt idx="4">
                        <c:v>33675</c:v>
                      </c:pt>
                      <c:pt idx="5">
                        <c:v>33115</c:v>
                      </c:pt>
                      <c:pt idx="6">
                        <c:v>35341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67D4-4350-93AA-C57505D16667}"/>
                  </c:ext>
                </c:extLst>
              </c15:ser>
            </c15:filteredLineSeries>
            <c15:filteredLine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Обобщим!$D$153</c15:sqref>
                        </c15:formulaRef>
                      </c:ext>
                    </c:extLst>
                    <c:strCache>
                      <c:ptCount val="1"/>
                      <c:pt idx="0">
                        <c:v>Карачаево-Черкесская Республика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60000"/>
                      </a:schemeClr>
                    </a:solidFill>
                    <a:round/>
                  </a:ln>
                  <a:effectLst/>
                </c:spPr>
                <c:marker>
                  <c:symbol val="circle"/>
                  <c:size val="6"/>
                  <c:spPr>
                    <a:solidFill>
                      <a:schemeClr val="dk1">
                        <a:tint val="60000"/>
                      </a:schemeClr>
                    </a:solidFill>
                    <a:ln>
                      <a:noFill/>
                    </a:ln>
                    <a:effectLst/>
                  </c:spPr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Обобщим!$K$147:$Q$147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2010</c:v>
                      </c:pt>
                      <c:pt idx="1">
                        <c:v>2017</c:v>
                      </c:pt>
                      <c:pt idx="2">
                        <c:v>2018</c:v>
                      </c:pt>
                      <c:pt idx="3">
                        <c:v>2019</c:v>
                      </c:pt>
                      <c:pt idx="4">
                        <c:v>2020</c:v>
                      </c:pt>
                      <c:pt idx="5">
                        <c:v>2021</c:v>
                      </c:pt>
                      <c:pt idx="6">
                        <c:v>2022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Обобщим!$K$153:$Q$153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6462</c:v>
                      </c:pt>
                      <c:pt idx="1">
                        <c:v>7220</c:v>
                      </c:pt>
                      <c:pt idx="2">
                        <c:v>10217</c:v>
                      </c:pt>
                      <c:pt idx="3">
                        <c:v>10162</c:v>
                      </c:pt>
                      <c:pt idx="4">
                        <c:v>10318</c:v>
                      </c:pt>
                      <c:pt idx="5">
                        <c:v>10534</c:v>
                      </c:pt>
                      <c:pt idx="6">
                        <c:v>11121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67D4-4350-93AA-C57505D16667}"/>
                  </c:ext>
                </c:extLst>
              </c15:ser>
            </c15:filteredLineSeries>
            <c15:filteredLine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Обобщим!$D$155</c15:sqref>
                        </c15:formulaRef>
                      </c:ext>
                    </c:extLst>
                    <c:strCache>
                      <c:ptCount val="1"/>
                      <c:pt idx="0">
                        <c:v>г. Санкт-Петербург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88500"/>
                      </a:schemeClr>
                    </a:solidFill>
                    <a:round/>
                  </a:ln>
                  <a:effectLst/>
                </c:spPr>
                <c:marker>
                  <c:symbol val="circle"/>
                  <c:size val="6"/>
                  <c:spPr>
                    <a:solidFill>
                      <a:schemeClr val="dk1">
                        <a:tint val="88500"/>
                      </a:schemeClr>
                    </a:solidFill>
                    <a:ln>
                      <a:noFill/>
                    </a:ln>
                    <a:effectLst/>
                  </c:spPr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Обобщим!$K$147:$Q$147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2010</c:v>
                      </c:pt>
                      <c:pt idx="1">
                        <c:v>2017</c:v>
                      </c:pt>
                      <c:pt idx="2">
                        <c:v>2018</c:v>
                      </c:pt>
                      <c:pt idx="3">
                        <c:v>2019</c:v>
                      </c:pt>
                      <c:pt idx="4">
                        <c:v>2020</c:v>
                      </c:pt>
                      <c:pt idx="5">
                        <c:v>2021</c:v>
                      </c:pt>
                      <c:pt idx="6">
                        <c:v>2022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Обобщим!$K$155:$Q$155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17944</c:v>
                      </c:pt>
                      <c:pt idx="1">
                        <c:v>19764</c:v>
                      </c:pt>
                      <c:pt idx="2">
                        <c:v>28585</c:v>
                      </c:pt>
                      <c:pt idx="3">
                        <c:v>31483</c:v>
                      </c:pt>
                      <c:pt idx="4">
                        <c:v>32808</c:v>
                      </c:pt>
                      <c:pt idx="5">
                        <c:v>34845</c:v>
                      </c:pt>
                      <c:pt idx="6">
                        <c:v>36774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67D4-4350-93AA-C57505D16667}"/>
                  </c:ext>
                </c:extLst>
              </c15:ser>
            </c15:filteredLineSeries>
            <c15:filteredLine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Обобщим!$D$157</c15:sqref>
                        </c15:formulaRef>
                      </c:ext>
                    </c:extLst>
                    <c:strCache>
                      <c:ptCount val="1"/>
                      <c:pt idx="0">
                        <c:v>Ульяновская область</c:v>
                      </c:pt>
                    </c:strCache>
                  </c:strRef>
                </c:tx>
                <c:spPr>
                  <a:ln w="28575" cap="rnd">
                    <a:solidFill>
                      <a:schemeClr val="dk1">
                        <a:tint val="75000"/>
                      </a:schemeClr>
                    </a:solidFill>
                    <a:round/>
                  </a:ln>
                  <a:effectLst/>
                </c:spPr>
                <c:marker>
                  <c:symbol val="circle"/>
                  <c:size val="6"/>
                  <c:spPr>
                    <a:solidFill>
                      <a:schemeClr val="dk1">
                        <a:tint val="75000"/>
                      </a:schemeClr>
                    </a:solidFill>
                    <a:ln>
                      <a:noFill/>
                    </a:ln>
                    <a:effectLst/>
                  </c:spPr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Обобщим!$K$147:$Q$147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2010</c:v>
                      </c:pt>
                      <c:pt idx="1">
                        <c:v>2017</c:v>
                      </c:pt>
                      <c:pt idx="2">
                        <c:v>2018</c:v>
                      </c:pt>
                      <c:pt idx="3">
                        <c:v>2019</c:v>
                      </c:pt>
                      <c:pt idx="4">
                        <c:v>2020</c:v>
                      </c:pt>
                      <c:pt idx="5">
                        <c:v>2021</c:v>
                      </c:pt>
                      <c:pt idx="6">
                        <c:v>2022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Обобщим!$K$157:$Q$157</c15:sqref>
                        </c15:formulaRef>
                      </c:ext>
                    </c:extLst>
                    <c:numCache>
                      <c:formatCode>General</c:formatCode>
                      <c:ptCount val="7"/>
                      <c:pt idx="0">
                        <c:v>8812</c:v>
                      </c:pt>
                      <c:pt idx="1">
                        <c:v>10043</c:v>
                      </c:pt>
                      <c:pt idx="2">
                        <c:v>15544</c:v>
                      </c:pt>
                      <c:pt idx="3">
                        <c:v>16284</c:v>
                      </c:pt>
                      <c:pt idx="4">
                        <c:v>16505</c:v>
                      </c:pt>
                      <c:pt idx="5">
                        <c:v>17326</c:v>
                      </c:pt>
                      <c:pt idx="6">
                        <c:v>18052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C-67D4-4350-93AA-C57505D16667}"/>
                  </c:ext>
                </c:extLst>
              </c15:ser>
            </c15:filteredLineSeries>
          </c:ext>
        </c:extLst>
      </c:lineChart>
      <c:catAx>
        <c:axId val="19660550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66055440"/>
        <c:crosses val="autoZero"/>
        <c:auto val="1"/>
        <c:lblAlgn val="ctr"/>
        <c:lblOffset val="100"/>
        <c:noMultiLvlLbl val="0"/>
      </c:catAx>
      <c:valAx>
        <c:axId val="1966055440"/>
        <c:scaling>
          <c:orientation val="minMax"/>
        </c:scaling>
        <c:delete val="0"/>
        <c:axPos val="l"/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660550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2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15875" cap="flat" cmpd="sng" algn="ctr">
        <a:solidFill>
          <a:schemeClr val="tx1">
            <a:lumMod val="65000"/>
            <a:lumOff val="3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2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15875" cap="flat" cmpd="sng" algn="ctr">
        <a:solidFill>
          <a:schemeClr val="tx1">
            <a:lumMod val="65000"/>
            <a:lumOff val="3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B886F5-A1A5-4A89-8815-393409052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1539</Words>
  <Characters>8778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С. Соловьева</dc:creator>
  <cp:keywords/>
  <dc:description/>
  <cp:lastModifiedBy>Дорофеева Людмила Владимировна</cp:lastModifiedBy>
  <cp:revision>3</cp:revision>
  <dcterms:created xsi:type="dcterms:W3CDTF">2023-03-21T14:05:00Z</dcterms:created>
  <dcterms:modified xsi:type="dcterms:W3CDTF">2023-03-21T14:09:00Z</dcterms:modified>
</cp:coreProperties>
</file>