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869ED5" w14:textId="6A15D4DC" w:rsidR="00C23B84" w:rsidRPr="00C23B84" w:rsidRDefault="00C23B84" w:rsidP="00C23B84">
      <w:pPr>
        <w:rPr>
          <w:rFonts w:eastAsia="Calibri"/>
          <w:b/>
          <w:bCs/>
          <w:szCs w:val="22"/>
          <w:lang w:eastAsia="en-US"/>
        </w:rPr>
      </w:pPr>
      <w:r w:rsidRPr="00C23B84">
        <w:rPr>
          <w:rFonts w:eastAsia="Calibri"/>
          <w:b/>
          <w:bCs/>
          <w:szCs w:val="22"/>
          <w:lang w:eastAsia="en-US"/>
        </w:rPr>
        <w:t>УДК 332.82 (470)</w:t>
      </w:r>
      <w:r>
        <w:rPr>
          <w:rFonts w:eastAsia="Calibri"/>
          <w:b/>
          <w:bCs/>
          <w:szCs w:val="22"/>
          <w:lang w:eastAsia="en-US"/>
        </w:rPr>
        <w:t>/</w:t>
      </w:r>
      <w:r w:rsidRPr="00C23B84">
        <w:rPr>
          <w:rFonts w:eastAsia="Calibri"/>
          <w:b/>
          <w:bCs/>
          <w:szCs w:val="22"/>
          <w:lang w:eastAsia="en-US"/>
        </w:rPr>
        <w:t>ББК 65.441.2. К71.</w:t>
      </w:r>
    </w:p>
    <w:p w14:paraId="6D0376A3" w14:textId="77777777" w:rsidR="00C23B84" w:rsidRDefault="00C23B84" w:rsidP="007551B6">
      <w:pPr>
        <w:jc w:val="right"/>
        <w:rPr>
          <w:rFonts w:eastAsia="Calibri"/>
          <w:b/>
          <w:szCs w:val="20"/>
          <w:lang w:eastAsia="en-US"/>
        </w:rPr>
      </w:pPr>
    </w:p>
    <w:p w14:paraId="6D8D5FB6" w14:textId="518817BC" w:rsidR="007551B6" w:rsidRDefault="007551B6" w:rsidP="007551B6">
      <w:pPr>
        <w:jc w:val="right"/>
        <w:rPr>
          <w:rFonts w:eastAsia="Calibri"/>
          <w:b/>
          <w:szCs w:val="20"/>
          <w:lang w:eastAsia="en-US"/>
        </w:rPr>
      </w:pPr>
      <w:r w:rsidRPr="007551B6">
        <w:rPr>
          <w:rFonts w:eastAsia="Calibri"/>
          <w:b/>
          <w:szCs w:val="20"/>
          <w:lang w:eastAsia="en-US"/>
        </w:rPr>
        <w:t>К.Н. Бабичев</w:t>
      </w:r>
    </w:p>
    <w:p w14:paraId="6A2C2920" w14:textId="4F2BF347" w:rsidR="007551B6" w:rsidRPr="006F00B8" w:rsidRDefault="007551B6" w:rsidP="007551B6">
      <w:pPr>
        <w:jc w:val="center"/>
        <w:rPr>
          <w:rFonts w:eastAsia="Calibri"/>
          <w:b/>
          <w:sz w:val="20"/>
          <w:szCs w:val="16"/>
          <w:lang w:eastAsia="en-US"/>
        </w:rPr>
      </w:pPr>
      <w:r w:rsidRPr="007551B6">
        <w:rPr>
          <w:rFonts w:eastAsia="Calibri"/>
          <w:b/>
          <w:szCs w:val="20"/>
          <w:lang w:eastAsia="en-US"/>
        </w:rPr>
        <w:t xml:space="preserve"> </w:t>
      </w:r>
      <w:r w:rsidRPr="006F00B8">
        <w:rPr>
          <w:rFonts w:eastAsia="Calibri"/>
          <w:b/>
          <w:sz w:val="20"/>
          <w:szCs w:val="16"/>
          <w:lang w:eastAsia="en-US"/>
        </w:rPr>
        <w:t>ОЦЕНКА ЭФФЕКТИВНОСТИ РЕАЛИЗАЦИИ ЖИЛИЩНОЙ ПОЛИТИКИ В ДИНСКОМ РАЙОНЕ</w:t>
      </w:r>
      <w:r w:rsidR="00C23B84" w:rsidRPr="006F00B8">
        <w:rPr>
          <w:rFonts w:eastAsia="Calibri"/>
          <w:b/>
          <w:sz w:val="20"/>
          <w:szCs w:val="16"/>
          <w:lang w:eastAsia="en-US"/>
        </w:rPr>
        <w:t xml:space="preserve"> КРАСНОДАРСКОГО КРАЯ</w:t>
      </w:r>
    </w:p>
    <w:p w14:paraId="3B32ABBC" w14:textId="77777777" w:rsidR="007551B6" w:rsidRPr="006F00B8" w:rsidRDefault="007551B6" w:rsidP="007551B6">
      <w:pPr>
        <w:jc w:val="both"/>
        <w:rPr>
          <w:rFonts w:eastAsia="Calibri"/>
          <w:b/>
          <w:sz w:val="22"/>
          <w:szCs w:val="18"/>
          <w:lang w:eastAsia="en-US"/>
        </w:rPr>
      </w:pPr>
    </w:p>
    <w:p w14:paraId="48B135AB" w14:textId="77777777" w:rsidR="007551B6" w:rsidRPr="007551B6" w:rsidRDefault="007551B6" w:rsidP="007551B6">
      <w:pPr>
        <w:ind w:firstLine="709"/>
        <w:jc w:val="both"/>
        <w:rPr>
          <w:rFonts w:eastAsia="Calibri"/>
          <w:szCs w:val="22"/>
          <w:lang w:eastAsia="en-US"/>
        </w:rPr>
      </w:pPr>
      <w:r w:rsidRPr="007551B6">
        <w:rPr>
          <w:rFonts w:eastAsia="Calibri"/>
          <w:b/>
          <w:szCs w:val="22"/>
          <w:lang w:eastAsia="en-US"/>
        </w:rPr>
        <w:t>Аннотация:</w:t>
      </w:r>
      <w:r w:rsidRPr="007551B6">
        <w:rPr>
          <w:rFonts w:ascii="Calibri" w:eastAsia="Calibri" w:hAnsi="Calibri"/>
          <w:sz w:val="22"/>
          <w:szCs w:val="22"/>
          <w:lang w:eastAsia="en-US"/>
        </w:rPr>
        <w:t xml:space="preserve"> </w:t>
      </w:r>
      <w:r w:rsidRPr="007551B6">
        <w:rPr>
          <w:rFonts w:eastAsia="Calibri"/>
          <w:szCs w:val="22"/>
          <w:lang w:eastAsia="en-US"/>
        </w:rPr>
        <w:t>в данной статье обоснована актуальность проведения комплексной оценки эффективности жилищной политики с точки зрения достижимости ее целевых показателей для выработки мер государственного регулирования рынка жилья. Разработан алгоритм оценки развития рынка жилья, позволяющий определить эффективность проводимой жилищной политики с учетом социальных и экономических результатов реализации. Применение предложенного алгоритма в деятельности органов государственной власти позволит повысить эффективность разработки и реализации жилищных программ строительства объектов доступной жилой недвижимости.</w:t>
      </w:r>
    </w:p>
    <w:p w14:paraId="2061BB82" w14:textId="77777777" w:rsidR="007551B6" w:rsidRPr="007551B6" w:rsidRDefault="007551B6" w:rsidP="007551B6">
      <w:pPr>
        <w:ind w:firstLine="709"/>
        <w:jc w:val="both"/>
        <w:rPr>
          <w:rFonts w:eastAsia="Calibri"/>
          <w:szCs w:val="22"/>
          <w:lang w:eastAsia="en-US"/>
        </w:rPr>
      </w:pPr>
      <w:r w:rsidRPr="007551B6">
        <w:rPr>
          <w:rFonts w:eastAsia="Calibri"/>
          <w:b/>
          <w:szCs w:val="22"/>
          <w:lang w:eastAsia="en-US"/>
        </w:rPr>
        <w:t>Ключевые слова:</w:t>
      </w:r>
      <w:r w:rsidRPr="007551B6">
        <w:rPr>
          <w:rFonts w:eastAsia="Calibri"/>
          <w:szCs w:val="22"/>
          <w:lang w:eastAsia="en-US"/>
        </w:rPr>
        <w:t xml:space="preserve"> жилищная политика, рынок жилья, оценка, эффективность, развитие</w:t>
      </w:r>
    </w:p>
    <w:p w14:paraId="04A5C6C4" w14:textId="77777777" w:rsidR="007551B6" w:rsidRPr="007551B6" w:rsidRDefault="007551B6" w:rsidP="007551B6">
      <w:pPr>
        <w:jc w:val="center"/>
        <w:rPr>
          <w:rFonts w:eastAsia="Calibri"/>
          <w:szCs w:val="20"/>
          <w:lang w:eastAsia="en-US"/>
        </w:rPr>
      </w:pPr>
    </w:p>
    <w:p w14:paraId="63C5BEF8" w14:textId="77777777" w:rsidR="007551B6" w:rsidRPr="007551B6" w:rsidRDefault="007551B6" w:rsidP="007551B6">
      <w:pPr>
        <w:ind w:firstLine="709"/>
        <w:jc w:val="both"/>
        <w:rPr>
          <w:rFonts w:eastAsia="Calibri"/>
          <w:szCs w:val="20"/>
          <w:lang w:eastAsia="en-US"/>
        </w:rPr>
      </w:pPr>
      <w:r w:rsidRPr="007551B6">
        <w:rPr>
          <w:rFonts w:eastAsia="Calibri"/>
          <w:szCs w:val="20"/>
          <w:lang w:eastAsia="en-US"/>
        </w:rPr>
        <w:t>На современном этапе развития Российской Федерации жилищная политика занимает важное место в государственной политике, поскольку оказывает прямое влияние на устойчивое социально-экономическое развитие государства.</w:t>
      </w:r>
    </w:p>
    <w:p w14:paraId="343C1C24" w14:textId="77777777" w:rsidR="007551B6" w:rsidRPr="007551B6" w:rsidRDefault="007551B6" w:rsidP="007551B6">
      <w:pPr>
        <w:ind w:firstLine="709"/>
        <w:jc w:val="both"/>
        <w:rPr>
          <w:rFonts w:eastAsia="Calibri"/>
          <w:szCs w:val="20"/>
          <w:lang w:eastAsia="en-US"/>
        </w:rPr>
      </w:pPr>
      <w:r w:rsidRPr="007551B6">
        <w:rPr>
          <w:rFonts w:eastAsia="Calibri"/>
          <w:szCs w:val="20"/>
          <w:lang w:eastAsia="en-US"/>
        </w:rPr>
        <w:t>В муниципальном образовании Динской район жилищная политика принимает во внимание не только уже существующую систему распределения населения на территории района, возрастающую тенденцию миграционного потока и включенность территорий района в Краснодарскую агломерацию, а также сельский образ среды проживания и желаемый образ жилья.</w:t>
      </w:r>
    </w:p>
    <w:p w14:paraId="01106813" w14:textId="5B8CE733" w:rsidR="007551B6" w:rsidRPr="007551B6" w:rsidRDefault="007551B6" w:rsidP="007551B6">
      <w:pPr>
        <w:ind w:firstLine="709"/>
        <w:jc w:val="both"/>
        <w:rPr>
          <w:rFonts w:eastAsia="Calibri"/>
          <w:szCs w:val="20"/>
          <w:lang w:eastAsia="en-US"/>
        </w:rPr>
      </w:pPr>
      <w:r w:rsidRPr="007551B6">
        <w:rPr>
          <w:rFonts w:eastAsia="Calibri"/>
          <w:szCs w:val="20"/>
          <w:lang w:eastAsia="en-US"/>
        </w:rPr>
        <w:t xml:space="preserve">Жилищная политика – важная подсистема района, т. к. благодаря пространственному освоению его территории, формированию системы </w:t>
      </w:r>
      <w:proofErr w:type="spellStart"/>
      <w:r w:rsidRPr="007551B6">
        <w:rPr>
          <w:rFonts w:eastAsia="Calibri"/>
          <w:szCs w:val="20"/>
          <w:lang w:eastAsia="en-US"/>
        </w:rPr>
        <w:t>ресурсообеспечивания</w:t>
      </w:r>
      <w:proofErr w:type="spellEnd"/>
      <w:r w:rsidRPr="007551B6">
        <w:rPr>
          <w:rFonts w:eastAsia="Calibri"/>
          <w:szCs w:val="20"/>
          <w:lang w:eastAsia="en-US"/>
        </w:rPr>
        <w:t xml:space="preserve"> экономики происходит формирование качества жизни граждан, увеличивается мобильность трудовых ресурсов, привлекаемых в экономику региона, повышается уровень его социально-экономического развития в целом [1]. </w:t>
      </w:r>
    </w:p>
    <w:p w14:paraId="6D754FF4" w14:textId="062D3695" w:rsidR="007551B6" w:rsidRPr="007551B6" w:rsidRDefault="007551B6" w:rsidP="007551B6">
      <w:pPr>
        <w:ind w:firstLine="709"/>
        <w:jc w:val="both"/>
        <w:rPr>
          <w:rFonts w:eastAsia="Calibri"/>
          <w:szCs w:val="20"/>
          <w:lang w:eastAsia="en-US"/>
        </w:rPr>
      </w:pPr>
      <w:r w:rsidRPr="007551B6">
        <w:rPr>
          <w:rFonts w:eastAsia="Calibri"/>
          <w:szCs w:val="20"/>
          <w:lang w:eastAsia="en-US"/>
        </w:rPr>
        <w:t>При этом важно отметить, что пространственное развитие региона оказывает прямое влияние на жилищную политику через институционально-инфраструктурные составляющие, но и жилищная политика оказывает также обратное воздействие на развитие региона, отражающееся в росте экономики и уровне качества жизни населения [2].</w:t>
      </w:r>
    </w:p>
    <w:p w14:paraId="4889468B" w14:textId="77777777" w:rsidR="007551B6" w:rsidRPr="007551B6" w:rsidRDefault="007551B6" w:rsidP="007551B6">
      <w:pPr>
        <w:ind w:firstLine="709"/>
        <w:jc w:val="both"/>
        <w:rPr>
          <w:rFonts w:eastAsia="Calibri"/>
          <w:szCs w:val="20"/>
          <w:lang w:eastAsia="en-US"/>
        </w:rPr>
      </w:pPr>
      <w:r w:rsidRPr="007551B6">
        <w:rPr>
          <w:rFonts w:eastAsia="Calibri"/>
          <w:szCs w:val="20"/>
          <w:lang w:eastAsia="en-US"/>
        </w:rPr>
        <w:t xml:space="preserve">Несмотря на пристальное внимание к жилищной проблеме на федеральном уровне, на наш взгляд, рынок жилой недвижимости требует усиления регионального регулирования, т. к. данный рынок зависит от окружающих его условий. В связи с этим оценка состояния в территориальном разрезе приобретает особую актуальность. Поэтому для достижения поставленной цели проанализируем особенности реализации жилищной политики на уровне Динского района. </w:t>
      </w:r>
    </w:p>
    <w:p w14:paraId="55640E19" w14:textId="77777777" w:rsidR="007551B6" w:rsidRPr="007551B6" w:rsidRDefault="007551B6" w:rsidP="007551B6">
      <w:pPr>
        <w:ind w:firstLine="709"/>
        <w:jc w:val="both"/>
        <w:rPr>
          <w:rFonts w:eastAsia="Calibri"/>
          <w:szCs w:val="20"/>
          <w:lang w:eastAsia="en-US"/>
        </w:rPr>
      </w:pPr>
      <w:r w:rsidRPr="007551B6">
        <w:rPr>
          <w:rFonts w:eastAsia="Calibri"/>
          <w:szCs w:val="20"/>
          <w:lang w:eastAsia="en-US"/>
        </w:rPr>
        <w:t xml:space="preserve">Жилищная политика Динского района направлена на создание условий для обеспечения всех категорий населения доступным и комфортным жильем. </w:t>
      </w:r>
    </w:p>
    <w:p w14:paraId="7A7DB97C" w14:textId="0FBC1C1E" w:rsidR="007551B6" w:rsidRDefault="007551B6" w:rsidP="007551B6">
      <w:pPr>
        <w:ind w:firstLine="709"/>
        <w:jc w:val="both"/>
        <w:rPr>
          <w:rFonts w:eastAsia="Calibri"/>
          <w:szCs w:val="20"/>
          <w:lang w:eastAsia="en-US"/>
        </w:rPr>
      </w:pPr>
      <w:r w:rsidRPr="007551B6">
        <w:rPr>
          <w:rFonts w:eastAsia="Calibri"/>
          <w:szCs w:val="20"/>
          <w:lang w:eastAsia="en-US"/>
        </w:rPr>
        <w:t>Государственное регулирование рынка жилья можно представить следующим образом (рис. 1).</w:t>
      </w:r>
    </w:p>
    <w:p w14:paraId="1DC5534F" w14:textId="77777777" w:rsidR="00C23B84" w:rsidRPr="007551B6" w:rsidRDefault="00C23B84" w:rsidP="00C23B84">
      <w:pPr>
        <w:ind w:firstLine="709"/>
        <w:jc w:val="both"/>
        <w:rPr>
          <w:rFonts w:eastAsia="Calibri"/>
          <w:szCs w:val="20"/>
          <w:lang w:eastAsia="en-US"/>
        </w:rPr>
      </w:pPr>
      <w:r w:rsidRPr="007551B6">
        <w:rPr>
          <w:rFonts w:eastAsia="Calibri"/>
          <w:szCs w:val="20"/>
          <w:lang w:eastAsia="en-US"/>
        </w:rPr>
        <w:t xml:space="preserve">Необходимо системное осмысление опыта регулирования рынка жилой недвижимости и на федеральном, и на региональном уровне проведения жилищно-строительной политики. Одним из элементов реализации жилищной стратегии в целях ее корректировки является оценка эффективности программных мероприятий, которая может быть выражена в различных социальных и экономических эффектах, которые положительно влияют на рост экономики региона в целом. </w:t>
      </w:r>
    </w:p>
    <w:p w14:paraId="3E8F6292" w14:textId="77777777" w:rsidR="00C23B84" w:rsidRPr="007551B6" w:rsidRDefault="00C23B84" w:rsidP="007551B6">
      <w:pPr>
        <w:ind w:firstLine="709"/>
        <w:jc w:val="both"/>
        <w:rPr>
          <w:rFonts w:eastAsia="Calibri"/>
          <w:szCs w:val="20"/>
          <w:lang w:eastAsia="en-US"/>
        </w:rPr>
      </w:pPr>
    </w:p>
    <w:p w14:paraId="4441B32C" w14:textId="77777777" w:rsidR="007551B6" w:rsidRPr="007551B6" w:rsidRDefault="007551B6" w:rsidP="007551B6">
      <w:pPr>
        <w:ind w:firstLine="709"/>
        <w:jc w:val="both"/>
        <w:rPr>
          <w:rFonts w:eastAsia="Calibri"/>
          <w:szCs w:val="20"/>
          <w:lang w:eastAsia="en-US"/>
        </w:rPr>
      </w:pPr>
    </w:p>
    <w:p w14:paraId="278372D5" w14:textId="77777777" w:rsidR="007551B6" w:rsidRPr="007551B6" w:rsidRDefault="007551B6" w:rsidP="007551B6">
      <w:pPr>
        <w:ind w:firstLine="709"/>
        <w:jc w:val="center"/>
        <w:rPr>
          <w:rFonts w:eastAsia="Calibri"/>
          <w:szCs w:val="20"/>
          <w:lang w:eastAsia="en-US"/>
        </w:rPr>
      </w:pPr>
      <w:r w:rsidRPr="007551B6">
        <w:rPr>
          <w:rFonts w:eastAsia="Calibri"/>
          <w:noProof/>
          <w:szCs w:val="20"/>
        </w:rPr>
        <w:lastRenderedPageBreak/>
        <w:drawing>
          <wp:inline distT="0" distB="0" distL="0" distR="0" wp14:anchorId="21FA91DF" wp14:editId="422D5E65">
            <wp:extent cx="5600065" cy="3230880"/>
            <wp:effectExtent l="0" t="0" r="635" b="7620"/>
            <wp:docPr id="56" name="Рисунок 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preferRelativeResize="0">
                      <a:picLocks noChangeAspect="1" noChangeArrowheads="1"/>
                    </pic:cNvPicPr>
                  </pic:nvPicPr>
                  <pic:blipFill>
                    <a:blip r:embed="rId5">
                      <a:extLst>
                        <a:ext uri="{BEBA8EAE-BF5A-486C-A8C5-ECC9F3942E4B}">
                          <a14:imgProps xmlns:a14="http://schemas.microsoft.com/office/drawing/2010/main">
                            <a14:imgLayer r:embed="rId6">
                              <a14:imgEffect>
                                <a14:colorTemperature colorTemp="4700"/>
                              </a14:imgEffect>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5605038" cy="3233749"/>
                    </a:xfrm>
                    <a:prstGeom prst="rect">
                      <a:avLst/>
                    </a:prstGeom>
                    <a:noFill/>
                    <a:ln>
                      <a:noFill/>
                    </a:ln>
                  </pic:spPr>
                </pic:pic>
              </a:graphicData>
            </a:graphic>
          </wp:inline>
        </w:drawing>
      </w:r>
    </w:p>
    <w:p w14:paraId="78D912AB" w14:textId="67BE8848" w:rsidR="007551B6" w:rsidRPr="007551B6" w:rsidRDefault="007551B6" w:rsidP="007551B6">
      <w:pPr>
        <w:jc w:val="center"/>
        <w:rPr>
          <w:rFonts w:eastAsia="Calibri"/>
          <w:bCs/>
          <w:iCs/>
          <w:szCs w:val="20"/>
          <w:lang w:eastAsia="en-US"/>
        </w:rPr>
      </w:pPr>
      <w:r w:rsidRPr="007551B6">
        <w:rPr>
          <w:rFonts w:eastAsia="Calibri"/>
          <w:bCs/>
          <w:iCs/>
          <w:szCs w:val="20"/>
          <w:lang w:eastAsia="en-US"/>
        </w:rPr>
        <w:t>Рисунок 1</w:t>
      </w:r>
      <w:r w:rsidR="00C23B84">
        <w:rPr>
          <w:rFonts w:eastAsia="Calibri"/>
          <w:bCs/>
          <w:iCs/>
          <w:szCs w:val="20"/>
          <w:lang w:eastAsia="en-US"/>
        </w:rPr>
        <w:t>.</w:t>
      </w:r>
      <w:r w:rsidRPr="007551B6">
        <w:rPr>
          <w:rFonts w:eastAsia="Calibri"/>
          <w:bCs/>
          <w:iCs/>
          <w:szCs w:val="20"/>
          <w:lang w:eastAsia="en-US"/>
        </w:rPr>
        <w:t xml:space="preserve"> Система регулирования рынка жилья Динского района</w:t>
      </w:r>
    </w:p>
    <w:p w14:paraId="1D960E77" w14:textId="77777777" w:rsidR="007551B6" w:rsidRDefault="007551B6" w:rsidP="007551B6">
      <w:pPr>
        <w:ind w:firstLine="709"/>
        <w:jc w:val="both"/>
        <w:rPr>
          <w:rFonts w:eastAsia="Calibri"/>
          <w:szCs w:val="20"/>
          <w:lang w:eastAsia="en-US"/>
        </w:rPr>
      </w:pPr>
    </w:p>
    <w:p w14:paraId="44335F93" w14:textId="77777777" w:rsidR="007551B6" w:rsidRPr="007551B6" w:rsidRDefault="007551B6" w:rsidP="007551B6">
      <w:pPr>
        <w:ind w:firstLine="709"/>
        <w:jc w:val="both"/>
        <w:rPr>
          <w:rFonts w:eastAsia="Calibri"/>
          <w:szCs w:val="20"/>
          <w:lang w:eastAsia="en-US"/>
        </w:rPr>
      </w:pPr>
      <w:r w:rsidRPr="007551B6">
        <w:rPr>
          <w:rFonts w:eastAsia="Calibri"/>
          <w:szCs w:val="20"/>
          <w:lang w:eastAsia="en-US"/>
        </w:rPr>
        <w:t>Рассмотрим алгоритм достижения целевого состояния рынка жилой недвижимости, состоящий в улучшении жилищных условий граждан за счет обеспечения доступным, комфортным и безопасным жильем (рис. 2). В качестве индикатора состояния рынка жилья воспользуемся коэффициентом доступность жилья, т. к. данный показатель отражает динамику и успешность социально-экономических процессов в обществе.</w:t>
      </w:r>
    </w:p>
    <w:p w14:paraId="01E66A51" w14:textId="77777777" w:rsidR="007551B6" w:rsidRPr="007551B6" w:rsidRDefault="007551B6" w:rsidP="007551B6">
      <w:pPr>
        <w:ind w:firstLine="709"/>
        <w:jc w:val="both"/>
        <w:rPr>
          <w:rFonts w:eastAsia="Calibri"/>
          <w:szCs w:val="20"/>
          <w:lang w:eastAsia="en-US"/>
        </w:rPr>
      </w:pPr>
    </w:p>
    <w:p w14:paraId="7F8945B7" w14:textId="77777777" w:rsidR="007551B6" w:rsidRPr="007551B6" w:rsidRDefault="007551B6" w:rsidP="007551B6">
      <w:pPr>
        <w:ind w:firstLine="709"/>
        <w:jc w:val="center"/>
        <w:rPr>
          <w:rFonts w:eastAsia="Calibri"/>
          <w:sz w:val="22"/>
          <w:szCs w:val="20"/>
          <w:lang w:eastAsia="en-US"/>
        </w:rPr>
      </w:pPr>
      <w:r w:rsidRPr="007551B6">
        <w:rPr>
          <w:rFonts w:ascii="Calibri" w:eastAsia="Calibri" w:hAnsi="Calibri"/>
          <w:noProof/>
          <w:sz w:val="20"/>
          <w:szCs w:val="20"/>
        </w:rPr>
        <w:drawing>
          <wp:inline distT="0" distB="0" distL="0" distR="0" wp14:anchorId="2F481320" wp14:editId="17B384EA">
            <wp:extent cx="4845050" cy="4046220"/>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4868940" cy="4066171"/>
                    </a:xfrm>
                    <a:prstGeom prst="rect">
                      <a:avLst/>
                    </a:prstGeom>
                  </pic:spPr>
                </pic:pic>
              </a:graphicData>
            </a:graphic>
          </wp:inline>
        </w:drawing>
      </w:r>
    </w:p>
    <w:p w14:paraId="504488B3" w14:textId="17886CB1" w:rsidR="007551B6" w:rsidRPr="007551B6" w:rsidRDefault="007551B6" w:rsidP="007551B6">
      <w:pPr>
        <w:jc w:val="center"/>
        <w:rPr>
          <w:rFonts w:eastAsia="Calibri"/>
          <w:bCs/>
          <w:iCs/>
          <w:szCs w:val="20"/>
          <w:lang w:eastAsia="en-US"/>
        </w:rPr>
      </w:pPr>
      <w:r w:rsidRPr="007551B6">
        <w:rPr>
          <w:rFonts w:eastAsia="Calibri"/>
          <w:bCs/>
          <w:iCs/>
          <w:szCs w:val="20"/>
          <w:lang w:eastAsia="en-US"/>
        </w:rPr>
        <w:t>Рис</w:t>
      </w:r>
      <w:r>
        <w:rPr>
          <w:rFonts w:eastAsia="Calibri"/>
          <w:bCs/>
          <w:iCs/>
          <w:szCs w:val="20"/>
          <w:lang w:eastAsia="en-US"/>
        </w:rPr>
        <w:t>унок</w:t>
      </w:r>
      <w:r w:rsidRPr="007551B6">
        <w:rPr>
          <w:rFonts w:eastAsia="Calibri"/>
          <w:bCs/>
          <w:iCs/>
          <w:szCs w:val="20"/>
          <w:lang w:eastAsia="en-US"/>
        </w:rPr>
        <w:t xml:space="preserve"> 2</w:t>
      </w:r>
      <w:r w:rsidR="00C23B84">
        <w:rPr>
          <w:rFonts w:eastAsia="Calibri"/>
          <w:bCs/>
          <w:iCs/>
          <w:szCs w:val="20"/>
          <w:lang w:eastAsia="en-US"/>
        </w:rPr>
        <w:t>.</w:t>
      </w:r>
      <w:r w:rsidRPr="007551B6">
        <w:rPr>
          <w:rFonts w:eastAsia="Calibri"/>
          <w:bCs/>
          <w:iCs/>
          <w:szCs w:val="20"/>
          <w:lang w:eastAsia="en-US"/>
        </w:rPr>
        <w:t xml:space="preserve"> Алгоритм оценки достижения целевого состояния развития рынка жилой недвижимости</w:t>
      </w:r>
    </w:p>
    <w:p w14:paraId="703D184F" w14:textId="77777777" w:rsidR="007551B6" w:rsidRPr="007551B6" w:rsidRDefault="007551B6" w:rsidP="007551B6">
      <w:pPr>
        <w:ind w:firstLine="709"/>
        <w:jc w:val="both"/>
        <w:rPr>
          <w:rFonts w:eastAsia="Calibri"/>
          <w:b/>
          <w:i/>
          <w:sz w:val="28"/>
          <w:szCs w:val="20"/>
          <w:lang w:eastAsia="en-US"/>
        </w:rPr>
      </w:pPr>
    </w:p>
    <w:p w14:paraId="72DA945E" w14:textId="77777777" w:rsidR="007551B6" w:rsidRPr="007551B6" w:rsidRDefault="007551B6" w:rsidP="007551B6">
      <w:pPr>
        <w:ind w:firstLine="709"/>
        <w:jc w:val="both"/>
        <w:rPr>
          <w:rFonts w:eastAsia="Calibri"/>
          <w:szCs w:val="20"/>
          <w:lang w:eastAsia="en-US"/>
        </w:rPr>
      </w:pPr>
      <w:r w:rsidRPr="007551B6">
        <w:rPr>
          <w:rFonts w:eastAsia="Calibri"/>
          <w:szCs w:val="20"/>
          <w:lang w:eastAsia="en-US"/>
        </w:rPr>
        <w:lastRenderedPageBreak/>
        <w:t xml:space="preserve">Введение системы показателей в практику позволит не только количественно оценить результативность методов регионального регулирования, но и своевременно вносить корректировки, обеспечивающие развитие рынка. </w:t>
      </w:r>
    </w:p>
    <w:p w14:paraId="467ADC26" w14:textId="77777777" w:rsidR="007551B6" w:rsidRPr="007551B6" w:rsidRDefault="007551B6" w:rsidP="007551B6">
      <w:pPr>
        <w:ind w:firstLine="709"/>
        <w:jc w:val="both"/>
        <w:rPr>
          <w:rFonts w:eastAsia="Calibri"/>
          <w:szCs w:val="20"/>
          <w:lang w:eastAsia="en-US"/>
        </w:rPr>
      </w:pPr>
      <w:r w:rsidRPr="007551B6">
        <w:rPr>
          <w:rFonts w:eastAsia="Calibri"/>
          <w:szCs w:val="20"/>
          <w:lang w:eastAsia="en-US"/>
        </w:rPr>
        <w:t>По итогам оценки результативности могут быть приняты следующие решения, состоящие из трех видов (рис. 3).</w:t>
      </w:r>
    </w:p>
    <w:p w14:paraId="725C7D56" w14:textId="77777777" w:rsidR="007551B6" w:rsidRPr="007551B6" w:rsidRDefault="007551B6" w:rsidP="007551B6">
      <w:pPr>
        <w:ind w:firstLine="709"/>
        <w:jc w:val="both"/>
        <w:rPr>
          <w:rFonts w:eastAsia="Calibri"/>
          <w:szCs w:val="20"/>
          <w:lang w:eastAsia="en-US"/>
        </w:rPr>
      </w:pPr>
    </w:p>
    <w:p w14:paraId="61413CC8" w14:textId="77777777" w:rsidR="007551B6" w:rsidRPr="007551B6" w:rsidRDefault="007551B6" w:rsidP="007551B6">
      <w:pPr>
        <w:jc w:val="center"/>
        <w:rPr>
          <w:rFonts w:eastAsia="Calibri"/>
          <w:szCs w:val="20"/>
          <w:lang w:eastAsia="en-US"/>
        </w:rPr>
      </w:pPr>
      <w:r w:rsidRPr="007551B6">
        <w:rPr>
          <w:rFonts w:ascii="Calibri" w:eastAsia="Calibri" w:hAnsi="Calibri"/>
          <w:noProof/>
          <w:sz w:val="20"/>
          <w:szCs w:val="20"/>
        </w:rPr>
        <w:drawing>
          <wp:inline distT="0" distB="0" distL="0" distR="0" wp14:anchorId="0D5C542E" wp14:editId="79B3BD5D">
            <wp:extent cx="4838417" cy="2712720"/>
            <wp:effectExtent l="0" t="0" r="635"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BEBA8EAE-BF5A-486C-A8C5-ECC9F3942E4B}">
                          <a14:imgProps xmlns:a14="http://schemas.microsoft.com/office/drawing/2010/main">
                            <a14:imgLayer r:embed="rId9">
                              <a14:imgEffect>
                                <a14:saturation sat="0"/>
                              </a14:imgEffect>
                            </a14:imgLayer>
                          </a14:imgProps>
                        </a:ext>
                      </a:extLst>
                    </a:blip>
                    <a:stretch>
                      <a:fillRect/>
                    </a:stretch>
                  </pic:blipFill>
                  <pic:spPr>
                    <a:xfrm>
                      <a:off x="0" y="0"/>
                      <a:ext cx="4851627" cy="2720126"/>
                    </a:xfrm>
                    <a:prstGeom prst="rect">
                      <a:avLst/>
                    </a:prstGeom>
                  </pic:spPr>
                </pic:pic>
              </a:graphicData>
            </a:graphic>
          </wp:inline>
        </w:drawing>
      </w:r>
    </w:p>
    <w:p w14:paraId="1EC5BE44" w14:textId="2214EB02" w:rsidR="007551B6" w:rsidRPr="007551B6" w:rsidRDefault="007551B6" w:rsidP="007551B6">
      <w:pPr>
        <w:jc w:val="center"/>
        <w:rPr>
          <w:rFonts w:eastAsia="Calibri"/>
          <w:bCs/>
          <w:iCs/>
          <w:szCs w:val="20"/>
          <w:lang w:eastAsia="en-US"/>
        </w:rPr>
      </w:pPr>
      <w:r w:rsidRPr="007551B6">
        <w:rPr>
          <w:rFonts w:eastAsia="Calibri"/>
          <w:bCs/>
          <w:iCs/>
          <w:szCs w:val="20"/>
          <w:lang w:eastAsia="en-US"/>
        </w:rPr>
        <w:t>Рис</w:t>
      </w:r>
      <w:r>
        <w:rPr>
          <w:rFonts w:eastAsia="Calibri"/>
          <w:bCs/>
          <w:iCs/>
          <w:szCs w:val="20"/>
          <w:lang w:eastAsia="en-US"/>
        </w:rPr>
        <w:t>унок</w:t>
      </w:r>
      <w:r w:rsidRPr="007551B6">
        <w:rPr>
          <w:rFonts w:eastAsia="Calibri"/>
          <w:bCs/>
          <w:iCs/>
          <w:szCs w:val="20"/>
          <w:lang w:eastAsia="en-US"/>
        </w:rPr>
        <w:t xml:space="preserve"> 3</w:t>
      </w:r>
      <w:r w:rsidR="00C23B84">
        <w:rPr>
          <w:rFonts w:eastAsia="Calibri"/>
          <w:bCs/>
          <w:iCs/>
          <w:szCs w:val="20"/>
          <w:lang w:eastAsia="en-US"/>
        </w:rPr>
        <w:t>.</w:t>
      </w:r>
      <w:r w:rsidRPr="007551B6">
        <w:rPr>
          <w:rFonts w:eastAsia="Calibri"/>
          <w:bCs/>
          <w:iCs/>
          <w:szCs w:val="20"/>
          <w:lang w:eastAsia="en-US"/>
        </w:rPr>
        <w:t xml:space="preserve"> Виды управленческих решений, принимаемые по результатам оценки эффективности жилищной политики региона</w:t>
      </w:r>
    </w:p>
    <w:p w14:paraId="232108FA" w14:textId="77777777" w:rsidR="007551B6" w:rsidRPr="007551B6" w:rsidRDefault="007551B6" w:rsidP="007551B6">
      <w:pPr>
        <w:ind w:firstLine="709"/>
        <w:jc w:val="both"/>
        <w:rPr>
          <w:rFonts w:eastAsia="Calibri"/>
          <w:bCs/>
          <w:iCs/>
          <w:szCs w:val="20"/>
          <w:lang w:eastAsia="en-US"/>
        </w:rPr>
      </w:pPr>
    </w:p>
    <w:p w14:paraId="4562233B" w14:textId="77777777" w:rsidR="007551B6" w:rsidRPr="007551B6" w:rsidRDefault="007551B6" w:rsidP="007551B6">
      <w:pPr>
        <w:ind w:firstLine="709"/>
        <w:jc w:val="both"/>
        <w:rPr>
          <w:rFonts w:eastAsia="Calibri"/>
          <w:szCs w:val="20"/>
          <w:lang w:eastAsia="en-US"/>
        </w:rPr>
      </w:pPr>
    </w:p>
    <w:p w14:paraId="60EE620D" w14:textId="77777777" w:rsidR="007551B6" w:rsidRPr="007551B6" w:rsidRDefault="007551B6" w:rsidP="007551B6">
      <w:pPr>
        <w:ind w:firstLine="709"/>
        <w:jc w:val="both"/>
        <w:rPr>
          <w:rFonts w:eastAsia="Calibri"/>
          <w:szCs w:val="20"/>
          <w:lang w:eastAsia="en-US"/>
        </w:rPr>
      </w:pPr>
      <w:r w:rsidRPr="007551B6">
        <w:rPr>
          <w:rFonts w:eastAsia="Calibri"/>
          <w:szCs w:val="20"/>
          <w:lang w:eastAsia="en-US"/>
        </w:rPr>
        <w:t>На основе предложенной методики оценки рынка жилой недвижимости проведем анализ рынка жилья Динского района. В качестве коэффициента доступности жилья воспользуемся методикой ФЦП «Жилище» [3].</w:t>
      </w:r>
    </w:p>
    <w:p w14:paraId="343481D6" w14:textId="77777777" w:rsidR="007551B6" w:rsidRPr="007551B6" w:rsidRDefault="007551B6" w:rsidP="007551B6">
      <w:pPr>
        <w:ind w:firstLine="709"/>
        <w:jc w:val="both"/>
        <w:rPr>
          <w:rFonts w:eastAsia="Calibri"/>
          <w:szCs w:val="20"/>
          <w:lang w:eastAsia="en-US"/>
        </w:rPr>
      </w:pPr>
    </w:p>
    <w:p w14:paraId="5D65C4E9" w14:textId="642329A9" w:rsidR="007551B6" w:rsidRPr="007551B6" w:rsidRDefault="007551B6" w:rsidP="007551B6">
      <w:pPr>
        <w:jc w:val="right"/>
        <w:rPr>
          <w:rFonts w:eastAsia="Calibri"/>
          <w:bCs/>
          <w:i/>
          <w:szCs w:val="20"/>
          <w:lang w:eastAsia="en-US"/>
        </w:rPr>
      </w:pPr>
      <w:r w:rsidRPr="007551B6">
        <w:rPr>
          <w:rFonts w:eastAsia="Calibri"/>
          <w:bCs/>
          <w:i/>
          <w:szCs w:val="20"/>
          <w:lang w:eastAsia="en-US"/>
        </w:rPr>
        <w:t>Таблица 1</w:t>
      </w:r>
    </w:p>
    <w:p w14:paraId="243FF424" w14:textId="77777777" w:rsidR="007551B6" w:rsidRPr="007551B6" w:rsidRDefault="007551B6" w:rsidP="007551B6">
      <w:pPr>
        <w:jc w:val="center"/>
        <w:rPr>
          <w:rFonts w:eastAsia="Calibri"/>
          <w:bCs/>
          <w:iCs/>
          <w:szCs w:val="20"/>
          <w:lang w:eastAsia="en-US"/>
        </w:rPr>
      </w:pPr>
      <w:r w:rsidRPr="007551B6">
        <w:rPr>
          <w:rFonts w:eastAsia="Calibri"/>
          <w:bCs/>
          <w:iCs/>
          <w:szCs w:val="20"/>
          <w:lang w:eastAsia="en-US"/>
        </w:rPr>
        <w:t>Показатели и результаты расчёта коэффициента доступности жилья в Динском районе в 2016–2020 гг.</w:t>
      </w:r>
    </w:p>
    <w:tbl>
      <w:tblPr>
        <w:tblStyle w:val="a3"/>
        <w:tblW w:w="9634" w:type="dxa"/>
        <w:tblLayout w:type="fixed"/>
        <w:tblLook w:val="0000" w:firstRow="0" w:lastRow="0" w:firstColumn="0" w:lastColumn="0" w:noHBand="0" w:noVBand="0"/>
      </w:tblPr>
      <w:tblGrid>
        <w:gridCol w:w="3964"/>
        <w:gridCol w:w="1134"/>
        <w:gridCol w:w="1134"/>
        <w:gridCol w:w="1134"/>
        <w:gridCol w:w="1134"/>
        <w:gridCol w:w="1134"/>
      </w:tblGrid>
      <w:tr w:rsidR="007551B6" w:rsidRPr="007551B6" w14:paraId="6477CA42" w14:textId="77777777" w:rsidTr="00D0198E">
        <w:trPr>
          <w:trHeight w:val="109"/>
        </w:trPr>
        <w:tc>
          <w:tcPr>
            <w:tcW w:w="3964" w:type="dxa"/>
            <w:vMerge w:val="restart"/>
          </w:tcPr>
          <w:p w14:paraId="4485C638" w14:textId="77777777" w:rsidR="007551B6" w:rsidRPr="007551B6" w:rsidRDefault="007551B6" w:rsidP="00D0198E">
            <w:pPr>
              <w:jc w:val="both"/>
              <w:rPr>
                <w:rFonts w:eastAsia="Calibri"/>
                <w:sz w:val="22"/>
                <w:szCs w:val="22"/>
                <w:lang w:eastAsia="en-US"/>
              </w:rPr>
            </w:pPr>
            <w:r w:rsidRPr="007551B6">
              <w:rPr>
                <w:rFonts w:eastAsia="Calibri"/>
                <w:sz w:val="22"/>
                <w:szCs w:val="22"/>
                <w:lang w:eastAsia="en-US"/>
              </w:rPr>
              <w:t>Показатель</w:t>
            </w:r>
          </w:p>
        </w:tc>
        <w:tc>
          <w:tcPr>
            <w:tcW w:w="5670" w:type="dxa"/>
            <w:gridSpan w:val="5"/>
          </w:tcPr>
          <w:p w14:paraId="5B123493" w14:textId="77777777" w:rsidR="007551B6" w:rsidRPr="007551B6" w:rsidRDefault="007551B6" w:rsidP="00D0198E">
            <w:pPr>
              <w:jc w:val="both"/>
              <w:rPr>
                <w:rFonts w:eastAsia="Calibri"/>
                <w:sz w:val="22"/>
                <w:szCs w:val="22"/>
                <w:lang w:eastAsia="en-US"/>
              </w:rPr>
            </w:pPr>
            <w:r w:rsidRPr="007551B6">
              <w:rPr>
                <w:rFonts w:eastAsia="Calibri"/>
                <w:sz w:val="22"/>
                <w:szCs w:val="22"/>
                <w:lang w:eastAsia="en-US"/>
              </w:rPr>
              <w:t>годы</w:t>
            </w:r>
          </w:p>
        </w:tc>
      </w:tr>
      <w:tr w:rsidR="007551B6" w:rsidRPr="007551B6" w14:paraId="3FBBBF57" w14:textId="77777777" w:rsidTr="00D0198E">
        <w:trPr>
          <w:trHeight w:val="109"/>
        </w:trPr>
        <w:tc>
          <w:tcPr>
            <w:tcW w:w="3964" w:type="dxa"/>
            <w:vMerge/>
          </w:tcPr>
          <w:p w14:paraId="62974487" w14:textId="77777777" w:rsidR="007551B6" w:rsidRPr="007551B6" w:rsidRDefault="007551B6" w:rsidP="00D0198E">
            <w:pPr>
              <w:jc w:val="both"/>
              <w:rPr>
                <w:rFonts w:eastAsia="Calibri"/>
                <w:sz w:val="22"/>
                <w:szCs w:val="22"/>
                <w:lang w:eastAsia="en-US"/>
              </w:rPr>
            </w:pPr>
          </w:p>
        </w:tc>
        <w:tc>
          <w:tcPr>
            <w:tcW w:w="1134" w:type="dxa"/>
          </w:tcPr>
          <w:p w14:paraId="602CE73A" w14:textId="77777777" w:rsidR="007551B6" w:rsidRPr="007551B6" w:rsidRDefault="007551B6" w:rsidP="00D0198E">
            <w:pPr>
              <w:jc w:val="both"/>
              <w:rPr>
                <w:rFonts w:eastAsia="Calibri"/>
                <w:sz w:val="22"/>
                <w:szCs w:val="22"/>
                <w:lang w:eastAsia="en-US"/>
              </w:rPr>
            </w:pPr>
            <w:r w:rsidRPr="007551B6">
              <w:rPr>
                <w:rFonts w:eastAsia="Calibri"/>
                <w:sz w:val="22"/>
                <w:szCs w:val="22"/>
                <w:lang w:eastAsia="en-US"/>
              </w:rPr>
              <w:t>2016</w:t>
            </w:r>
          </w:p>
        </w:tc>
        <w:tc>
          <w:tcPr>
            <w:tcW w:w="1134" w:type="dxa"/>
          </w:tcPr>
          <w:p w14:paraId="35AF8366" w14:textId="77777777" w:rsidR="007551B6" w:rsidRPr="007551B6" w:rsidRDefault="007551B6" w:rsidP="00D0198E">
            <w:pPr>
              <w:jc w:val="both"/>
              <w:rPr>
                <w:rFonts w:eastAsia="Calibri"/>
                <w:sz w:val="22"/>
                <w:szCs w:val="22"/>
                <w:lang w:eastAsia="en-US"/>
              </w:rPr>
            </w:pPr>
            <w:r w:rsidRPr="007551B6">
              <w:rPr>
                <w:rFonts w:eastAsia="Calibri"/>
                <w:sz w:val="22"/>
                <w:szCs w:val="22"/>
                <w:lang w:eastAsia="en-US"/>
              </w:rPr>
              <w:t xml:space="preserve">2017 </w:t>
            </w:r>
          </w:p>
        </w:tc>
        <w:tc>
          <w:tcPr>
            <w:tcW w:w="1134" w:type="dxa"/>
          </w:tcPr>
          <w:p w14:paraId="2950A60A" w14:textId="77777777" w:rsidR="007551B6" w:rsidRPr="007551B6" w:rsidRDefault="007551B6" w:rsidP="00D0198E">
            <w:pPr>
              <w:jc w:val="both"/>
              <w:rPr>
                <w:rFonts w:eastAsia="Calibri"/>
                <w:sz w:val="22"/>
                <w:szCs w:val="22"/>
                <w:lang w:eastAsia="en-US"/>
              </w:rPr>
            </w:pPr>
            <w:r w:rsidRPr="007551B6">
              <w:rPr>
                <w:rFonts w:eastAsia="Calibri"/>
                <w:sz w:val="22"/>
                <w:szCs w:val="22"/>
                <w:lang w:eastAsia="en-US"/>
              </w:rPr>
              <w:t xml:space="preserve">2018 </w:t>
            </w:r>
          </w:p>
        </w:tc>
        <w:tc>
          <w:tcPr>
            <w:tcW w:w="1134" w:type="dxa"/>
          </w:tcPr>
          <w:p w14:paraId="15FE9A23" w14:textId="77777777" w:rsidR="007551B6" w:rsidRPr="007551B6" w:rsidRDefault="007551B6" w:rsidP="00D0198E">
            <w:pPr>
              <w:jc w:val="both"/>
              <w:rPr>
                <w:rFonts w:eastAsia="Calibri"/>
                <w:sz w:val="22"/>
                <w:szCs w:val="22"/>
                <w:lang w:eastAsia="en-US"/>
              </w:rPr>
            </w:pPr>
            <w:r w:rsidRPr="007551B6">
              <w:rPr>
                <w:rFonts w:eastAsia="Calibri"/>
                <w:sz w:val="22"/>
                <w:szCs w:val="22"/>
                <w:lang w:eastAsia="en-US"/>
              </w:rPr>
              <w:t>2019</w:t>
            </w:r>
          </w:p>
        </w:tc>
        <w:tc>
          <w:tcPr>
            <w:tcW w:w="1134" w:type="dxa"/>
          </w:tcPr>
          <w:p w14:paraId="636BF5A6" w14:textId="77777777" w:rsidR="007551B6" w:rsidRPr="007551B6" w:rsidRDefault="007551B6" w:rsidP="00D0198E">
            <w:pPr>
              <w:jc w:val="both"/>
              <w:rPr>
                <w:rFonts w:eastAsia="Calibri"/>
                <w:sz w:val="22"/>
                <w:szCs w:val="22"/>
                <w:lang w:eastAsia="en-US"/>
              </w:rPr>
            </w:pPr>
            <w:r w:rsidRPr="007551B6">
              <w:rPr>
                <w:rFonts w:eastAsia="Calibri"/>
                <w:sz w:val="22"/>
                <w:szCs w:val="22"/>
                <w:lang w:eastAsia="en-US"/>
              </w:rPr>
              <w:t xml:space="preserve">2020 </w:t>
            </w:r>
          </w:p>
        </w:tc>
      </w:tr>
      <w:tr w:rsidR="007551B6" w:rsidRPr="007551B6" w14:paraId="5C4B3006" w14:textId="77777777" w:rsidTr="00D0198E">
        <w:trPr>
          <w:trHeight w:val="109"/>
        </w:trPr>
        <w:tc>
          <w:tcPr>
            <w:tcW w:w="3964" w:type="dxa"/>
          </w:tcPr>
          <w:p w14:paraId="20A844E0" w14:textId="77777777" w:rsidR="007551B6" w:rsidRPr="007551B6" w:rsidRDefault="007551B6" w:rsidP="00D0198E">
            <w:pPr>
              <w:jc w:val="both"/>
              <w:rPr>
                <w:rFonts w:eastAsia="Calibri"/>
                <w:sz w:val="22"/>
                <w:szCs w:val="22"/>
                <w:lang w:eastAsia="en-US"/>
              </w:rPr>
            </w:pPr>
            <w:r w:rsidRPr="007551B6">
              <w:rPr>
                <w:rFonts w:eastAsia="Calibri"/>
                <w:sz w:val="22"/>
                <w:szCs w:val="22"/>
                <w:lang w:eastAsia="en-US"/>
              </w:rPr>
              <w:t xml:space="preserve">Средняя стоимость 1 кв. м. жилья, руб. </w:t>
            </w:r>
          </w:p>
        </w:tc>
        <w:tc>
          <w:tcPr>
            <w:tcW w:w="1134" w:type="dxa"/>
            <w:tcBorders>
              <w:top w:val="nil"/>
              <w:left w:val="nil"/>
              <w:bottom w:val="single" w:sz="8" w:space="0" w:color="auto"/>
              <w:right w:val="single" w:sz="8" w:space="0" w:color="auto"/>
            </w:tcBorders>
            <w:shd w:val="clear" w:color="auto" w:fill="auto"/>
            <w:vAlign w:val="center"/>
          </w:tcPr>
          <w:p w14:paraId="7266F7CD" w14:textId="77777777" w:rsidR="007551B6" w:rsidRPr="007551B6" w:rsidRDefault="007551B6" w:rsidP="00D0198E">
            <w:pPr>
              <w:jc w:val="both"/>
              <w:rPr>
                <w:rFonts w:eastAsia="Calibri"/>
                <w:sz w:val="22"/>
                <w:szCs w:val="22"/>
                <w:lang w:eastAsia="en-US"/>
              </w:rPr>
            </w:pPr>
            <w:r w:rsidRPr="007551B6">
              <w:rPr>
                <w:rFonts w:eastAsia="Calibri"/>
                <w:color w:val="000000"/>
                <w:sz w:val="22"/>
                <w:szCs w:val="22"/>
                <w:lang w:eastAsia="en-US"/>
              </w:rPr>
              <w:t>64363</w:t>
            </w:r>
          </w:p>
        </w:tc>
        <w:tc>
          <w:tcPr>
            <w:tcW w:w="1134" w:type="dxa"/>
            <w:tcBorders>
              <w:top w:val="nil"/>
              <w:left w:val="nil"/>
              <w:bottom w:val="single" w:sz="8" w:space="0" w:color="auto"/>
              <w:right w:val="single" w:sz="8" w:space="0" w:color="auto"/>
            </w:tcBorders>
            <w:shd w:val="clear" w:color="auto" w:fill="auto"/>
            <w:vAlign w:val="center"/>
          </w:tcPr>
          <w:p w14:paraId="733D56AD" w14:textId="77777777" w:rsidR="007551B6" w:rsidRPr="007551B6" w:rsidRDefault="007551B6" w:rsidP="00D0198E">
            <w:pPr>
              <w:jc w:val="both"/>
              <w:rPr>
                <w:rFonts w:eastAsia="Calibri"/>
                <w:sz w:val="22"/>
                <w:szCs w:val="22"/>
                <w:lang w:eastAsia="en-US"/>
              </w:rPr>
            </w:pPr>
            <w:r w:rsidRPr="007551B6">
              <w:rPr>
                <w:rFonts w:eastAsia="Calibri"/>
                <w:color w:val="000000"/>
                <w:sz w:val="22"/>
                <w:szCs w:val="22"/>
                <w:lang w:eastAsia="en-US"/>
              </w:rPr>
              <w:t>61700</w:t>
            </w:r>
          </w:p>
        </w:tc>
        <w:tc>
          <w:tcPr>
            <w:tcW w:w="1134" w:type="dxa"/>
            <w:tcBorders>
              <w:top w:val="nil"/>
              <w:left w:val="nil"/>
              <w:bottom w:val="single" w:sz="8" w:space="0" w:color="auto"/>
              <w:right w:val="single" w:sz="8" w:space="0" w:color="auto"/>
            </w:tcBorders>
            <w:shd w:val="clear" w:color="auto" w:fill="auto"/>
            <w:vAlign w:val="center"/>
          </w:tcPr>
          <w:p w14:paraId="13331792" w14:textId="77777777" w:rsidR="007551B6" w:rsidRPr="007551B6" w:rsidRDefault="007551B6" w:rsidP="00D0198E">
            <w:pPr>
              <w:jc w:val="both"/>
              <w:rPr>
                <w:rFonts w:eastAsia="Calibri"/>
                <w:sz w:val="22"/>
                <w:szCs w:val="22"/>
                <w:lang w:eastAsia="en-US"/>
              </w:rPr>
            </w:pPr>
            <w:r w:rsidRPr="007551B6">
              <w:rPr>
                <w:rFonts w:eastAsia="Calibri"/>
                <w:color w:val="000000"/>
                <w:sz w:val="22"/>
                <w:szCs w:val="22"/>
                <w:lang w:eastAsia="en-US"/>
              </w:rPr>
              <w:t>61484</w:t>
            </w:r>
          </w:p>
        </w:tc>
        <w:tc>
          <w:tcPr>
            <w:tcW w:w="1134" w:type="dxa"/>
            <w:tcBorders>
              <w:top w:val="nil"/>
              <w:left w:val="nil"/>
              <w:bottom w:val="single" w:sz="8" w:space="0" w:color="auto"/>
              <w:right w:val="single" w:sz="8" w:space="0" w:color="auto"/>
            </w:tcBorders>
            <w:shd w:val="clear" w:color="auto" w:fill="auto"/>
            <w:vAlign w:val="center"/>
          </w:tcPr>
          <w:p w14:paraId="2A1C0519" w14:textId="77777777" w:rsidR="007551B6" w:rsidRPr="007551B6" w:rsidRDefault="007551B6" w:rsidP="00D0198E">
            <w:pPr>
              <w:jc w:val="both"/>
              <w:rPr>
                <w:rFonts w:eastAsia="Calibri"/>
                <w:sz w:val="22"/>
                <w:szCs w:val="22"/>
                <w:lang w:eastAsia="en-US"/>
              </w:rPr>
            </w:pPr>
            <w:r w:rsidRPr="007551B6">
              <w:rPr>
                <w:rFonts w:eastAsia="Calibri"/>
                <w:color w:val="000000"/>
                <w:sz w:val="22"/>
                <w:szCs w:val="22"/>
                <w:lang w:eastAsia="en-US"/>
              </w:rPr>
              <w:t>62707</w:t>
            </w:r>
          </w:p>
        </w:tc>
        <w:tc>
          <w:tcPr>
            <w:tcW w:w="1134" w:type="dxa"/>
            <w:tcBorders>
              <w:top w:val="nil"/>
              <w:left w:val="nil"/>
              <w:bottom w:val="single" w:sz="8" w:space="0" w:color="auto"/>
              <w:right w:val="single" w:sz="8" w:space="0" w:color="auto"/>
            </w:tcBorders>
            <w:shd w:val="clear" w:color="auto" w:fill="auto"/>
            <w:vAlign w:val="center"/>
          </w:tcPr>
          <w:p w14:paraId="0FFC4762" w14:textId="77777777" w:rsidR="007551B6" w:rsidRPr="007551B6" w:rsidRDefault="007551B6" w:rsidP="00D0198E">
            <w:pPr>
              <w:jc w:val="both"/>
              <w:rPr>
                <w:rFonts w:eastAsia="Calibri"/>
                <w:sz w:val="22"/>
                <w:szCs w:val="22"/>
                <w:lang w:eastAsia="en-US"/>
              </w:rPr>
            </w:pPr>
            <w:r w:rsidRPr="007551B6">
              <w:rPr>
                <w:rFonts w:eastAsia="Calibri"/>
                <w:color w:val="000000"/>
                <w:sz w:val="22"/>
                <w:szCs w:val="22"/>
                <w:lang w:eastAsia="en-US"/>
              </w:rPr>
              <w:t>62894</w:t>
            </w:r>
          </w:p>
        </w:tc>
      </w:tr>
      <w:tr w:rsidR="007551B6" w:rsidRPr="007551B6" w14:paraId="7CEAB10B" w14:textId="77777777" w:rsidTr="00D0198E">
        <w:trPr>
          <w:trHeight w:val="109"/>
        </w:trPr>
        <w:tc>
          <w:tcPr>
            <w:tcW w:w="3964" w:type="dxa"/>
          </w:tcPr>
          <w:p w14:paraId="4B7E4393" w14:textId="77777777" w:rsidR="007551B6" w:rsidRPr="007551B6" w:rsidRDefault="007551B6" w:rsidP="00D0198E">
            <w:pPr>
              <w:jc w:val="both"/>
              <w:rPr>
                <w:rFonts w:eastAsia="Calibri"/>
                <w:sz w:val="22"/>
                <w:szCs w:val="22"/>
                <w:lang w:eastAsia="en-US"/>
              </w:rPr>
            </w:pPr>
            <w:r w:rsidRPr="007551B6">
              <w:rPr>
                <w:rFonts w:eastAsia="Calibri"/>
                <w:sz w:val="22"/>
                <w:szCs w:val="22"/>
                <w:lang w:eastAsia="en-US"/>
              </w:rPr>
              <w:t xml:space="preserve">Среднедушевые доходы </w:t>
            </w:r>
          </w:p>
        </w:tc>
        <w:tc>
          <w:tcPr>
            <w:tcW w:w="1134" w:type="dxa"/>
            <w:tcBorders>
              <w:top w:val="nil"/>
              <w:left w:val="nil"/>
              <w:bottom w:val="single" w:sz="8" w:space="0" w:color="auto"/>
              <w:right w:val="single" w:sz="8" w:space="0" w:color="auto"/>
            </w:tcBorders>
            <w:shd w:val="clear" w:color="auto" w:fill="auto"/>
            <w:vAlign w:val="center"/>
          </w:tcPr>
          <w:p w14:paraId="45F33FBC" w14:textId="77777777" w:rsidR="007551B6" w:rsidRPr="007551B6" w:rsidRDefault="007551B6" w:rsidP="00D0198E">
            <w:pPr>
              <w:jc w:val="both"/>
              <w:rPr>
                <w:rFonts w:eastAsia="Calibri"/>
                <w:sz w:val="22"/>
                <w:szCs w:val="22"/>
                <w:lang w:eastAsia="en-US"/>
              </w:rPr>
            </w:pPr>
            <w:r w:rsidRPr="007551B6">
              <w:rPr>
                <w:rFonts w:eastAsia="Calibri"/>
                <w:color w:val="000000"/>
                <w:sz w:val="22"/>
                <w:szCs w:val="22"/>
                <w:lang w:eastAsia="en-US"/>
              </w:rPr>
              <w:t>26800</w:t>
            </w:r>
          </w:p>
        </w:tc>
        <w:tc>
          <w:tcPr>
            <w:tcW w:w="1134" w:type="dxa"/>
            <w:tcBorders>
              <w:top w:val="nil"/>
              <w:left w:val="nil"/>
              <w:bottom w:val="single" w:sz="8" w:space="0" w:color="auto"/>
              <w:right w:val="single" w:sz="8" w:space="0" w:color="auto"/>
            </w:tcBorders>
            <w:shd w:val="clear" w:color="auto" w:fill="auto"/>
            <w:vAlign w:val="center"/>
          </w:tcPr>
          <w:p w14:paraId="1FE0E744" w14:textId="77777777" w:rsidR="007551B6" w:rsidRPr="007551B6" w:rsidRDefault="007551B6" w:rsidP="00D0198E">
            <w:pPr>
              <w:jc w:val="both"/>
              <w:rPr>
                <w:rFonts w:eastAsia="Calibri"/>
                <w:sz w:val="22"/>
                <w:szCs w:val="22"/>
                <w:lang w:eastAsia="en-US"/>
              </w:rPr>
            </w:pPr>
            <w:r w:rsidRPr="007551B6">
              <w:rPr>
                <w:rFonts w:eastAsia="Calibri"/>
                <w:color w:val="000000"/>
                <w:sz w:val="22"/>
                <w:szCs w:val="22"/>
                <w:lang w:eastAsia="en-US"/>
              </w:rPr>
              <w:t>28200</w:t>
            </w:r>
          </w:p>
        </w:tc>
        <w:tc>
          <w:tcPr>
            <w:tcW w:w="1134" w:type="dxa"/>
            <w:tcBorders>
              <w:top w:val="nil"/>
              <w:left w:val="nil"/>
              <w:bottom w:val="single" w:sz="8" w:space="0" w:color="auto"/>
              <w:right w:val="single" w:sz="8" w:space="0" w:color="auto"/>
            </w:tcBorders>
            <w:shd w:val="clear" w:color="auto" w:fill="auto"/>
            <w:vAlign w:val="center"/>
          </w:tcPr>
          <w:p w14:paraId="1214D89F" w14:textId="77777777" w:rsidR="007551B6" w:rsidRPr="007551B6" w:rsidRDefault="007551B6" w:rsidP="00D0198E">
            <w:pPr>
              <w:jc w:val="both"/>
              <w:rPr>
                <w:rFonts w:eastAsia="Calibri"/>
                <w:sz w:val="22"/>
                <w:szCs w:val="22"/>
                <w:lang w:eastAsia="en-US"/>
              </w:rPr>
            </w:pPr>
            <w:r w:rsidRPr="007551B6">
              <w:rPr>
                <w:rFonts w:eastAsia="Calibri"/>
                <w:color w:val="000000"/>
                <w:sz w:val="22"/>
                <w:szCs w:val="22"/>
                <w:lang w:eastAsia="en-US"/>
              </w:rPr>
              <w:t>28600</w:t>
            </w:r>
          </w:p>
        </w:tc>
        <w:tc>
          <w:tcPr>
            <w:tcW w:w="1134" w:type="dxa"/>
            <w:tcBorders>
              <w:top w:val="nil"/>
              <w:left w:val="nil"/>
              <w:bottom w:val="single" w:sz="8" w:space="0" w:color="auto"/>
              <w:right w:val="single" w:sz="8" w:space="0" w:color="auto"/>
            </w:tcBorders>
            <w:shd w:val="clear" w:color="auto" w:fill="auto"/>
            <w:vAlign w:val="center"/>
          </w:tcPr>
          <w:p w14:paraId="44C71916" w14:textId="77777777" w:rsidR="007551B6" w:rsidRPr="007551B6" w:rsidRDefault="007551B6" w:rsidP="00D0198E">
            <w:pPr>
              <w:jc w:val="both"/>
              <w:rPr>
                <w:rFonts w:eastAsia="Calibri"/>
                <w:sz w:val="22"/>
                <w:szCs w:val="22"/>
                <w:lang w:eastAsia="en-US"/>
              </w:rPr>
            </w:pPr>
            <w:r w:rsidRPr="007551B6">
              <w:rPr>
                <w:rFonts w:eastAsia="Calibri"/>
                <w:color w:val="000000"/>
                <w:sz w:val="22"/>
                <w:szCs w:val="22"/>
                <w:lang w:eastAsia="en-US"/>
              </w:rPr>
              <w:t>29900</w:t>
            </w:r>
          </w:p>
        </w:tc>
        <w:tc>
          <w:tcPr>
            <w:tcW w:w="1134" w:type="dxa"/>
            <w:tcBorders>
              <w:top w:val="nil"/>
              <w:left w:val="nil"/>
              <w:bottom w:val="single" w:sz="8" w:space="0" w:color="auto"/>
              <w:right w:val="single" w:sz="8" w:space="0" w:color="auto"/>
            </w:tcBorders>
            <w:shd w:val="clear" w:color="auto" w:fill="auto"/>
            <w:vAlign w:val="center"/>
          </w:tcPr>
          <w:p w14:paraId="251A4C37" w14:textId="77777777" w:rsidR="007551B6" w:rsidRPr="007551B6" w:rsidRDefault="007551B6" w:rsidP="00D0198E">
            <w:pPr>
              <w:jc w:val="both"/>
              <w:rPr>
                <w:rFonts w:eastAsia="Calibri"/>
                <w:sz w:val="22"/>
                <w:szCs w:val="22"/>
                <w:lang w:eastAsia="en-US"/>
              </w:rPr>
            </w:pPr>
            <w:r w:rsidRPr="007551B6">
              <w:rPr>
                <w:rFonts w:eastAsia="Calibri"/>
                <w:color w:val="000000"/>
                <w:sz w:val="22"/>
                <w:szCs w:val="22"/>
                <w:lang w:eastAsia="en-US"/>
              </w:rPr>
              <w:t>30400</w:t>
            </w:r>
          </w:p>
        </w:tc>
      </w:tr>
      <w:tr w:rsidR="007551B6" w:rsidRPr="007551B6" w14:paraId="00D10077" w14:textId="77777777" w:rsidTr="00D0198E">
        <w:trPr>
          <w:trHeight w:val="109"/>
        </w:trPr>
        <w:tc>
          <w:tcPr>
            <w:tcW w:w="3964" w:type="dxa"/>
          </w:tcPr>
          <w:p w14:paraId="5296F5BF" w14:textId="77777777" w:rsidR="007551B6" w:rsidRPr="007551B6" w:rsidRDefault="007551B6" w:rsidP="00D0198E">
            <w:pPr>
              <w:jc w:val="both"/>
              <w:rPr>
                <w:rFonts w:eastAsia="Calibri"/>
                <w:sz w:val="22"/>
                <w:szCs w:val="22"/>
                <w:lang w:eastAsia="en-US"/>
              </w:rPr>
            </w:pPr>
            <w:r w:rsidRPr="007551B6">
              <w:rPr>
                <w:rFonts w:eastAsia="Calibri"/>
                <w:sz w:val="22"/>
                <w:szCs w:val="22"/>
                <w:lang w:eastAsia="en-US"/>
              </w:rPr>
              <w:t xml:space="preserve">Величина прожиточного минимума </w:t>
            </w:r>
          </w:p>
        </w:tc>
        <w:tc>
          <w:tcPr>
            <w:tcW w:w="1134" w:type="dxa"/>
            <w:tcBorders>
              <w:top w:val="nil"/>
              <w:left w:val="nil"/>
              <w:bottom w:val="single" w:sz="8" w:space="0" w:color="auto"/>
              <w:right w:val="single" w:sz="8" w:space="0" w:color="auto"/>
            </w:tcBorders>
            <w:shd w:val="clear" w:color="auto" w:fill="auto"/>
            <w:vAlign w:val="center"/>
          </w:tcPr>
          <w:p w14:paraId="045E78E2" w14:textId="77777777" w:rsidR="007551B6" w:rsidRPr="007551B6" w:rsidRDefault="007551B6" w:rsidP="00D0198E">
            <w:pPr>
              <w:jc w:val="both"/>
              <w:rPr>
                <w:rFonts w:eastAsia="Calibri"/>
                <w:sz w:val="22"/>
                <w:szCs w:val="22"/>
                <w:lang w:eastAsia="en-US"/>
              </w:rPr>
            </w:pPr>
            <w:r w:rsidRPr="007551B6">
              <w:rPr>
                <w:rFonts w:eastAsia="Calibri"/>
                <w:color w:val="000000"/>
                <w:sz w:val="22"/>
                <w:szCs w:val="22"/>
                <w:lang w:eastAsia="en-US"/>
              </w:rPr>
              <w:t>9603</w:t>
            </w:r>
          </w:p>
        </w:tc>
        <w:tc>
          <w:tcPr>
            <w:tcW w:w="1134" w:type="dxa"/>
            <w:tcBorders>
              <w:top w:val="nil"/>
              <w:left w:val="nil"/>
              <w:bottom w:val="single" w:sz="8" w:space="0" w:color="auto"/>
              <w:right w:val="single" w:sz="8" w:space="0" w:color="auto"/>
            </w:tcBorders>
            <w:shd w:val="clear" w:color="auto" w:fill="auto"/>
            <w:vAlign w:val="center"/>
          </w:tcPr>
          <w:p w14:paraId="37501712" w14:textId="77777777" w:rsidR="007551B6" w:rsidRPr="007551B6" w:rsidRDefault="007551B6" w:rsidP="00D0198E">
            <w:pPr>
              <w:jc w:val="both"/>
              <w:rPr>
                <w:rFonts w:eastAsia="Calibri"/>
                <w:sz w:val="22"/>
                <w:szCs w:val="22"/>
                <w:lang w:eastAsia="en-US"/>
              </w:rPr>
            </w:pPr>
            <w:r w:rsidRPr="007551B6">
              <w:rPr>
                <w:rFonts w:eastAsia="Calibri"/>
                <w:color w:val="000000"/>
                <w:sz w:val="22"/>
                <w:szCs w:val="22"/>
                <w:lang w:eastAsia="en-US"/>
              </w:rPr>
              <w:t>9925</w:t>
            </w:r>
          </w:p>
        </w:tc>
        <w:tc>
          <w:tcPr>
            <w:tcW w:w="1134" w:type="dxa"/>
            <w:tcBorders>
              <w:top w:val="nil"/>
              <w:left w:val="nil"/>
              <w:bottom w:val="single" w:sz="8" w:space="0" w:color="auto"/>
              <w:right w:val="single" w:sz="8" w:space="0" w:color="auto"/>
            </w:tcBorders>
            <w:shd w:val="clear" w:color="auto" w:fill="auto"/>
            <w:vAlign w:val="center"/>
          </w:tcPr>
          <w:p w14:paraId="1691E462" w14:textId="77777777" w:rsidR="007551B6" w:rsidRPr="007551B6" w:rsidRDefault="007551B6" w:rsidP="00D0198E">
            <w:pPr>
              <w:jc w:val="both"/>
              <w:rPr>
                <w:rFonts w:eastAsia="Calibri"/>
                <w:sz w:val="22"/>
                <w:szCs w:val="22"/>
                <w:lang w:eastAsia="en-US"/>
              </w:rPr>
            </w:pPr>
            <w:r w:rsidRPr="007551B6">
              <w:rPr>
                <w:rFonts w:eastAsia="Calibri"/>
                <w:color w:val="000000"/>
                <w:sz w:val="22"/>
                <w:szCs w:val="22"/>
                <w:lang w:eastAsia="en-US"/>
              </w:rPr>
              <w:t>10228</w:t>
            </w:r>
          </w:p>
        </w:tc>
        <w:tc>
          <w:tcPr>
            <w:tcW w:w="1134" w:type="dxa"/>
            <w:tcBorders>
              <w:top w:val="nil"/>
              <w:left w:val="nil"/>
              <w:bottom w:val="single" w:sz="8" w:space="0" w:color="auto"/>
              <w:right w:val="single" w:sz="8" w:space="0" w:color="auto"/>
            </w:tcBorders>
            <w:shd w:val="clear" w:color="auto" w:fill="auto"/>
            <w:vAlign w:val="center"/>
          </w:tcPr>
          <w:p w14:paraId="75F34B15" w14:textId="77777777" w:rsidR="007551B6" w:rsidRPr="007551B6" w:rsidRDefault="007551B6" w:rsidP="00D0198E">
            <w:pPr>
              <w:jc w:val="both"/>
              <w:rPr>
                <w:rFonts w:eastAsia="Calibri"/>
                <w:sz w:val="22"/>
                <w:szCs w:val="22"/>
                <w:lang w:eastAsia="en-US"/>
              </w:rPr>
            </w:pPr>
            <w:r w:rsidRPr="007551B6">
              <w:rPr>
                <w:rFonts w:eastAsia="Calibri"/>
                <w:color w:val="000000"/>
                <w:sz w:val="22"/>
                <w:szCs w:val="22"/>
                <w:lang w:eastAsia="en-US"/>
              </w:rPr>
              <w:t>10621</w:t>
            </w:r>
          </w:p>
        </w:tc>
        <w:tc>
          <w:tcPr>
            <w:tcW w:w="1134" w:type="dxa"/>
            <w:tcBorders>
              <w:top w:val="nil"/>
              <w:left w:val="nil"/>
              <w:bottom w:val="single" w:sz="8" w:space="0" w:color="auto"/>
              <w:right w:val="single" w:sz="8" w:space="0" w:color="auto"/>
            </w:tcBorders>
            <w:shd w:val="clear" w:color="auto" w:fill="auto"/>
            <w:vAlign w:val="center"/>
          </w:tcPr>
          <w:p w14:paraId="11944969" w14:textId="77777777" w:rsidR="007551B6" w:rsidRPr="007551B6" w:rsidRDefault="007551B6" w:rsidP="00D0198E">
            <w:pPr>
              <w:jc w:val="both"/>
              <w:rPr>
                <w:rFonts w:eastAsia="Calibri"/>
                <w:sz w:val="22"/>
                <w:szCs w:val="22"/>
                <w:lang w:eastAsia="en-US"/>
              </w:rPr>
            </w:pPr>
            <w:r w:rsidRPr="007551B6">
              <w:rPr>
                <w:rFonts w:eastAsia="Calibri"/>
                <w:color w:val="000000"/>
                <w:sz w:val="22"/>
                <w:szCs w:val="22"/>
                <w:lang w:eastAsia="en-US"/>
              </w:rPr>
              <w:t>11261</w:t>
            </w:r>
          </w:p>
        </w:tc>
      </w:tr>
      <w:tr w:rsidR="007551B6" w:rsidRPr="007551B6" w14:paraId="076CBFB3" w14:textId="77777777" w:rsidTr="00D0198E">
        <w:trPr>
          <w:trHeight w:val="109"/>
        </w:trPr>
        <w:tc>
          <w:tcPr>
            <w:tcW w:w="3964" w:type="dxa"/>
          </w:tcPr>
          <w:p w14:paraId="6D0B74FF" w14:textId="77777777" w:rsidR="007551B6" w:rsidRPr="007551B6" w:rsidRDefault="007551B6" w:rsidP="00D0198E">
            <w:pPr>
              <w:jc w:val="both"/>
              <w:rPr>
                <w:rFonts w:eastAsia="Calibri"/>
                <w:sz w:val="22"/>
                <w:szCs w:val="22"/>
                <w:lang w:eastAsia="en-US"/>
              </w:rPr>
            </w:pPr>
            <w:r w:rsidRPr="007551B6">
              <w:rPr>
                <w:rFonts w:eastAsia="Calibri"/>
                <w:sz w:val="22"/>
                <w:szCs w:val="22"/>
                <w:lang w:eastAsia="en-US"/>
              </w:rPr>
              <w:t xml:space="preserve">Коэффициент доступности жилья </w:t>
            </w:r>
          </w:p>
        </w:tc>
        <w:tc>
          <w:tcPr>
            <w:tcW w:w="1134" w:type="dxa"/>
            <w:tcBorders>
              <w:top w:val="nil"/>
              <w:left w:val="nil"/>
              <w:bottom w:val="single" w:sz="8" w:space="0" w:color="auto"/>
              <w:right w:val="single" w:sz="8" w:space="0" w:color="auto"/>
            </w:tcBorders>
            <w:shd w:val="clear" w:color="auto" w:fill="auto"/>
            <w:vAlign w:val="center"/>
          </w:tcPr>
          <w:p w14:paraId="6B945B70" w14:textId="77777777" w:rsidR="007551B6" w:rsidRPr="007551B6" w:rsidRDefault="007551B6" w:rsidP="00D0198E">
            <w:pPr>
              <w:jc w:val="both"/>
              <w:rPr>
                <w:rFonts w:eastAsia="Calibri"/>
                <w:sz w:val="22"/>
                <w:szCs w:val="22"/>
                <w:lang w:eastAsia="en-US"/>
              </w:rPr>
            </w:pPr>
            <w:r w:rsidRPr="007551B6">
              <w:rPr>
                <w:rFonts w:eastAsia="Calibri"/>
                <w:color w:val="000000"/>
                <w:sz w:val="22"/>
                <w:szCs w:val="22"/>
                <w:lang w:eastAsia="en-US"/>
              </w:rPr>
              <w:t>3,6</w:t>
            </w:r>
          </w:p>
        </w:tc>
        <w:tc>
          <w:tcPr>
            <w:tcW w:w="1134" w:type="dxa"/>
            <w:tcBorders>
              <w:top w:val="nil"/>
              <w:left w:val="nil"/>
              <w:bottom w:val="single" w:sz="8" w:space="0" w:color="auto"/>
              <w:right w:val="single" w:sz="8" w:space="0" w:color="auto"/>
            </w:tcBorders>
            <w:shd w:val="clear" w:color="auto" w:fill="auto"/>
            <w:vAlign w:val="center"/>
          </w:tcPr>
          <w:p w14:paraId="3584C65C" w14:textId="77777777" w:rsidR="007551B6" w:rsidRPr="007551B6" w:rsidRDefault="007551B6" w:rsidP="00D0198E">
            <w:pPr>
              <w:jc w:val="both"/>
              <w:rPr>
                <w:rFonts w:eastAsia="Calibri"/>
                <w:sz w:val="22"/>
                <w:szCs w:val="22"/>
                <w:lang w:eastAsia="en-US"/>
              </w:rPr>
            </w:pPr>
            <w:r w:rsidRPr="007551B6">
              <w:rPr>
                <w:rFonts w:eastAsia="Calibri"/>
                <w:color w:val="000000"/>
                <w:sz w:val="22"/>
                <w:szCs w:val="22"/>
                <w:lang w:eastAsia="en-US"/>
              </w:rPr>
              <w:t>3,3</w:t>
            </w:r>
          </w:p>
        </w:tc>
        <w:tc>
          <w:tcPr>
            <w:tcW w:w="1134" w:type="dxa"/>
            <w:tcBorders>
              <w:top w:val="nil"/>
              <w:left w:val="nil"/>
              <w:bottom w:val="single" w:sz="8" w:space="0" w:color="auto"/>
              <w:right w:val="single" w:sz="8" w:space="0" w:color="auto"/>
            </w:tcBorders>
            <w:shd w:val="clear" w:color="auto" w:fill="auto"/>
            <w:vAlign w:val="center"/>
          </w:tcPr>
          <w:p w14:paraId="41BA75D6" w14:textId="77777777" w:rsidR="007551B6" w:rsidRPr="007551B6" w:rsidRDefault="007551B6" w:rsidP="00D0198E">
            <w:pPr>
              <w:jc w:val="both"/>
              <w:rPr>
                <w:rFonts w:eastAsia="Calibri"/>
                <w:sz w:val="22"/>
                <w:szCs w:val="22"/>
                <w:lang w:eastAsia="en-US"/>
              </w:rPr>
            </w:pPr>
            <w:r w:rsidRPr="007551B6">
              <w:rPr>
                <w:rFonts w:eastAsia="Calibri"/>
                <w:color w:val="000000"/>
                <w:sz w:val="22"/>
                <w:szCs w:val="22"/>
                <w:lang w:eastAsia="en-US"/>
              </w:rPr>
              <w:t>3,2</w:t>
            </w:r>
          </w:p>
        </w:tc>
        <w:tc>
          <w:tcPr>
            <w:tcW w:w="1134" w:type="dxa"/>
            <w:tcBorders>
              <w:top w:val="nil"/>
              <w:left w:val="nil"/>
              <w:bottom w:val="single" w:sz="8" w:space="0" w:color="auto"/>
              <w:right w:val="single" w:sz="8" w:space="0" w:color="auto"/>
            </w:tcBorders>
            <w:shd w:val="clear" w:color="auto" w:fill="auto"/>
            <w:vAlign w:val="center"/>
          </w:tcPr>
          <w:p w14:paraId="29477859" w14:textId="77777777" w:rsidR="007551B6" w:rsidRPr="007551B6" w:rsidRDefault="007551B6" w:rsidP="00D0198E">
            <w:pPr>
              <w:jc w:val="both"/>
              <w:rPr>
                <w:rFonts w:eastAsia="Calibri"/>
                <w:sz w:val="22"/>
                <w:szCs w:val="22"/>
                <w:lang w:eastAsia="en-US"/>
              </w:rPr>
            </w:pPr>
            <w:r w:rsidRPr="007551B6">
              <w:rPr>
                <w:rFonts w:eastAsia="Calibri"/>
                <w:color w:val="000000"/>
                <w:sz w:val="22"/>
                <w:szCs w:val="22"/>
                <w:lang w:eastAsia="en-US"/>
              </w:rPr>
              <w:t>3,1</w:t>
            </w:r>
          </w:p>
        </w:tc>
        <w:tc>
          <w:tcPr>
            <w:tcW w:w="1134" w:type="dxa"/>
            <w:tcBorders>
              <w:top w:val="nil"/>
              <w:left w:val="nil"/>
              <w:bottom w:val="single" w:sz="8" w:space="0" w:color="auto"/>
              <w:right w:val="single" w:sz="8" w:space="0" w:color="auto"/>
            </w:tcBorders>
            <w:shd w:val="clear" w:color="auto" w:fill="auto"/>
            <w:vAlign w:val="center"/>
          </w:tcPr>
          <w:p w14:paraId="35E0AD7F" w14:textId="77777777" w:rsidR="007551B6" w:rsidRPr="007551B6" w:rsidRDefault="007551B6" w:rsidP="00D0198E">
            <w:pPr>
              <w:jc w:val="both"/>
              <w:rPr>
                <w:rFonts w:eastAsia="Calibri"/>
                <w:sz w:val="22"/>
                <w:szCs w:val="22"/>
                <w:lang w:eastAsia="en-US"/>
              </w:rPr>
            </w:pPr>
            <w:r w:rsidRPr="007551B6">
              <w:rPr>
                <w:rFonts w:eastAsia="Calibri"/>
                <w:color w:val="000000"/>
                <w:sz w:val="22"/>
                <w:szCs w:val="22"/>
                <w:lang w:eastAsia="en-US"/>
              </w:rPr>
              <w:t>3,1</w:t>
            </w:r>
          </w:p>
        </w:tc>
      </w:tr>
      <w:tr w:rsidR="007551B6" w:rsidRPr="007551B6" w14:paraId="06B6885A" w14:textId="77777777" w:rsidTr="00D0198E">
        <w:trPr>
          <w:trHeight w:val="247"/>
        </w:trPr>
        <w:tc>
          <w:tcPr>
            <w:tcW w:w="3964" w:type="dxa"/>
          </w:tcPr>
          <w:p w14:paraId="7202F258" w14:textId="77777777" w:rsidR="007551B6" w:rsidRPr="007551B6" w:rsidRDefault="007551B6" w:rsidP="00D0198E">
            <w:pPr>
              <w:jc w:val="both"/>
              <w:rPr>
                <w:rFonts w:eastAsia="Calibri"/>
                <w:sz w:val="22"/>
                <w:szCs w:val="22"/>
                <w:lang w:eastAsia="en-US"/>
              </w:rPr>
            </w:pPr>
            <w:r w:rsidRPr="007551B6">
              <w:rPr>
                <w:rFonts w:eastAsia="Calibri"/>
                <w:sz w:val="22"/>
                <w:szCs w:val="22"/>
                <w:lang w:eastAsia="en-US"/>
              </w:rPr>
              <w:t xml:space="preserve">Коэффициент доступности жилья с учетом величины прожиточного минимума </w:t>
            </w:r>
          </w:p>
        </w:tc>
        <w:tc>
          <w:tcPr>
            <w:tcW w:w="1134" w:type="dxa"/>
            <w:tcBorders>
              <w:top w:val="nil"/>
              <w:left w:val="nil"/>
              <w:bottom w:val="single" w:sz="8" w:space="0" w:color="auto"/>
              <w:right w:val="single" w:sz="8" w:space="0" w:color="auto"/>
            </w:tcBorders>
            <w:shd w:val="clear" w:color="auto" w:fill="auto"/>
            <w:vAlign w:val="center"/>
          </w:tcPr>
          <w:p w14:paraId="7617FC46" w14:textId="77777777" w:rsidR="007551B6" w:rsidRPr="007551B6" w:rsidRDefault="007551B6" w:rsidP="00D0198E">
            <w:pPr>
              <w:jc w:val="both"/>
              <w:rPr>
                <w:rFonts w:eastAsia="Calibri"/>
                <w:sz w:val="22"/>
                <w:szCs w:val="22"/>
                <w:lang w:eastAsia="en-US"/>
              </w:rPr>
            </w:pPr>
            <w:r w:rsidRPr="007551B6">
              <w:rPr>
                <w:rFonts w:eastAsia="Calibri"/>
                <w:color w:val="000000"/>
                <w:sz w:val="22"/>
                <w:szCs w:val="22"/>
                <w:lang w:eastAsia="en-US"/>
              </w:rPr>
              <w:t>5,6</w:t>
            </w:r>
          </w:p>
        </w:tc>
        <w:tc>
          <w:tcPr>
            <w:tcW w:w="1134" w:type="dxa"/>
            <w:tcBorders>
              <w:top w:val="nil"/>
              <w:left w:val="nil"/>
              <w:bottom w:val="single" w:sz="8" w:space="0" w:color="auto"/>
              <w:right w:val="single" w:sz="8" w:space="0" w:color="auto"/>
            </w:tcBorders>
            <w:shd w:val="clear" w:color="auto" w:fill="auto"/>
            <w:vAlign w:val="center"/>
          </w:tcPr>
          <w:p w14:paraId="1135EF43" w14:textId="77777777" w:rsidR="007551B6" w:rsidRPr="007551B6" w:rsidRDefault="007551B6" w:rsidP="00D0198E">
            <w:pPr>
              <w:jc w:val="both"/>
              <w:rPr>
                <w:rFonts w:eastAsia="Calibri"/>
                <w:sz w:val="22"/>
                <w:szCs w:val="22"/>
                <w:lang w:eastAsia="en-US"/>
              </w:rPr>
            </w:pPr>
            <w:r w:rsidRPr="007551B6">
              <w:rPr>
                <w:rFonts w:eastAsia="Calibri"/>
                <w:color w:val="000000"/>
                <w:sz w:val="22"/>
                <w:szCs w:val="22"/>
                <w:lang w:eastAsia="en-US"/>
              </w:rPr>
              <w:t>5,1</w:t>
            </w:r>
          </w:p>
        </w:tc>
        <w:tc>
          <w:tcPr>
            <w:tcW w:w="1134" w:type="dxa"/>
            <w:tcBorders>
              <w:top w:val="nil"/>
              <w:left w:val="nil"/>
              <w:bottom w:val="single" w:sz="8" w:space="0" w:color="auto"/>
              <w:right w:val="single" w:sz="8" w:space="0" w:color="auto"/>
            </w:tcBorders>
            <w:shd w:val="clear" w:color="auto" w:fill="auto"/>
            <w:vAlign w:val="center"/>
          </w:tcPr>
          <w:p w14:paraId="5D288B1F" w14:textId="77777777" w:rsidR="007551B6" w:rsidRPr="007551B6" w:rsidRDefault="007551B6" w:rsidP="00D0198E">
            <w:pPr>
              <w:jc w:val="both"/>
              <w:rPr>
                <w:rFonts w:eastAsia="Calibri"/>
                <w:sz w:val="22"/>
                <w:szCs w:val="22"/>
                <w:lang w:eastAsia="en-US"/>
              </w:rPr>
            </w:pPr>
            <w:r w:rsidRPr="007551B6">
              <w:rPr>
                <w:rFonts w:eastAsia="Calibri"/>
                <w:color w:val="000000"/>
                <w:sz w:val="22"/>
                <w:szCs w:val="22"/>
                <w:lang w:eastAsia="en-US"/>
              </w:rPr>
              <w:t>5,0</w:t>
            </w:r>
          </w:p>
        </w:tc>
        <w:tc>
          <w:tcPr>
            <w:tcW w:w="1134" w:type="dxa"/>
            <w:tcBorders>
              <w:top w:val="nil"/>
              <w:left w:val="nil"/>
              <w:bottom w:val="single" w:sz="8" w:space="0" w:color="auto"/>
              <w:right w:val="single" w:sz="8" w:space="0" w:color="auto"/>
            </w:tcBorders>
            <w:shd w:val="clear" w:color="auto" w:fill="auto"/>
            <w:vAlign w:val="center"/>
          </w:tcPr>
          <w:p w14:paraId="776DFD6C" w14:textId="77777777" w:rsidR="007551B6" w:rsidRPr="007551B6" w:rsidRDefault="007551B6" w:rsidP="00D0198E">
            <w:pPr>
              <w:jc w:val="both"/>
              <w:rPr>
                <w:rFonts w:eastAsia="Calibri"/>
                <w:sz w:val="22"/>
                <w:szCs w:val="22"/>
                <w:lang w:eastAsia="en-US"/>
              </w:rPr>
            </w:pPr>
            <w:r w:rsidRPr="007551B6">
              <w:rPr>
                <w:rFonts w:eastAsia="Calibri"/>
                <w:color w:val="000000"/>
                <w:sz w:val="22"/>
                <w:szCs w:val="22"/>
                <w:lang w:eastAsia="en-US"/>
              </w:rPr>
              <w:t>4,9</w:t>
            </w:r>
          </w:p>
        </w:tc>
        <w:tc>
          <w:tcPr>
            <w:tcW w:w="1134" w:type="dxa"/>
            <w:tcBorders>
              <w:top w:val="nil"/>
              <w:left w:val="nil"/>
              <w:bottom w:val="single" w:sz="8" w:space="0" w:color="auto"/>
              <w:right w:val="single" w:sz="8" w:space="0" w:color="auto"/>
            </w:tcBorders>
            <w:shd w:val="clear" w:color="auto" w:fill="auto"/>
            <w:vAlign w:val="center"/>
          </w:tcPr>
          <w:p w14:paraId="51A01E48" w14:textId="77777777" w:rsidR="007551B6" w:rsidRPr="007551B6" w:rsidRDefault="007551B6" w:rsidP="00D0198E">
            <w:pPr>
              <w:jc w:val="both"/>
              <w:rPr>
                <w:rFonts w:eastAsia="Calibri"/>
                <w:sz w:val="22"/>
                <w:szCs w:val="22"/>
                <w:lang w:eastAsia="en-US"/>
              </w:rPr>
            </w:pPr>
            <w:r w:rsidRPr="007551B6">
              <w:rPr>
                <w:rFonts w:eastAsia="Calibri"/>
                <w:color w:val="000000"/>
                <w:sz w:val="22"/>
                <w:szCs w:val="22"/>
                <w:lang w:eastAsia="en-US"/>
              </w:rPr>
              <w:t>4,9</w:t>
            </w:r>
          </w:p>
        </w:tc>
      </w:tr>
    </w:tbl>
    <w:p w14:paraId="23999028" w14:textId="77777777" w:rsidR="007551B6" w:rsidRPr="007551B6" w:rsidRDefault="007551B6" w:rsidP="007551B6">
      <w:pPr>
        <w:ind w:firstLine="709"/>
        <w:jc w:val="both"/>
        <w:rPr>
          <w:rFonts w:eastAsia="Calibri"/>
          <w:szCs w:val="20"/>
          <w:lang w:eastAsia="en-US"/>
        </w:rPr>
      </w:pPr>
    </w:p>
    <w:p w14:paraId="553C0F7E" w14:textId="344CBF01" w:rsidR="007551B6" w:rsidRPr="007551B6" w:rsidRDefault="007551B6" w:rsidP="007551B6">
      <w:pPr>
        <w:ind w:firstLine="709"/>
        <w:jc w:val="both"/>
        <w:rPr>
          <w:rFonts w:eastAsia="Calibri"/>
          <w:szCs w:val="20"/>
          <w:lang w:eastAsia="en-US"/>
        </w:rPr>
      </w:pPr>
      <w:r w:rsidRPr="007551B6">
        <w:rPr>
          <w:rFonts w:eastAsia="Calibri"/>
          <w:szCs w:val="20"/>
          <w:lang w:eastAsia="en-US"/>
        </w:rPr>
        <w:t>Показатели, представленные в таблице 1, свидетельствуют о недостаточно эффективной реализации жилищной политики. Для достижения целевого состояния, значения коэффициента доступности жилья, равного трем годам, необходимо внести корректировки в реализуемую жилищную стратегию, т. к. в настоящий момент для преобладающей части населения Динского района жилье является недоступным</w:t>
      </w:r>
      <w:r w:rsidR="0093490E" w:rsidRPr="0093490E">
        <w:rPr>
          <w:rFonts w:eastAsia="Calibri"/>
          <w:szCs w:val="20"/>
          <w:lang w:eastAsia="en-US"/>
        </w:rPr>
        <w:t xml:space="preserve"> [4]</w:t>
      </w:r>
      <w:r w:rsidRPr="007551B6">
        <w:rPr>
          <w:rFonts w:eastAsia="Calibri"/>
          <w:szCs w:val="20"/>
          <w:lang w:eastAsia="en-US"/>
        </w:rPr>
        <w:t xml:space="preserve">. </w:t>
      </w:r>
    </w:p>
    <w:p w14:paraId="7C2B411E" w14:textId="77777777" w:rsidR="007551B6" w:rsidRPr="007551B6" w:rsidRDefault="007551B6" w:rsidP="007551B6">
      <w:pPr>
        <w:ind w:firstLine="709"/>
        <w:jc w:val="both"/>
        <w:rPr>
          <w:rFonts w:eastAsia="Calibri"/>
          <w:szCs w:val="20"/>
          <w:lang w:eastAsia="en-US"/>
        </w:rPr>
      </w:pPr>
      <w:r w:rsidRPr="007551B6">
        <w:rPr>
          <w:rFonts w:eastAsia="Calibri"/>
          <w:szCs w:val="20"/>
          <w:lang w:eastAsia="en-US"/>
        </w:rPr>
        <w:t>Так как основным фактором, влияющим на доступность жилья, является стоимость жилья, прежде всего необходимо сформировать комплекс мероприятий, направленных на его стимулирование. В связи с выявленными проблемами можем предложить направление совершенствования жилищной политики сельских территорий:</w:t>
      </w:r>
    </w:p>
    <w:p w14:paraId="226E0EC4" w14:textId="77777777" w:rsidR="007551B6" w:rsidRPr="007551B6" w:rsidRDefault="007551B6" w:rsidP="007551B6">
      <w:pPr>
        <w:numPr>
          <w:ilvl w:val="0"/>
          <w:numId w:val="1"/>
        </w:numPr>
        <w:tabs>
          <w:tab w:val="left" w:pos="1134"/>
        </w:tabs>
        <w:spacing w:line="259" w:lineRule="auto"/>
        <w:ind w:left="0" w:firstLine="709"/>
        <w:jc w:val="both"/>
        <w:rPr>
          <w:rFonts w:eastAsia="Calibri"/>
          <w:szCs w:val="20"/>
          <w:lang w:eastAsia="en-US"/>
        </w:rPr>
      </w:pPr>
      <w:r w:rsidRPr="007551B6">
        <w:rPr>
          <w:rFonts w:eastAsia="Calibri"/>
          <w:szCs w:val="20"/>
          <w:lang w:eastAsia="en-US"/>
        </w:rPr>
        <w:t>развитие рынка арендного жилья;</w:t>
      </w:r>
    </w:p>
    <w:p w14:paraId="73393A36" w14:textId="77777777" w:rsidR="007551B6" w:rsidRPr="007551B6" w:rsidRDefault="007551B6" w:rsidP="007551B6">
      <w:pPr>
        <w:numPr>
          <w:ilvl w:val="0"/>
          <w:numId w:val="1"/>
        </w:numPr>
        <w:tabs>
          <w:tab w:val="left" w:pos="1134"/>
        </w:tabs>
        <w:spacing w:line="259" w:lineRule="auto"/>
        <w:ind w:left="0" w:firstLine="709"/>
        <w:jc w:val="both"/>
        <w:rPr>
          <w:rFonts w:eastAsia="Calibri"/>
          <w:szCs w:val="20"/>
          <w:lang w:eastAsia="en-US"/>
        </w:rPr>
      </w:pPr>
      <w:r w:rsidRPr="007551B6">
        <w:rPr>
          <w:rFonts w:eastAsia="Calibri"/>
          <w:szCs w:val="20"/>
          <w:lang w:eastAsia="en-US"/>
        </w:rPr>
        <w:lastRenderedPageBreak/>
        <w:t>разработка и развитие программ социальной ипотеки, рассчитанной на отдельные социально-незащищенные категории граждан с невысоким доходом с привлечением корпоративных соинвесторов;</w:t>
      </w:r>
    </w:p>
    <w:p w14:paraId="757B0E9E" w14:textId="77777777" w:rsidR="007551B6" w:rsidRPr="007551B6" w:rsidRDefault="007551B6" w:rsidP="007551B6">
      <w:pPr>
        <w:numPr>
          <w:ilvl w:val="0"/>
          <w:numId w:val="1"/>
        </w:numPr>
        <w:tabs>
          <w:tab w:val="left" w:pos="1134"/>
        </w:tabs>
        <w:spacing w:line="259" w:lineRule="auto"/>
        <w:ind w:left="0" w:firstLine="709"/>
        <w:jc w:val="both"/>
        <w:rPr>
          <w:rFonts w:eastAsia="Calibri"/>
          <w:szCs w:val="20"/>
          <w:lang w:eastAsia="en-US"/>
        </w:rPr>
      </w:pPr>
      <w:r w:rsidRPr="007551B6">
        <w:rPr>
          <w:rFonts w:eastAsia="Calibri"/>
          <w:szCs w:val="20"/>
          <w:lang w:eastAsia="en-US"/>
        </w:rPr>
        <w:t>развитие рынка жилья, предоставляемого государством, в том числе и жилья для молодых семей, молодых специалистов и нуждающихся в жилье граждан с целью улучшения доступности услуг комфортного проживания;</w:t>
      </w:r>
    </w:p>
    <w:p w14:paraId="0CECBDE9" w14:textId="13DEBF77" w:rsidR="007551B6" w:rsidRPr="007551B6" w:rsidRDefault="007551B6" w:rsidP="007551B6">
      <w:pPr>
        <w:numPr>
          <w:ilvl w:val="0"/>
          <w:numId w:val="1"/>
        </w:numPr>
        <w:tabs>
          <w:tab w:val="left" w:pos="1134"/>
        </w:tabs>
        <w:spacing w:line="259" w:lineRule="auto"/>
        <w:ind w:left="0" w:firstLine="709"/>
        <w:jc w:val="both"/>
        <w:rPr>
          <w:rFonts w:eastAsia="Calibri"/>
          <w:szCs w:val="20"/>
          <w:lang w:eastAsia="en-US"/>
        </w:rPr>
      </w:pPr>
      <w:r w:rsidRPr="007551B6">
        <w:rPr>
          <w:rFonts w:eastAsia="Calibri"/>
          <w:szCs w:val="20"/>
          <w:lang w:eastAsia="en-US"/>
        </w:rPr>
        <w:t>вовлечение простаивающих земельных участков для строительства жилых зданий, создания элементов инженерной инфраструктуры и благоустройства территории и выполнение технических условий по подключению к магистральным инженерным</w:t>
      </w:r>
      <w:r w:rsidR="0093490E" w:rsidRPr="0093490E">
        <w:rPr>
          <w:rFonts w:eastAsia="Calibri"/>
          <w:szCs w:val="20"/>
          <w:lang w:eastAsia="en-US"/>
        </w:rPr>
        <w:t xml:space="preserve"> [5]</w:t>
      </w:r>
      <w:r w:rsidRPr="007551B6">
        <w:rPr>
          <w:rFonts w:eastAsia="Calibri"/>
          <w:szCs w:val="20"/>
          <w:lang w:eastAsia="en-US"/>
        </w:rPr>
        <w:t>.</w:t>
      </w:r>
    </w:p>
    <w:p w14:paraId="713E4685" w14:textId="77777777" w:rsidR="007551B6" w:rsidRPr="001271C5" w:rsidRDefault="007551B6" w:rsidP="007551B6">
      <w:pPr>
        <w:tabs>
          <w:tab w:val="left" w:pos="1134"/>
        </w:tabs>
        <w:spacing w:line="360" w:lineRule="auto"/>
        <w:ind w:firstLine="709"/>
        <w:jc w:val="both"/>
        <w:rPr>
          <w:rFonts w:eastAsia="Calibri"/>
          <w:sz w:val="28"/>
          <w:szCs w:val="22"/>
          <w:lang w:eastAsia="en-US"/>
        </w:rPr>
      </w:pPr>
    </w:p>
    <w:p w14:paraId="7D2442F7" w14:textId="77777777" w:rsidR="007551B6" w:rsidRPr="007551B6" w:rsidRDefault="007551B6" w:rsidP="007551B6">
      <w:pPr>
        <w:spacing w:line="360" w:lineRule="auto"/>
        <w:jc w:val="center"/>
        <w:rPr>
          <w:rFonts w:eastAsia="Calibri"/>
          <w:b/>
          <w:iCs/>
          <w:szCs w:val="20"/>
          <w:lang w:eastAsia="en-US"/>
        </w:rPr>
      </w:pPr>
      <w:r w:rsidRPr="007551B6">
        <w:rPr>
          <w:rFonts w:eastAsia="Calibri"/>
          <w:b/>
          <w:iCs/>
          <w:szCs w:val="20"/>
          <w:lang w:eastAsia="en-US"/>
        </w:rPr>
        <w:t>Библиографический список</w:t>
      </w:r>
    </w:p>
    <w:p w14:paraId="7329F83C" w14:textId="77777777" w:rsidR="007551B6" w:rsidRPr="001271C5" w:rsidRDefault="007551B6" w:rsidP="007551B6">
      <w:pPr>
        <w:ind w:firstLine="709"/>
        <w:jc w:val="both"/>
        <w:rPr>
          <w:rFonts w:eastAsia="Calibri"/>
          <w:bCs/>
          <w:szCs w:val="22"/>
          <w:lang w:eastAsia="en-US"/>
        </w:rPr>
      </w:pPr>
    </w:p>
    <w:p w14:paraId="2C251567" w14:textId="77777777" w:rsidR="007551B6" w:rsidRPr="001271C5" w:rsidRDefault="007551B6" w:rsidP="007551B6">
      <w:pPr>
        <w:tabs>
          <w:tab w:val="left" w:pos="1134"/>
        </w:tabs>
        <w:ind w:firstLine="709"/>
        <w:jc w:val="both"/>
        <w:rPr>
          <w:rFonts w:eastAsia="Calibri"/>
          <w:szCs w:val="22"/>
          <w:lang w:eastAsia="en-US"/>
        </w:rPr>
      </w:pPr>
      <w:r w:rsidRPr="001271C5">
        <w:rPr>
          <w:rFonts w:eastAsia="Calibri"/>
          <w:bCs/>
          <w:szCs w:val="22"/>
          <w:lang w:eastAsia="en-US"/>
        </w:rPr>
        <w:t>1. Черкасов, П.С.</w:t>
      </w:r>
      <w:r w:rsidRPr="001271C5">
        <w:rPr>
          <w:rFonts w:eastAsia="Calibri"/>
          <w:b/>
          <w:bCs/>
          <w:szCs w:val="22"/>
          <w:lang w:eastAsia="en-US"/>
        </w:rPr>
        <w:t xml:space="preserve"> </w:t>
      </w:r>
      <w:r w:rsidRPr="001271C5">
        <w:rPr>
          <w:rFonts w:eastAsia="Calibri"/>
          <w:szCs w:val="22"/>
          <w:lang w:eastAsia="en-US"/>
        </w:rPr>
        <w:t xml:space="preserve">Жилищно-строительная политика в комплексном социально-экономическом развитии </w:t>
      </w:r>
      <w:proofErr w:type="gramStart"/>
      <w:r w:rsidRPr="001271C5">
        <w:rPr>
          <w:rFonts w:eastAsia="Calibri"/>
          <w:szCs w:val="22"/>
          <w:lang w:eastAsia="en-US"/>
        </w:rPr>
        <w:t>региона :</w:t>
      </w:r>
      <w:proofErr w:type="gramEnd"/>
      <w:r w:rsidRPr="001271C5">
        <w:rPr>
          <w:rFonts w:eastAsia="Calibri"/>
          <w:szCs w:val="22"/>
          <w:lang w:eastAsia="en-US"/>
        </w:rPr>
        <w:t xml:space="preserve"> автореферат </w:t>
      </w:r>
      <w:proofErr w:type="spellStart"/>
      <w:r w:rsidRPr="001271C5">
        <w:rPr>
          <w:rFonts w:eastAsia="Calibri"/>
          <w:szCs w:val="22"/>
          <w:lang w:eastAsia="en-US"/>
        </w:rPr>
        <w:t>дис</w:t>
      </w:r>
      <w:proofErr w:type="spellEnd"/>
      <w:r w:rsidRPr="001271C5">
        <w:rPr>
          <w:rFonts w:eastAsia="Calibri"/>
          <w:szCs w:val="22"/>
          <w:lang w:eastAsia="en-US"/>
        </w:rPr>
        <w:t xml:space="preserve">. ... кандидата экономических </w:t>
      </w:r>
      <w:proofErr w:type="gramStart"/>
      <w:r w:rsidRPr="001271C5">
        <w:rPr>
          <w:rFonts w:eastAsia="Calibri"/>
          <w:szCs w:val="22"/>
          <w:lang w:eastAsia="en-US"/>
        </w:rPr>
        <w:t>наук :</w:t>
      </w:r>
      <w:proofErr w:type="gramEnd"/>
      <w:r w:rsidRPr="001271C5">
        <w:rPr>
          <w:rFonts w:eastAsia="Calibri"/>
          <w:szCs w:val="22"/>
          <w:lang w:eastAsia="en-US"/>
        </w:rPr>
        <w:t xml:space="preserve"> 08.00.05 / Черкасов Павел Сергеевич; [Место защиты: Ин-т проблем регион. экономики РАН]. - Санкт-Петербург, 2012. - 25 с.</w:t>
      </w:r>
    </w:p>
    <w:p w14:paraId="25B2D0C9" w14:textId="77777777" w:rsidR="007551B6" w:rsidRPr="001271C5" w:rsidRDefault="007551B6" w:rsidP="007551B6">
      <w:pPr>
        <w:tabs>
          <w:tab w:val="left" w:pos="1134"/>
        </w:tabs>
        <w:ind w:firstLine="709"/>
        <w:jc w:val="both"/>
        <w:rPr>
          <w:rFonts w:eastAsia="Calibri"/>
          <w:szCs w:val="22"/>
          <w:lang w:eastAsia="en-US"/>
        </w:rPr>
      </w:pPr>
      <w:r w:rsidRPr="001271C5">
        <w:rPr>
          <w:rFonts w:eastAsia="Calibri"/>
          <w:szCs w:val="22"/>
          <w:lang w:eastAsia="en-US"/>
        </w:rPr>
        <w:t>2.</w:t>
      </w:r>
      <w:r w:rsidRPr="001271C5">
        <w:rPr>
          <w:rFonts w:ascii="Calibri" w:eastAsia="Calibri" w:hAnsi="Calibri"/>
          <w:sz w:val="22"/>
          <w:szCs w:val="22"/>
          <w:lang w:eastAsia="en-US"/>
        </w:rPr>
        <w:t xml:space="preserve"> </w:t>
      </w:r>
      <w:r w:rsidRPr="001271C5">
        <w:rPr>
          <w:rFonts w:eastAsia="Calibri"/>
          <w:szCs w:val="22"/>
          <w:lang w:eastAsia="en-US"/>
        </w:rPr>
        <w:t>Королькова, Д. И. Оценка эффективности реализации жилищно-строительной политики региона / Д. И. Королькова, О. А. Медведев // Научные ведомости Белгородского государственного университета. Серия: Экономика. Информатика. – 2019. – Т. 46. – № 3. – С. 457-466.</w:t>
      </w:r>
    </w:p>
    <w:p w14:paraId="5800639E" w14:textId="1C35E924" w:rsidR="007551B6" w:rsidRDefault="007551B6" w:rsidP="007551B6">
      <w:pPr>
        <w:tabs>
          <w:tab w:val="left" w:pos="1134"/>
        </w:tabs>
        <w:ind w:firstLine="709"/>
        <w:jc w:val="both"/>
        <w:rPr>
          <w:rFonts w:eastAsia="Calibri"/>
          <w:szCs w:val="22"/>
          <w:lang w:eastAsia="en-US"/>
        </w:rPr>
      </w:pPr>
      <w:r w:rsidRPr="001271C5">
        <w:rPr>
          <w:rFonts w:eastAsia="Calibri"/>
          <w:szCs w:val="22"/>
          <w:lang w:eastAsia="en-US"/>
        </w:rPr>
        <w:t>3. Постановление Правительства РФ от 17 декабря 2010 г. № 1050 «О федеральной целевой программе "Жилище" на 2015–2020 годы». URL: https://base.garant.ru/57423346/ (дата обращения: 07.03.2022).</w:t>
      </w:r>
    </w:p>
    <w:p w14:paraId="4F6FE175" w14:textId="36225E3A" w:rsidR="00C00AE1" w:rsidRPr="00C00AE1" w:rsidRDefault="00C00AE1" w:rsidP="00C00AE1">
      <w:pPr>
        <w:tabs>
          <w:tab w:val="left" w:pos="1134"/>
        </w:tabs>
        <w:ind w:firstLine="709"/>
        <w:jc w:val="both"/>
        <w:rPr>
          <w:rFonts w:eastAsia="Calibri"/>
          <w:szCs w:val="22"/>
          <w:lang w:eastAsia="en-US"/>
        </w:rPr>
      </w:pPr>
      <w:r w:rsidRPr="00C00AE1">
        <w:rPr>
          <w:rFonts w:eastAsia="Calibri"/>
          <w:szCs w:val="22"/>
          <w:lang w:eastAsia="en-US"/>
        </w:rPr>
        <w:t>4.</w:t>
      </w:r>
      <w:r w:rsidRPr="00C00AE1">
        <w:rPr>
          <w:rFonts w:eastAsia="Calibri"/>
          <w:szCs w:val="22"/>
          <w:lang w:eastAsia="en-US"/>
        </w:rPr>
        <w:tab/>
      </w:r>
      <w:proofErr w:type="spellStart"/>
      <w:r w:rsidRPr="00C00AE1">
        <w:rPr>
          <w:rFonts w:eastAsia="Calibri"/>
          <w:szCs w:val="22"/>
          <w:lang w:eastAsia="en-US"/>
        </w:rPr>
        <w:t>Бузырев</w:t>
      </w:r>
      <w:proofErr w:type="spellEnd"/>
      <w:r>
        <w:rPr>
          <w:rFonts w:eastAsia="Calibri"/>
          <w:szCs w:val="22"/>
          <w:lang w:eastAsia="en-US"/>
        </w:rPr>
        <w:t>,</w:t>
      </w:r>
      <w:r w:rsidRPr="00C00AE1">
        <w:rPr>
          <w:rFonts w:eastAsia="Calibri"/>
          <w:szCs w:val="22"/>
          <w:lang w:eastAsia="en-US"/>
        </w:rPr>
        <w:t xml:space="preserve"> В.В. Экономика жилищной сферы / В.В. </w:t>
      </w:r>
      <w:proofErr w:type="spellStart"/>
      <w:r w:rsidRPr="00C00AE1">
        <w:rPr>
          <w:rFonts w:eastAsia="Calibri"/>
          <w:szCs w:val="22"/>
          <w:lang w:eastAsia="en-US"/>
        </w:rPr>
        <w:t>Бузычев</w:t>
      </w:r>
      <w:proofErr w:type="spellEnd"/>
      <w:r w:rsidRPr="00C00AE1">
        <w:rPr>
          <w:rFonts w:eastAsia="Calibri"/>
          <w:szCs w:val="22"/>
          <w:lang w:eastAsia="en-US"/>
        </w:rPr>
        <w:t>, В.С. Чекалин. Учебное пособие. – Инфра-М, 2001. – 253 c.</w:t>
      </w:r>
    </w:p>
    <w:p w14:paraId="5B3DDCB9" w14:textId="2B5CD111" w:rsidR="00C00AE1" w:rsidRPr="001271C5" w:rsidRDefault="00C00AE1" w:rsidP="00C00AE1">
      <w:pPr>
        <w:tabs>
          <w:tab w:val="left" w:pos="1134"/>
        </w:tabs>
        <w:ind w:firstLine="709"/>
        <w:jc w:val="both"/>
        <w:rPr>
          <w:rFonts w:eastAsia="Calibri"/>
          <w:szCs w:val="22"/>
          <w:lang w:eastAsia="en-US"/>
        </w:rPr>
      </w:pPr>
      <w:r w:rsidRPr="00C00AE1">
        <w:rPr>
          <w:rFonts w:eastAsia="Calibri"/>
          <w:szCs w:val="22"/>
          <w:lang w:eastAsia="en-US"/>
        </w:rPr>
        <w:t>5.</w:t>
      </w:r>
      <w:r w:rsidRPr="00C00AE1">
        <w:rPr>
          <w:rFonts w:eastAsia="Calibri"/>
          <w:szCs w:val="22"/>
          <w:lang w:eastAsia="en-US"/>
        </w:rPr>
        <w:tab/>
      </w:r>
      <w:proofErr w:type="spellStart"/>
      <w:r w:rsidRPr="00C00AE1">
        <w:rPr>
          <w:rFonts w:eastAsia="Calibri"/>
          <w:szCs w:val="22"/>
          <w:lang w:eastAsia="en-US"/>
        </w:rPr>
        <w:t>Щитинский</w:t>
      </w:r>
      <w:proofErr w:type="spellEnd"/>
      <w:r>
        <w:rPr>
          <w:rFonts w:eastAsia="Calibri"/>
          <w:szCs w:val="22"/>
          <w:lang w:eastAsia="en-US"/>
        </w:rPr>
        <w:t>,</w:t>
      </w:r>
      <w:r w:rsidRPr="00C00AE1">
        <w:rPr>
          <w:rFonts w:eastAsia="Calibri"/>
          <w:szCs w:val="22"/>
          <w:lang w:eastAsia="en-US"/>
        </w:rPr>
        <w:t xml:space="preserve"> В.А. Концепция устойчивого развития и модельное проектирование городов // </w:t>
      </w:r>
      <w:proofErr w:type="spellStart"/>
      <w:r w:rsidRPr="00C00AE1">
        <w:rPr>
          <w:rFonts w:eastAsia="Calibri"/>
          <w:szCs w:val="22"/>
          <w:lang w:eastAsia="en-US"/>
        </w:rPr>
        <w:t>РосНИПИ</w:t>
      </w:r>
      <w:proofErr w:type="spellEnd"/>
      <w:r w:rsidRPr="00C00AE1">
        <w:rPr>
          <w:rFonts w:eastAsia="Calibri"/>
          <w:szCs w:val="22"/>
          <w:lang w:eastAsia="en-US"/>
        </w:rPr>
        <w:t xml:space="preserve"> Урбанистики. – 21.09.2002. – URL: http://www.urbanistika.ru/</w:t>
      </w:r>
    </w:p>
    <w:p w14:paraId="6F14595F" w14:textId="50F2336C" w:rsidR="003C2907" w:rsidRDefault="003C2907" w:rsidP="007551B6">
      <w:pPr>
        <w:tabs>
          <w:tab w:val="left" w:pos="1134"/>
        </w:tabs>
        <w:ind w:firstLine="709"/>
      </w:pPr>
    </w:p>
    <w:p w14:paraId="32916EBC" w14:textId="77777777" w:rsidR="00C00AE1" w:rsidRPr="003D4425" w:rsidRDefault="00C00AE1" w:rsidP="00C00AE1">
      <w:pPr>
        <w:pStyle w:val="a4"/>
        <w:jc w:val="both"/>
        <w:rPr>
          <w:rFonts w:ascii="Times New Roman" w:hAnsi="Times New Roman"/>
          <w:sz w:val="24"/>
          <w:szCs w:val="24"/>
        </w:rPr>
      </w:pPr>
    </w:p>
    <w:p w14:paraId="1051EBCE" w14:textId="547A45FE" w:rsidR="00C00AE1" w:rsidRDefault="00C00AE1" w:rsidP="00C00AE1">
      <w:pPr>
        <w:jc w:val="center"/>
        <w:rPr>
          <w:b/>
          <w:bCs/>
          <w:color w:val="333333"/>
          <w:shd w:val="clear" w:color="auto" w:fill="FFFFFF"/>
        </w:rPr>
      </w:pPr>
      <w:r w:rsidRPr="00855F78">
        <w:rPr>
          <w:b/>
          <w:bCs/>
          <w:color w:val="333333"/>
          <w:shd w:val="clear" w:color="auto" w:fill="FFFFFF"/>
        </w:rPr>
        <w:t>Информация</w:t>
      </w:r>
      <w:r w:rsidRPr="006E6EBA">
        <w:rPr>
          <w:b/>
          <w:bCs/>
          <w:color w:val="333333"/>
          <w:shd w:val="clear" w:color="auto" w:fill="FFFFFF"/>
        </w:rPr>
        <w:t xml:space="preserve"> </w:t>
      </w:r>
      <w:r w:rsidRPr="00855F78">
        <w:rPr>
          <w:b/>
          <w:bCs/>
          <w:color w:val="333333"/>
          <w:shd w:val="clear" w:color="auto" w:fill="FFFFFF"/>
        </w:rPr>
        <w:t>об</w:t>
      </w:r>
      <w:r w:rsidRPr="006E6EBA">
        <w:rPr>
          <w:b/>
          <w:bCs/>
          <w:color w:val="333333"/>
          <w:shd w:val="clear" w:color="auto" w:fill="FFFFFF"/>
        </w:rPr>
        <w:t xml:space="preserve"> </w:t>
      </w:r>
      <w:r>
        <w:rPr>
          <w:b/>
          <w:bCs/>
          <w:color w:val="333333"/>
          <w:shd w:val="clear" w:color="auto" w:fill="FFFFFF"/>
        </w:rPr>
        <w:t>авторах</w:t>
      </w:r>
    </w:p>
    <w:p w14:paraId="71DC15DC" w14:textId="77777777" w:rsidR="00C00AE1" w:rsidRPr="00CD633A" w:rsidRDefault="00C00AE1" w:rsidP="00C00AE1">
      <w:pPr>
        <w:jc w:val="both"/>
        <w:rPr>
          <w:b/>
          <w:bCs/>
          <w:color w:val="333333"/>
          <w:shd w:val="clear" w:color="auto" w:fill="FFFFFF"/>
        </w:rPr>
      </w:pPr>
    </w:p>
    <w:p w14:paraId="5306C866" w14:textId="5642AEDB" w:rsidR="00C00AE1" w:rsidRPr="000038B8" w:rsidRDefault="00C00AE1" w:rsidP="00C00AE1">
      <w:pPr>
        <w:suppressAutoHyphens/>
        <w:ind w:firstLine="777"/>
        <w:jc w:val="both"/>
        <w:rPr>
          <w:lang w:val="en-US"/>
        </w:rPr>
      </w:pPr>
      <w:r w:rsidRPr="00B91F58">
        <w:t>Бабичев К</w:t>
      </w:r>
      <w:r>
        <w:t xml:space="preserve">онстантин Николаевич (Россия, Краснодар) - </w:t>
      </w:r>
      <w:r w:rsidRPr="00B91F58">
        <w:rPr>
          <w:rFonts w:eastAsia="DejaVu Sans"/>
          <w:iCs/>
          <w:lang w:eastAsia="zh-CN"/>
        </w:rPr>
        <w:t xml:space="preserve">к.э.н., доцент, </w:t>
      </w:r>
      <w:r w:rsidRPr="00855F78">
        <w:t>Федеральное государственное бюджетное</w:t>
      </w:r>
      <w:r>
        <w:t xml:space="preserve"> образовательное</w:t>
      </w:r>
      <w:r w:rsidRPr="00855F78">
        <w:t xml:space="preserve"> учреждение</w:t>
      </w:r>
      <w:r>
        <w:t xml:space="preserve"> высшего образования</w:t>
      </w:r>
      <w:r w:rsidRPr="00855F78">
        <w:t xml:space="preserve"> </w:t>
      </w:r>
      <w:r w:rsidRPr="00B91F58">
        <w:rPr>
          <w:rFonts w:eastAsia="DejaVu Sans"/>
          <w:iCs/>
          <w:lang w:eastAsia="zh-CN"/>
        </w:rPr>
        <w:t>Кубанский государственный университет</w:t>
      </w:r>
      <w:r>
        <w:rPr>
          <w:rFonts w:eastAsia="DejaVu Sans"/>
          <w:iCs/>
          <w:lang w:eastAsia="zh-CN"/>
        </w:rPr>
        <w:t xml:space="preserve"> (350040</w:t>
      </w:r>
      <w:r w:rsidRPr="00B91F58">
        <w:rPr>
          <w:rFonts w:eastAsia="DejaVu Sans"/>
          <w:iCs/>
          <w:lang w:eastAsia="zh-CN"/>
        </w:rPr>
        <w:t>,</w:t>
      </w:r>
      <w:r>
        <w:rPr>
          <w:rFonts w:eastAsia="DejaVu Sans"/>
          <w:iCs/>
          <w:lang w:eastAsia="zh-CN"/>
        </w:rPr>
        <w:t xml:space="preserve"> Россия,</w:t>
      </w:r>
      <w:r w:rsidRPr="00B91F58">
        <w:rPr>
          <w:rFonts w:eastAsia="DejaVu Sans"/>
          <w:iCs/>
          <w:lang w:eastAsia="zh-CN"/>
        </w:rPr>
        <w:t xml:space="preserve"> г. Краснодар</w:t>
      </w:r>
      <w:r>
        <w:rPr>
          <w:rFonts w:eastAsia="DejaVu Sans"/>
          <w:iCs/>
          <w:lang w:eastAsia="zh-CN"/>
        </w:rPr>
        <w:t>, ул. Ставропольская</w:t>
      </w:r>
      <w:r w:rsidRPr="000038B8">
        <w:rPr>
          <w:rFonts w:eastAsia="DejaVu Sans"/>
          <w:iCs/>
          <w:lang w:val="en-US" w:eastAsia="zh-CN"/>
        </w:rPr>
        <w:t xml:space="preserve">, 149), </w:t>
      </w:r>
      <w:r w:rsidRPr="00855F78">
        <w:rPr>
          <w:lang w:val="en-US"/>
        </w:rPr>
        <w:t>e</w:t>
      </w:r>
      <w:r w:rsidRPr="000038B8">
        <w:rPr>
          <w:lang w:val="en-US"/>
        </w:rPr>
        <w:t>-</w:t>
      </w:r>
      <w:r w:rsidRPr="00855F78">
        <w:rPr>
          <w:lang w:val="en-US"/>
        </w:rPr>
        <w:t>mail</w:t>
      </w:r>
      <w:r w:rsidRPr="000038B8">
        <w:rPr>
          <w:lang w:val="en-US"/>
        </w:rPr>
        <w:t>:</w:t>
      </w:r>
    </w:p>
    <w:p w14:paraId="573AE4FE" w14:textId="59406777" w:rsidR="00C00AE1" w:rsidRPr="00C00AE1" w:rsidRDefault="00C00AE1" w:rsidP="00C00AE1">
      <w:pPr>
        <w:suppressAutoHyphens/>
        <w:jc w:val="both"/>
        <w:rPr>
          <w:rFonts w:ascii="Calibri" w:eastAsia="DejaVu Sans" w:hAnsi="Calibri" w:cs="Calibri"/>
          <w:lang w:val="en-US" w:eastAsia="zh-CN"/>
        </w:rPr>
      </w:pPr>
      <w:r>
        <w:rPr>
          <w:lang w:val="en-US"/>
        </w:rPr>
        <w:t>babichevk@list.ru</w:t>
      </w:r>
    </w:p>
    <w:p w14:paraId="5487315E" w14:textId="4642DD07" w:rsidR="00C00AE1" w:rsidRPr="00C00AE1" w:rsidRDefault="00C00AE1" w:rsidP="00C00AE1">
      <w:pPr>
        <w:ind w:firstLine="708"/>
        <w:jc w:val="both"/>
        <w:rPr>
          <w:lang w:val="en-US"/>
        </w:rPr>
      </w:pPr>
    </w:p>
    <w:p w14:paraId="1B101F23" w14:textId="77777777" w:rsidR="00C00AE1" w:rsidRPr="00C00AE1" w:rsidRDefault="00C00AE1" w:rsidP="00C00AE1">
      <w:pPr>
        <w:ind w:firstLine="709"/>
        <w:jc w:val="both"/>
        <w:rPr>
          <w:lang w:val="en-US"/>
        </w:rPr>
      </w:pPr>
    </w:p>
    <w:p w14:paraId="5A9F3414" w14:textId="29AE606B" w:rsidR="00C00AE1" w:rsidRDefault="00C00AE1" w:rsidP="00C00AE1">
      <w:pPr>
        <w:ind w:firstLine="709"/>
        <w:jc w:val="right"/>
        <w:rPr>
          <w:lang w:val="en-US"/>
        </w:rPr>
      </w:pPr>
      <w:r w:rsidRPr="007551B6">
        <w:rPr>
          <w:rFonts w:eastAsia="Calibri"/>
          <w:b/>
          <w:szCs w:val="20"/>
          <w:lang w:val="en-US" w:eastAsia="en-US"/>
        </w:rPr>
        <w:t xml:space="preserve">K.N. </w:t>
      </w:r>
      <w:proofErr w:type="spellStart"/>
      <w:r w:rsidRPr="007551B6">
        <w:rPr>
          <w:rFonts w:eastAsia="Calibri"/>
          <w:b/>
          <w:szCs w:val="20"/>
          <w:lang w:val="en-US" w:eastAsia="en-US"/>
        </w:rPr>
        <w:t>Babichev</w:t>
      </w:r>
      <w:proofErr w:type="spellEnd"/>
    </w:p>
    <w:p w14:paraId="3A6B7B83" w14:textId="336CFB18" w:rsidR="00C00AE1" w:rsidRPr="00C23B84" w:rsidRDefault="000038B8" w:rsidP="00C00AE1">
      <w:pPr>
        <w:jc w:val="center"/>
        <w:rPr>
          <w:rFonts w:eastAsia="Calibri"/>
          <w:b/>
          <w:szCs w:val="20"/>
          <w:lang w:val="en-US" w:eastAsia="en-US"/>
        </w:rPr>
      </w:pPr>
      <w:r w:rsidRPr="007551B6">
        <w:rPr>
          <w:rFonts w:eastAsia="Calibri"/>
          <w:b/>
          <w:szCs w:val="20"/>
          <w:lang w:val="en-US" w:eastAsia="en-US"/>
        </w:rPr>
        <w:t xml:space="preserve">Assessment of the effectiveness of the implementation of housing policy in the </w:t>
      </w:r>
      <w:proofErr w:type="spellStart"/>
      <w:r>
        <w:rPr>
          <w:rFonts w:eastAsia="Calibri"/>
          <w:b/>
          <w:szCs w:val="20"/>
          <w:lang w:val="en-US" w:eastAsia="en-US"/>
        </w:rPr>
        <w:t>D</w:t>
      </w:r>
      <w:r w:rsidRPr="007551B6">
        <w:rPr>
          <w:rFonts w:eastAsia="Calibri"/>
          <w:b/>
          <w:szCs w:val="20"/>
          <w:lang w:val="en-US" w:eastAsia="en-US"/>
        </w:rPr>
        <w:t>insky</w:t>
      </w:r>
      <w:proofErr w:type="spellEnd"/>
      <w:r w:rsidRPr="007551B6">
        <w:rPr>
          <w:rFonts w:eastAsia="Calibri"/>
          <w:b/>
          <w:szCs w:val="20"/>
          <w:lang w:val="en-US" w:eastAsia="en-US"/>
        </w:rPr>
        <w:t xml:space="preserve"> district</w:t>
      </w:r>
      <w:r w:rsidR="00C23B84" w:rsidRPr="00C23B84">
        <w:rPr>
          <w:rFonts w:eastAsia="Calibri"/>
          <w:b/>
          <w:szCs w:val="20"/>
          <w:lang w:val="en-US" w:eastAsia="en-US"/>
        </w:rPr>
        <w:t xml:space="preserve"> </w:t>
      </w:r>
      <w:r>
        <w:rPr>
          <w:rFonts w:eastAsia="Calibri"/>
          <w:b/>
          <w:szCs w:val="20"/>
          <w:lang w:val="en-US" w:eastAsia="en-US"/>
        </w:rPr>
        <w:t>Krasnodar region</w:t>
      </w:r>
    </w:p>
    <w:p w14:paraId="486E30B9" w14:textId="77777777" w:rsidR="00C00AE1" w:rsidRPr="007551B6" w:rsidRDefault="00C00AE1" w:rsidP="00C00AE1">
      <w:pPr>
        <w:jc w:val="both"/>
        <w:rPr>
          <w:rFonts w:eastAsia="Calibri"/>
          <w:szCs w:val="20"/>
          <w:lang w:val="en-US" w:eastAsia="en-US"/>
        </w:rPr>
      </w:pPr>
    </w:p>
    <w:p w14:paraId="465004C5" w14:textId="77777777" w:rsidR="00C00AE1" w:rsidRPr="007551B6" w:rsidRDefault="00C00AE1" w:rsidP="00C00AE1">
      <w:pPr>
        <w:jc w:val="both"/>
        <w:rPr>
          <w:rFonts w:eastAsia="Calibri"/>
          <w:szCs w:val="20"/>
          <w:lang w:val="en-US" w:eastAsia="en-US"/>
        </w:rPr>
      </w:pPr>
    </w:p>
    <w:p w14:paraId="16DDDF80" w14:textId="77777777" w:rsidR="00C00AE1" w:rsidRPr="007551B6" w:rsidRDefault="00C00AE1" w:rsidP="00C00AE1">
      <w:pPr>
        <w:ind w:firstLine="709"/>
        <w:jc w:val="both"/>
        <w:rPr>
          <w:rFonts w:eastAsia="Calibri"/>
          <w:sz w:val="22"/>
          <w:szCs w:val="20"/>
          <w:lang w:val="en-US" w:eastAsia="en-US"/>
        </w:rPr>
      </w:pPr>
      <w:r w:rsidRPr="007551B6">
        <w:rPr>
          <w:rFonts w:eastAsia="Calibri"/>
          <w:b/>
          <w:sz w:val="22"/>
          <w:szCs w:val="20"/>
          <w:lang w:val="en-US" w:eastAsia="en-US"/>
        </w:rPr>
        <w:t>Abstract:</w:t>
      </w:r>
      <w:r w:rsidRPr="007551B6">
        <w:rPr>
          <w:rFonts w:eastAsia="Calibri"/>
          <w:sz w:val="22"/>
          <w:szCs w:val="20"/>
          <w:lang w:val="en-US" w:eastAsia="en-US"/>
        </w:rPr>
        <w:t xml:space="preserve"> this article substantiates the relevance of conducting a comprehensive assessment of the effectiveness of housing policy in terms of the achievability of its targets for the development of measures of state regulation of the housing market. An algorithm for assessing the development of the housing market has been developed, which allows determining the effectiveness of the housing policy, considering the social and economic results of implementation. The application of the proposed algorithm in the activities of public authorities will improve the efficiency of the development and implementation of housing programs for the construction of affordable residential real estate.</w:t>
      </w:r>
    </w:p>
    <w:p w14:paraId="58D3F8FB" w14:textId="77777777" w:rsidR="00C00AE1" w:rsidRPr="007551B6" w:rsidRDefault="00C00AE1" w:rsidP="00C00AE1">
      <w:pPr>
        <w:ind w:firstLine="709"/>
        <w:jc w:val="both"/>
        <w:rPr>
          <w:rFonts w:eastAsia="Calibri"/>
          <w:sz w:val="22"/>
          <w:szCs w:val="20"/>
          <w:lang w:val="en-US" w:eastAsia="en-US"/>
        </w:rPr>
      </w:pPr>
      <w:r w:rsidRPr="007551B6">
        <w:rPr>
          <w:rFonts w:eastAsia="Calibri"/>
          <w:b/>
          <w:sz w:val="22"/>
          <w:szCs w:val="20"/>
          <w:lang w:val="en-US" w:eastAsia="en-US"/>
        </w:rPr>
        <w:t>Keywords:</w:t>
      </w:r>
      <w:r w:rsidRPr="007551B6">
        <w:rPr>
          <w:rFonts w:eastAsia="Calibri"/>
          <w:sz w:val="22"/>
          <w:szCs w:val="20"/>
          <w:lang w:val="en-US" w:eastAsia="en-US"/>
        </w:rPr>
        <w:t xml:space="preserve"> housing policy, housing market, assessment, efficiency, development</w:t>
      </w:r>
    </w:p>
    <w:p w14:paraId="1533F6A3" w14:textId="77777777" w:rsidR="00C00AE1" w:rsidRPr="004B78FC" w:rsidRDefault="00C00AE1" w:rsidP="00C00AE1">
      <w:pPr>
        <w:ind w:firstLine="709"/>
        <w:jc w:val="both"/>
        <w:rPr>
          <w:b/>
          <w:lang w:val="en-US"/>
        </w:rPr>
      </w:pPr>
    </w:p>
    <w:p w14:paraId="05898EA7" w14:textId="77777777" w:rsidR="00C00AE1" w:rsidRPr="004B78FC" w:rsidRDefault="00C00AE1" w:rsidP="00C23B84">
      <w:pPr>
        <w:jc w:val="center"/>
        <w:rPr>
          <w:b/>
          <w:lang w:val="en-US"/>
        </w:rPr>
      </w:pPr>
      <w:r w:rsidRPr="00196BD9">
        <w:rPr>
          <w:b/>
          <w:lang w:val="en-US"/>
        </w:rPr>
        <w:lastRenderedPageBreak/>
        <w:t>About the author</w:t>
      </w:r>
      <w:r>
        <w:rPr>
          <w:b/>
          <w:lang w:val="en-US"/>
        </w:rPr>
        <w:t>s</w:t>
      </w:r>
    </w:p>
    <w:p w14:paraId="6CF6CD8E" w14:textId="110C643F" w:rsidR="00C00AE1" w:rsidRPr="003F316C" w:rsidRDefault="00C00AE1" w:rsidP="00C00AE1">
      <w:pPr>
        <w:ind w:firstLine="709"/>
        <w:jc w:val="both"/>
        <w:rPr>
          <w:lang w:val="en-US"/>
        </w:rPr>
      </w:pPr>
      <w:proofErr w:type="spellStart"/>
      <w:r w:rsidRPr="00C00AE1">
        <w:rPr>
          <w:lang w:val="en-US"/>
        </w:rPr>
        <w:t>Babichev</w:t>
      </w:r>
      <w:proofErr w:type="spellEnd"/>
      <w:r w:rsidRPr="00C00AE1">
        <w:rPr>
          <w:lang w:val="en-US"/>
        </w:rPr>
        <w:t xml:space="preserve"> Konstantin </w:t>
      </w:r>
      <w:proofErr w:type="spellStart"/>
      <w:r w:rsidRPr="00C00AE1">
        <w:rPr>
          <w:lang w:val="en-US"/>
        </w:rPr>
        <w:t>Nikolaevich</w:t>
      </w:r>
      <w:proofErr w:type="spellEnd"/>
      <w:r w:rsidRPr="00C00AE1">
        <w:rPr>
          <w:lang w:val="en-US"/>
        </w:rPr>
        <w:t xml:space="preserve"> (Krasnodar, Russia) - </w:t>
      </w:r>
      <w:r w:rsidRPr="00B91F58">
        <w:rPr>
          <w:lang w:val="en-US"/>
        </w:rPr>
        <w:t>PhD, associate Professor</w:t>
      </w:r>
      <w:r w:rsidRPr="00C00AE1">
        <w:rPr>
          <w:lang w:val="en-US"/>
        </w:rPr>
        <w:t>, Kuban State University (149 Stavropol str., Krasnodar, 350040, Russia), e-mail:</w:t>
      </w:r>
      <w:r>
        <w:rPr>
          <w:lang w:val="en-US"/>
        </w:rPr>
        <w:t xml:space="preserve"> </w:t>
      </w:r>
      <w:r w:rsidRPr="00C00AE1">
        <w:rPr>
          <w:lang w:val="en-US"/>
        </w:rPr>
        <w:t>babichevk@list.ru</w:t>
      </w:r>
      <w:r w:rsidRPr="003F316C">
        <w:rPr>
          <w:lang w:val="en-US"/>
        </w:rPr>
        <w:t xml:space="preserve"> </w:t>
      </w:r>
    </w:p>
    <w:p w14:paraId="5338B83F" w14:textId="77777777" w:rsidR="00C00AE1" w:rsidRPr="004B78FC" w:rsidRDefault="00C00AE1" w:rsidP="00C00AE1">
      <w:pPr>
        <w:ind w:firstLine="709"/>
        <w:jc w:val="center"/>
        <w:rPr>
          <w:b/>
          <w:lang w:val="en-US"/>
        </w:rPr>
      </w:pPr>
    </w:p>
    <w:p w14:paraId="420125DF" w14:textId="77777777" w:rsidR="00C00AE1" w:rsidRPr="006B0DC6" w:rsidRDefault="00C00AE1" w:rsidP="00C00AE1">
      <w:pPr>
        <w:jc w:val="center"/>
        <w:rPr>
          <w:b/>
          <w:lang w:val="en-US"/>
        </w:rPr>
      </w:pPr>
      <w:r>
        <w:rPr>
          <w:b/>
          <w:lang w:val="en-US"/>
        </w:rPr>
        <w:t>References</w:t>
      </w:r>
    </w:p>
    <w:p w14:paraId="4116C5D0" w14:textId="311BA391" w:rsidR="00C00AE1" w:rsidRDefault="00C00AE1" w:rsidP="00C00AE1">
      <w:pPr>
        <w:ind w:firstLine="709"/>
        <w:jc w:val="center"/>
        <w:rPr>
          <w:b/>
          <w:lang w:val="en-US"/>
        </w:rPr>
      </w:pPr>
    </w:p>
    <w:p w14:paraId="53EBA459" w14:textId="77777777" w:rsidR="00C23B84" w:rsidRPr="00C23B84" w:rsidRDefault="00C23B84" w:rsidP="00C23B84">
      <w:pPr>
        <w:ind w:firstLine="709"/>
        <w:jc w:val="both"/>
        <w:rPr>
          <w:bCs/>
          <w:lang w:val="en-US"/>
        </w:rPr>
      </w:pPr>
      <w:r w:rsidRPr="00C23B84">
        <w:rPr>
          <w:bCs/>
          <w:lang w:val="en-US"/>
        </w:rPr>
        <w:t xml:space="preserve">1. </w:t>
      </w:r>
      <w:proofErr w:type="spellStart"/>
      <w:r w:rsidRPr="00C23B84">
        <w:rPr>
          <w:bCs/>
          <w:lang w:val="en-US"/>
        </w:rPr>
        <w:t>Cherkasov</w:t>
      </w:r>
      <w:proofErr w:type="spellEnd"/>
      <w:r w:rsidRPr="00C23B84">
        <w:rPr>
          <w:bCs/>
          <w:lang w:val="en-US"/>
        </w:rPr>
        <w:t xml:space="preserve">, P.S. Housing and construction policy in the complex socio-economic development of the </w:t>
      </w:r>
      <w:proofErr w:type="gramStart"/>
      <w:r w:rsidRPr="00C23B84">
        <w:rPr>
          <w:bCs/>
          <w:lang w:val="en-US"/>
        </w:rPr>
        <w:t>region :</w:t>
      </w:r>
      <w:proofErr w:type="gramEnd"/>
      <w:r w:rsidRPr="00C23B84">
        <w:rPr>
          <w:bCs/>
          <w:lang w:val="en-US"/>
        </w:rPr>
        <w:t xml:space="preserve"> abstract of the dissertation of the Candidate of Economic Sciences : 08.00.05 / </w:t>
      </w:r>
      <w:proofErr w:type="spellStart"/>
      <w:r w:rsidRPr="00C23B84">
        <w:rPr>
          <w:bCs/>
          <w:lang w:val="en-US"/>
        </w:rPr>
        <w:t>Cherkasov</w:t>
      </w:r>
      <w:proofErr w:type="spellEnd"/>
      <w:r w:rsidRPr="00C23B84">
        <w:rPr>
          <w:bCs/>
          <w:lang w:val="en-US"/>
        </w:rPr>
        <w:t xml:space="preserve"> Pavel </w:t>
      </w:r>
      <w:proofErr w:type="spellStart"/>
      <w:r w:rsidRPr="00C23B84">
        <w:rPr>
          <w:bCs/>
          <w:lang w:val="en-US"/>
        </w:rPr>
        <w:t>Sergeevich</w:t>
      </w:r>
      <w:proofErr w:type="spellEnd"/>
      <w:r w:rsidRPr="00C23B84">
        <w:rPr>
          <w:bCs/>
          <w:lang w:val="en-US"/>
        </w:rPr>
        <w:t>; [Place of protection: Institute of Problems of the region. economics of the Russian Academy of Sciences]. - St. Petersburg, 2012. - 25 p.</w:t>
      </w:r>
    </w:p>
    <w:p w14:paraId="120CD28F" w14:textId="77777777" w:rsidR="00C23B84" w:rsidRPr="00C23B84" w:rsidRDefault="00C23B84" w:rsidP="00C23B84">
      <w:pPr>
        <w:ind w:firstLine="709"/>
        <w:jc w:val="both"/>
        <w:rPr>
          <w:bCs/>
          <w:lang w:val="en-US"/>
        </w:rPr>
      </w:pPr>
      <w:r w:rsidRPr="00C23B84">
        <w:rPr>
          <w:bCs/>
          <w:lang w:val="en-US"/>
        </w:rPr>
        <w:t xml:space="preserve">2. </w:t>
      </w:r>
      <w:proofErr w:type="spellStart"/>
      <w:r w:rsidRPr="00C23B84">
        <w:rPr>
          <w:bCs/>
          <w:lang w:val="en-US"/>
        </w:rPr>
        <w:t>Korolkova</w:t>
      </w:r>
      <w:proofErr w:type="spellEnd"/>
      <w:r w:rsidRPr="00C23B84">
        <w:rPr>
          <w:bCs/>
          <w:lang w:val="en-US"/>
        </w:rPr>
        <w:t xml:space="preserve">, D. I. Evaluation of the effectiveness of the implementation of housing and construction policy of the region / D. I. </w:t>
      </w:r>
      <w:proofErr w:type="spellStart"/>
      <w:r w:rsidRPr="00C23B84">
        <w:rPr>
          <w:bCs/>
          <w:lang w:val="en-US"/>
        </w:rPr>
        <w:t>Korolkova</w:t>
      </w:r>
      <w:proofErr w:type="spellEnd"/>
      <w:r w:rsidRPr="00C23B84">
        <w:rPr>
          <w:bCs/>
          <w:lang w:val="en-US"/>
        </w:rPr>
        <w:t>, O. A. Medvedev // Scientific Bulletin of Belgorod State University. Series: Economics. Computer science. – 2019. – Vol. 46. – No. 3. – pp. 457-466.</w:t>
      </w:r>
    </w:p>
    <w:p w14:paraId="10F684D4" w14:textId="77777777" w:rsidR="00C23B84" w:rsidRPr="00C23B84" w:rsidRDefault="00C23B84" w:rsidP="00C23B84">
      <w:pPr>
        <w:ind w:firstLine="709"/>
        <w:jc w:val="both"/>
        <w:rPr>
          <w:bCs/>
          <w:lang w:val="en-US"/>
        </w:rPr>
      </w:pPr>
      <w:r w:rsidRPr="00C23B84">
        <w:rPr>
          <w:bCs/>
          <w:lang w:val="en-US"/>
        </w:rPr>
        <w:t>3. Decree of the Government of the Russian Federation No. 1050 dated December 17, 2010 "On the Federal target program "Housing" for 2015-2020". URL: https://base.garant.ru/57423346 / (date of reference: 07.03.2022).</w:t>
      </w:r>
    </w:p>
    <w:p w14:paraId="5C527A6D" w14:textId="77777777" w:rsidR="00C23B84" w:rsidRPr="00C23B84" w:rsidRDefault="00C23B84" w:rsidP="00C23B84">
      <w:pPr>
        <w:ind w:firstLine="709"/>
        <w:jc w:val="both"/>
        <w:rPr>
          <w:bCs/>
          <w:lang w:val="en-US"/>
        </w:rPr>
      </w:pPr>
      <w:r w:rsidRPr="00C23B84">
        <w:rPr>
          <w:bCs/>
          <w:lang w:val="en-US"/>
        </w:rPr>
        <w:t xml:space="preserve">4. </w:t>
      </w:r>
      <w:proofErr w:type="spellStart"/>
      <w:r w:rsidRPr="00C23B84">
        <w:rPr>
          <w:bCs/>
          <w:lang w:val="en-US"/>
        </w:rPr>
        <w:t>Buzyrev</w:t>
      </w:r>
      <w:proofErr w:type="spellEnd"/>
      <w:r w:rsidRPr="00C23B84">
        <w:rPr>
          <w:bCs/>
          <w:lang w:val="en-US"/>
        </w:rPr>
        <w:t xml:space="preserve">, V.V. Economics of the housing sector / V.V. </w:t>
      </w:r>
      <w:proofErr w:type="spellStart"/>
      <w:r w:rsidRPr="00C23B84">
        <w:rPr>
          <w:bCs/>
          <w:lang w:val="en-US"/>
        </w:rPr>
        <w:t>Buzychev</w:t>
      </w:r>
      <w:proofErr w:type="spellEnd"/>
      <w:r w:rsidRPr="00C23B84">
        <w:rPr>
          <w:bCs/>
          <w:lang w:val="en-US"/>
        </w:rPr>
        <w:t xml:space="preserve">, V.S. </w:t>
      </w:r>
      <w:proofErr w:type="spellStart"/>
      <w:r w:rsidRPr="00C23B84">
        <w:rPr>
          <w:bCs/>
          <w:lang w:val="en-US"/>
        </w:rPr>
        <w:t>Chekalin</w:t>
      </w:r>
      <w:proofErr w:type="spellEnd"/>
      <w:r w:rsidRPr="00C23B84">
        <w:rPr>
          <w:bCs/>
          <w:lang w:val="en-US"/>
        </w:rPr>
        <w:t>. Study guide. – Infra-M, 2001. - 253 p.</w:t>
      </w:r>
    </w:p>
    <w:p w14:paraId="0C5EC47A" w14:textId="632F9764" w:rsidR="00C23B84" w:rsidRPr="00C23B84" w:rsidRDefault="00C23B84" w:rsidP="00C23B84">
      <w:pPr>
        <w:ind w:firstLine="709"/>
        <w:jc w:val="both"/>
        <w:rPr>
          <w:bCs/>
          <w:lang w:val="en-US"/>
        </w:rPr>
      </w:pPr>
      <w:r w:rsidRPr="00C23B84">
        <w:rPr>
          <w:bCs/>
          <w:lang w:val="en-US"/>
        </w:rPr>
        <w:t xml:space="preserve">5. </w:t>
      </w:r>
      <w:proofErr w:type="spellStart"/>
      <w:r w:rsidRPr="00C23B84">
        <w:rPr>
          <w:bCs/>
          <w:lang w:val="en-US"/>
        </w:rPr>
        <w:t>Shchitinsky</w:t>
      </w:r>
      <w:proofErr w:type="spellEnd"/>
      <w:r w:rsidRPr="00C23B84">
        <w:rPr>
          <w:bCs/>
          <w:lang w:val="en-US"/>
        </w:rPr>
        <w:t xml:space="preserve">, V.A. The concept of sustainable development and model design of cities // </w:t>
      </w:r>
      <w:proofErr w:type="spellStart"/>
      <w:r w:rsidRPr="00C23B84">
        <w:rPr>
          <w:bCs/>
          <w:lang w:val="en-US"/>
        </w:rPr>
        <w:t>RosNIPI</w:t>
      </w:r>
      <w:proofErr w:type="spellEnd"/>
      <w:r w:rsidRPr="00C23B84">
        <w:rPr>
          <w:bCs/>
          <w:lang w:val="en-US"/>
        </w:rPr>
        <w:t xml:space="preserve"> </w:t>
      </w:r>
      <w:proofErr w:type="spellStart"/>
      <w:r w:rsidRPr="00C23B84">
        <w:rPr>
          <w:bCs/>
          <w:lang w:val="en-US"/>
        </w:rPr>
        <w:t>Urbanistics</w:t>
      </w:r>
      <w:proofErr w:type="spellEnd"/>
      <w:r w:rsidRPr="00C23B84">
        <w:rPr>
          <w:bCs/>
          <w:lang w:val="en-US"/>
        </w:rPr>
        <w:t>. – 21.09.2002. – URL: http://www.urbanistika.ru/</w:t>
      </w:r>
    </w:p>
    <w:sectPr w:rsidR="00C23B84" w:rsidRPr="00C23B84" w:rsidSect="007551B6">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DejaVu Sans">
    <w:charset w:val="CC"/>
    <w:family w:val="swiss"/>
    <w:pitch w:val="variable"/>
    <w:sig w:usb0="E7000EFF" w:usb1="5200FDFF" w:usb2="0A042021" w:usb3="00000000" w:csb0="000001B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33E5727"/>
    <w:multiLevelType w:val="hybridMultilevel"/>
    <w:tmpl w:val="1FAC606C"/>
    <w:lvl w:ilvl="0" w:tplc="DB6E87EC">
      <w:start w:val="1"/>
      <w:numFmt w:val="bullet"/>
      <w:lvlText w:val=""/>
      <w:lvlJc w:val="left"/>
      <w:pPr>
        <w:ind w:left="1069" w:hanging="360"/>
      </w:pPr>
      <w:rPr>
        <w:rFonts w:ascii="Symbol" w:hAnsi="Symbol"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16cid:durableId="75150649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51B6"/>
    <w:rsid w:val="000038B8"/>
    <w:rsid w:val="003C2907"/>
    <w:rsid w:val="00446B22"/>
    <w:rsid w:val="006F00B8"/>
    <w:rsid w:val="007551B6"/>
    <w:rsid w:val="0093490E"/>
    <w:rsid w:val="00C00AE1"/>
    <w:rsid w:val="00C23B8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FAA9F4"/>
  <w15:chartTrackingRefBased/>
  <w15:docId w15:val="{6814C90C-697B-4A1A-9648-46786ABCD7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551B6"/>
    <w:pPr>
      <w:spacing w:after="0" w:line="240" w:lineRule="auto"/>
    </w:pPr>
    <w:rPr>
      <w:rFonts w:ascii="Times New Roman" w:eastAsia="Times New Roman" w:hAnsi="Times New Roman" w:cs="Times New Roman"/>
      <w:kern w:val="0"/>
      <w:sz w:val="24"/>
      <w:szCs w:val="24"/>
      <w:lang w:eastAsia="ru-RU"/>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7551B6"/>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footnote text"/>
    <w:basedOn w:val="a"/>
    <w:link w:val="a5"/>
    <w:uiPriority w:val="99"/>
    <w:unhideWhenUsed/>
    <w:rsid w:val="00C00AE1"/>
    <w:rPr>
      <w:rFonts w:ascii="Calibri" w:eastAsia="Calibri" w:hAnsi="Calibri"/>
      <w:sz w:val="20"/>
      <w:szCs w:val="20"/>
      <w:lang w:eastAsia="en-US"/>
    </w:rPr>
  </w:style>
  <w:style w:type="character" w:customStyle="1" w:styleId="a5">
    <w:name w:val="Текст сноски Знак"/>
    <w:basedOn w:val="a0"/>
    <w:link w:val="a4"/>
    <w:uiPriority w:val="99"/>
    <w:rsid w:val="00C00AE1"/>
    <w:rPr>
      <w:rFonts w:ascii="Calibri" w:eastAsia="Calibri" w:hAnsi="Calibri" w:cs="Times New Roman"/>
      <w:kern w:val="0"/>
      <w:sz w:val="20"/>
      <w:szCs w:val="20"/>
      <w14:ligatures w14:val="none"/>
    </w:rPr>
  </w:style>
  <w:style w:type="character" w:styleId="a6">
    <w:name w:val="Hyperlink"/>
    <w:basedOn w:val="a0"/>
    <w:uiPriority w:val="99"/>
    <w:unhideWhenUsed/>
    <w:rsid w:val="00C00AE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ettings" Target="setting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microsoft.com/office/2007/relationships/hdphoto" Target="media/hdphoto1.wdp"/><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microsoft.com/office/2007/relationships/hdphoto" Target="media/hdphoto2.wdp"/></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5</Pages>
  <Words>1448</Words>
  <Characters>8255</Characters>
  <Application>Microsoft Office Word</Application>
  <DocSecurity>0</DocSecurity>
  <Lines>68</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Константин Бабичев</dc:creator>
  <cp:keywords/>
  <dc:description/>
  <cp:lastModifiedBy>Константин Бабичев</cp:lastModifiedBy>
  <cp:revision>4</cp:revision>
  <dcterms:created xsi:type="dcterms:W3CDTF">2023-03-21T15:10:00Z</dcterms:created>
  <dcterms:modified xsi:type="dcterms:W3CDTF">2023-03-21T16:02:00Z</dcterms:modified>
</cp:coreProperties>
</file>