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1D681" w14:textId="1610D9E6">
      <w:pPr>
        <w:spacing w:line="360" w:lineRule="auto"/>
        <w:ind w:firstLine="709"/>
        <w:rPr>
          <w:rFonts w:ascii="Times New Roman" w:hAnsi="Times New Roman" w:cs="Times New Roman"/>
          <w:sz w:val="24"/>
          <w:szCs w:val="24"/>
        </w:rPr>
      </w:pPr>
      <w:bookmarkStart w:id="0" w:name="_Toc514660543"/>
      <w:r>
        <w:rPr>
          <w:rStyle w:val="a3"/>
          <w:rFonts w:ascii="Times New Roman" w:hAnsi="Times New Roman" w:cs="Times New Roman"/>
          <w:b w:val="0"/>
          <w:bCs w:val="0"/>
          <w:sz w:val="24"/>
          <w:szCs w:val="24"/>
        </w:rPr>
        <w:t xml:space="preserve">УДК </w:t>
      </w:r>
      <w:r>
        <w:rPr>
          <w:rFonts w:ascii="Times New Roman" w:hAnsi="Times New Roman" w:cs="Times New Roman"/>
          <w:bCs/>
          <w:sz w:val="24"/>
          <w:szCs w:val="24"/>
        </w:rPr>
        <w:t>316.334.22 (470.13)</w:t>
      </w:r>
    </w:p>
    <w:p w14:paraId="4CF1B5FB" w14:textId="59203583">
      <w:pPr>
        <w:spacing w:line="360" w:lineRule="auto"/>
        <w:ind w:firstLine="709"/>
        <w:jc w:val="right"/>
        <w:rPr>
          <w:rFonts w:ascii="Times New Roman" w:hAnsi="Times New Roman" w:cs="Times New Roman"/>
          <w:sz w:val="24"/>
          <w:szCs w:val="24"/>
        </w:rPr>
      </w:pPr>
      <w:r>
        <w:rPr>
          <w:rFonts w:ascii="Times New Roman" w:hAnsi="Times New Roman" w:cs="Times New Roman"/>
          <w:sz w:val="24"/>
          <w:szCs w:val="24"/>
        </w:rPr>
        <w:t>Терентьева</w:t>
      </w:r>
      <w:bookmarkStart w:id="1" w:name="_Toc514660542"/>
      <w:r>
        <w:rPr>
          <w:rFonts w:ascii="Times New Roman" w:hAnsi="Times New Roman" w:cs="Times New Roman"/>
          <w:sz w:val="24"/>
          <w:szCs w:val="24"/>
        </w:rPr>
        <w:t xml:space="preserve"> М.А.</w:t>
      </w:r>
      <w:bookmarkEnd w:id="1"/>
    </w:p>
    <w:p w14:paraId="3D29BE17" w14:textId="056E441D">
      <w:pPr>
        <w:spacing w:line="240" w:lineRule="auto"/>
        <w:ind w:firstLine="709"/>
        <w:jc w:val="center"/>
        <w:rPr>
          <w:rFonts w:ascii="Times New Roman" w:hAnsi="Times New Roman" w:cs="Times New Roman"/>
          <w:b/>
          <w:bCs/>
          <w:caps/>
          <w:sz w:val="24"/>
          <w:szCs w:val="24"/>
        </w:rPr>
      </w:pPr>
      <w:r>
        <w:rPr>
          <w:rFonts w:ascii="Times New Roman" w:hAnsi="Times New Roman" w:cs="Times New Roman"/>
          <w:b/>
          <w:bCs/>
          <w:caps/>
          <w:sz w:val="24"/>
          <w:szCs w:val="24"/>
        </w:rPr>
        <w:t>Образовательная структура населения северных и южных регионов России</w:t>
      </w:r>
    </w:p>
    <w:p w14:paraId="7237B225" w14:textId="5DBA3CAF">
      <w:pPr>
        <w:spacing w:line="240" w:lineRule="auto"/>
        <w:ind w:firstLine="709"/>
        <w:jc w:val="center"/>
        <w:rPr>
          <w:rFonts w:ascii="Times New Roman" w:hAnsi="Times New Roman" w:cs="Times New Roman"/>
          <w:b/>
          <w:bCs/>
          <w:caps/>
          <w:sz w:val="24"/>
          <w:szCs w:val="24"/>
        </w:rPr>
      </w:pPr>
    </w:p>
    <w:p w14:paraId="29B67F39" w14:textId="70E55B03">
      <w:pPr>
        <w:spacing w:after="0" w:line="247" w:lineRule="auto"/>
        <w:ind w:firstLine="425"/>
        <w:jc w:val="both"/>
        <w:rPr>
          <w:rFonts w:ascii="Times New Roman" w:hAnsi="Times New Roman" w:cs="Times New Roman"/>
        </w:rPr>
      </w:pPr>
      <w:r>
        <w:rPr>
          <w:rFonts w:ascii="Times New Roman" w:hAnsi="Times New Roman" w:cs="Times New Roman"/>
          <w:sz w:val="24"/>
          <w:szCs w:val="24"/>
        </w:rPr>
        <w:t>Аннотация</w:t>
      </w:r>
      <w:r>
        <w:rPr>
          <w:rFonts w:ascii="Times New Roman" w:hAnsi="Times New Roman" w:cs="Times New Roman"/>
          <w:caps/>
          <w:sz w:val="24"/>
          <w:szCs w:val="24"/>
        </w:rPr>
        <w:t>.</w:t>
      </w:r>
      <w:r>
        <w:rPr>
          <w:rFonts w:ascii="Times New Roman" w:hAnsi="Times New Roman" w:cs="Times New Roman"/>
          <w:b/>
          <w:bCs/>
          <w:caps/>
          <w:sz w:val="24"/>
          <w:szCs w:val="24"/>
        </w:rPr>
        <w:t xml:space="preserve"> </w:t>
      </w:r>
      <w:r>
        <w:rPr>
          <w:rFonts w:ascii="Times New Roman" w:hAnsi="Times New Roman" w:cs="Times New Roman"/>
        </w:rPr>
        <w:t>Социально-экономическое развитие регионов России на современном этапе носит неравномерный характер и во многом зависит от объективных факторов, определяющих возможности регионального развития. Статья рассматривает образовательную структуру населения северных и южных регионов России.</w:t>
      </w:r>
    </w:p>
    <w:p w14:paraId="2B4A0FD6" w14:textId="450A5F96">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Ключевые слова: уровень профессионального образования, перепись, север, юг</w:t>
      </w:r>
    </w:p>
    <w:p w14:paraId="033DAE0E" w14:textId="77777777">
      <w:pPr>
        <w:spacing w:line="240" w:lineRule="auto"/>
        <w:ind w:firstLine="709"/>
        <w:jc w:val="both"/>
        <w:rPr>
          <w:rFonts w:ascii="Times New Roman" w:hAnsi="Times New Roman" w:cs="Times New Roman"/>
          <w:sz w:val="24"/>
          <w:szCs w:val="24"/>
        </w:rPr>
      </w:pPr>
    </w:p>
    <w:bookmarkEnd w:id="0"/>
    <w:p w14:paraId="17679D35" w14:textId="5A703ADD">
      <w:pPr>
        <w:pStyle w:val="Style4"/>
        <w:widowControl/>
        <w:spacing w:line="360" w:lineRule="auto"/>
        <w:ind w:firstLine="709"/>
        <w:jc w:val="both"/>
        <w:rPr>
          <w:rStyle w:val="FontStyle80"/>
          <w:rFonts w:ascii="Times New Roman" w:hAnsi="Times New Roman" w:cs="Times New Roman"/>
          <w:color w:val="000000"/>
          <w:sz w:val="24"/>
          <w:szCs w:val="24"/>
          <w:lang w:val="ru-RU"/>
        </w:rPr>
      </w:pPr>
      <w:r>
        <w:rPr>
          <w:rStyle w:val="FontStyle80"/>
          <w:rFonts w:ascii="Times New Roman" w:hAnsi="Times New Roman" w:cs="Times New Roman"/>
          <w:color w:val="000000"/>
          <w:sz w:val="24"/>
          <w:szCs w:val="24"/>
          <w:lang w:val="ru-RU"/>
        </w:rPr>
        <w:t xml:space="preserve">Образовательный уровень населения является важнейшей демографической характеристикой. Двумя главными характеристиками населения считают пол и возраст [1]. </w:t>
      </w:r>
      <w:r>
        <w:rPr>
          <w:rStyle w:val="markedcontent"/>
          <w:lang w:val="ru-RU"/>
        </w:rPr>
        <w:t>Уровень образования напрямую влияет на экономический рост, производительность труда, неразрывно связан с развитием и продвижением институтов развития; продолжительность жизни образованного населения выше, оно более стресс устойчиво, быстрее приспосабливается к негативным последствиям различных кризисов и т.д.</w:t>
      </w:r>
    </w:p>
    <w:p w14:paraId="536947AE" w14:textId="03A06A4C">
      <w:pPr>
        <w:pStyle w:val="Style4"/>
        <w:widowControl/>
        <w:spacing w:line="360" w:lineRule="auto"/>
        <w:ind w:firstLine="709"/>
        <w:jc w:val="both"/>
        <w:rPr>
          <w:rStyle w:val="FontStyle80"/>
          <w:rFonts w:ascii="Times New Roman" w:hAnsi="Times New Roman" w:cs="Times New Roman"/>
          <w:color w:val="000000"/>
          <w:sz w:val="24"/>
          <w:szCs w:val="24"/>
          <w:lang w:val="ru-RU"/>
        </w:rPr>
      </w:pPr>
      <w:r>
        <w:rPr>
          <w:rStyle w:val="FontStyle80"/>
          <w:rFonts w:ascii="Times New Roman" w:hAnsi="Times New Roman" w:cs="Times New Roman"/>
          <w:color w:val="000000"/>
          <w:sz w:val="24"/>
          <w:szCs w:val="24"/>
          <w:lang w:val="ru-RU"/>
        </w:rPr>
        <w:t>Единственным достоверным источником информации об образовательной структуре населения в нашей стране является перепись. Анализ образовательной структуры населения юга России по данным переписи населения 2020 г. показал, что она значительно различается по возрастным когортам (рис. 1.). В старших возрастных группах преобладает удельный вес лиц со средним профессиональным образованием (50-59, 60-64 и 65-72 года). В то время как в молодых (20-29, 30-39 и 40-49 лет) группах достаточно большой процент лиц с высшим образованием.</w:t>
      </w:r>
    </w:p>
    <w:p w14:paraId="09747711" w14:textId="77777777">
      <w:pPr>
        <w:pStyle w:val="Style4"/>
        <w:widowControl/>
        <w:spacing w:line="360" w:lineRule="auto"/>
        <w:ind w:firstLine="709"/>
        <w:jc w:val="both"/>
        <w:rPr>
          <w:rStyle w:val="FontStyle80"/>
          <w:rFonts w:ascii="Times New Roman" w:hAnsi="Times New Roman" w:cs="Times New Roman"/>
          <w:color w:val="000000"/>
          <w:sz w:val="24"/>
          <w:szCs w:val="24"/>
          <w:lang w:val="ru-RU"/>
        </w:rPr>
      </w:pPr>
    </w:p>
    <w:p w14:paraId="38BC6F87" w14:textId="05930146">
      <w:pPr>
        <w:pStyle w:val="Style4"/>
        <w:widowControl/>
        <w:spacing w:line="360" w:lineRule="auto"/>
        <w:jc w:val="both"/>
        <w:rPr>
          <w:rStyle w:val="FontStyle80"/>
          <w:rFonts w:ascii="Times New Roman" w:hAnsi="Times New Roman" w:cs="Times New Roman"/>
          <w:color w:val="000000"/>
          <w:sz w:val="24"/>
          <w:szCs w:val="24"/>
          <w:lang w:val="ru-RU"/>
        </w:rPr>
      </w:pPr>
      <w:r>
        <w:rPr>
          <w:noProof/>
        </w:rPr>
        <w:drawing>
          <wp:inline distT="0" distB="0" distL="0" distR="0" wp14:anchorId="73A47EB1" wp14:editId="1A6F5046">
            <wp:extent cx="5837274" cy="2434856"/>
            <wp:effectExtent l="0" t="0" r="11430" b="3810"/>
            <wp:docPr id="4" name="Диаграмма 4">
              <a:extLst xmlns:a="http://schemas.openxmlformats.org/drawingml/2006/main">
                <a:ext uri="{FF2B5EF4-FFF2-40B4-BE49-F238E27FC236}">
                  <a16:creationId xmlns:a16="http://schemas.microsoft.com/office/drawing/2014/main" id="{CBC461C5-5BDF-E0D2-FBA1-0671636850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175CEF3" w14:textId="6D68C5C6">
      <w:pPr>
        <w:pStyle w:val="Style4"/>
        <w:widowControl/>
        <w:spacing w:line="240" w:lineRule="auto"/>
        <w:ind w:firstLine="709"/>
        <w:rPr>
          <w:rStyle w:val="FontStyle80"/>
          <w:rFonts w:ascii="Times New Roman" w:hAnsi="Times New Roman" w:cs="Times New Roman"/>
          <w:color w:val="000000"/>
          <w:sz w:val="24"/>
          <w:szCs w:val="24"/>
          <w:lang w:val="ru-RU"/>
        </w:rPr>
      </w:pPr>
      <w:r>
        <w:rPr>
          <w:rStyle w:val="FontStyle182"/>
          <w:b w:val="0"/>
          <w:bCs w:val="0"/>
          <w:color w:val="000000"/>
          <w:sz w:val="24"/>
          <w:szCs w:val="24"/>
          <w:lang w:val="ru-RU"/>
        </w:rPr>
        <w:t xml:space="preserve">Рисунок. 1. </w:t>
      </w:r>
      <w:r>
        <w:rPr>
          <w:rStyle w:val="FontStyle80"/>
          <w:rFonts w:ascii="Times New Roman" w:hAnsi="Times New Roman" w:cs="Times New Roman"/>
          <w:color w:val="000000"/>
          <w:sz w:val="24"/>
          <w:szCs w:val="24"/>
          <w:lang w:val="ru-RU"/>
        </w:rPr>
        <w:t>Распределение по уровню профессионального образования населения основных возрастных групп населения юга России в 2020 г., в %</w:t>
      </w:r>
    </w:p>
    <w:p w14:paraId="4B5BA4F7" w14:textId="565D4074">
      <w:pPr>
        <w:pStyle w:val="Style4"/>
        <w:widowControl/>
        <w:spacing w:line="360" w:lineRule="auto"/>
        <w:ind w:firstLine="709"/>
        <w:jc w:val="both"/>
        <w:rPr>
          <w:rStyle w:val="FontStyle80"/>
          <w:rFonts w:ascii="Times New Roman" w:hAnsi="Times New Roman" w:cs="Times New Roman"/>
          <w:color w:val="000000"/>
          <w:sz w:val="24"/>
          <w:szCs w:val="24"/>
          <w:lang w:val="ru-RU"/>
        </w:rPr>
      </w:pPr>
      <w:r>
        <w:rPr>
          <w:rStyle w:val="FontStyle80"/>
          <w:rFonts w:ascii="Times New Roman" w:hAnsi="Times New Roman" w:cs="Times New Roman"/>
          <w:color w:val="000000"/>
          <w:sz w:val="24"/>
          <w:szCs w:val="24"/>
          <w:lang w:val="ru-RU"/>
        </w:rPr>
        <w:lastRenderedPageBreak/>
        <w:t>Источник: рассчитано по данным переписи 2020</w:t>
      </w:r>
    </w:p>
    <w:p w14:paraId="527E912F" w14:textId="77777777">
      <w:pPr>
        <w:pStyle w:val="Style4"/>
        <w:widowControl/>
        <w:spacing w:line="360" w:lineRule="auto"/>
        <w:ind w:firstLine="709"/>
        <w:jc w:val="both"/>
        <w:rPr>
          <w:color w:val="000000"/>
          <w:highlight w:val="yellow"/>
          <w:lang w:val="ru-RU"/>
        </w:rPr>
      </w:pPr>
    </w:p>
    <w:p w14:paraId="405E12DB" w14:textId="39AD0AA3">
      <w:pPr>
        <w:pStyle w:val="Style4"/>
        <w:widowControl/>
        <w:spacing w:line="360" w:lineRule="auto"/>
        <w:ind w:firstLine="709"/>
        <w:jc w:val="both"/>
        <w:rPr>
          <w:rStyle w:val="FontStyle80"/>
          <w:rFonts w:ascii="Times New Roman" w:hAnsi="Times New Roman" w:cs="Times New Roman"/>
          <w:color w:val="000000"/>
          <w:sz w:val="24"/>
          <w:szCs w:val="24"/>
          <w:lang w:val="ru-RU"/>
        </w:rPr>
      </w:pPr>
      <w:r>
        <w:rPr>
          <w:rStyle w:val="FontStyle80"/>
          <w:rFonts w:ascii="Times New Roman" w:hAnsi="Times New Roman" w:cs="Times New Roman"/>
          <w:color w:val="000000"/>
          <w:sz w:val="24"/>
          <w:szCs w:val="24"/>
          <w:lang w:val="ru-RU"/>
        </w:rPr>
        <w:t xml:space="preserve">В следующей возрастной группе 30-39 лет уже меньше процентов лиц со средним профессиональным образованием (21,8%), а доля населения с послевузовским, высшим и незаконченным высшим профессиональным образованием составляет 37,9%, отметим, что достаточно значительна доля лиц с высшим профессиональным образованием (больше трети населения – 33,5). В возрастной группе 40-49 эта доля уменьшается до 27,4%. А в более старших возрастных группах наблюдается максимальная концентрация лиц со средним специальным уровнем профессиональной подготовки: среди 50-59-летних – 28,6%, среди 60-64-летних – 29,8%. Далее в группе 65-72 года процент среднего специального образования сокращается до 25,5%. Т.е. в самой старшей возрастной группе экономической активности наблюдается самая низкая концентрация лиц с послевузовским, высшим и незаконченным высшим образованием (17,1% против 37,9% в группе 30-39 лет). </w:t>
      </w:r>
    </w:p>
    <w:p w14:paraId="7DE890B9" w14:textId="5C949941">
      <w:pPr>
        <w:pStyle w:val="Style4"/>
        <w:widowControl/>
        <w:spacing w:line="360" w:lineRule="auto"/>
        <w:ind w:firstLine="709"/>
        <w:jc w:val="both"/>
        <w:rPr>
          <w:rStyle w:val="FontStyle80"/>
          <w:rFonts w:ascii="Times New Roman" w:hAnsi="Times New Roman" w:cs="Times New Roman"/>
          <w:color w:val="000000"/>
          <w:sz w:val="24"/>
          <w:szCs w:val="24"/>
          <w:lang w:val="ru-RU"/>
        </w:rPr>
      </w:pPr>
      <w:r>
        <w:rPr>
          <w:rStyle w:val="FontStyle80"/>
          <w:rFonts w:ascii="Times New Roman" w:hAnsi="Times New Roman" w:cs="Times New Roman"/>
          <w:color w:val="000000"/>
          <w:sz w:val="24"/>
          <w:szCs w:val="24"/>
          <w:lang w:val="ru-RU"/>
        </w:rPr>
        <w:t xml:space="preserve">Образовательная структура населения севера России также отличается по возрастным когортам (рис. 2.). </w:t>
      </w:r>
    </w:p>
    <w:p w14:paraId="4BC84301" w14:textId="77777777">
      <w:pPr>
        <w:pStyle w:val="Style4"/>
        <w:widowControl/>
        <w:spacing w:line="360" w:lineRule="auto"/>
        <w:ind w:firstLine="709"/>
        <w:jc w:val="both"/>
        <w:rPr>
          <w:rStyle w:val="FontStyle80"/>
          <w:rFonts w:ascii="Times New Roman" w:hAnsi="Times New Roman" w:cs="Times New Roman"/>
          <w:color w:val="000000"/>
          <w:sz w:val="24"/>
          <w:szCs w:val="24"/>
          <w:lang w:val="ru-RU"/>
        </w:rPr>
      </w:pPr>
    </w:p>
    <w:p w14:paraId="5E050A4F" w14:textId="77777777">
      <w:pPr>
        <w:pStyle w:val="Style4"/>
        <w:widowControl/>
        <w:spacing w:line="360" w:lineRule="auto"/>
        <w:jc w:val="both"/>
        <w:rPr>
          <w:rStyle w:val="FontStyle80"/>
          <w:rFonts w:ascii="Times New Roman" w:hAnsi="Times New Roman" w:cs="Times New Roman"/>
          <w:color w:val="000000"/>
          <w:sz w:val="24"/>
          <w:szCs w:val="24"/>
          <w:lang w:val="ru-RU"/>
        </w:rPr>
      </w:pPr>
      <w:r>
        <w:rPr>
          <w:noProof/>
        </w:rPr>
        <w:drawing>
          <wp:inline distT="0" distB="0" distL="0" distR="0" wp14:anchorId="1D624BE0" wp14:editId="03AD7065">
            <wp:extent cx="5879805" cy="2668772"/>
            <wp:effectExtent l="0" t="0" r="6985" b="17780"/>
            <wp:docPr id="1" name="Диаграмма 1">
              <a:extLst xmlns:a="http://schemas.openxmlformats.org/drawingml/2006/main">
                <a:ext uri="{FF2B5EF4-FFF2-40B4-BE49-F238E27FC236}">
                  <a16:creationId xmlns:a16="http://schemas.microsoft.com/office/drawing/2014/main" id="{C0353B71-658A-8335-6270-07AAD512C0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2695158" w14:textId="76278E23">
      <w:pPr>
        <w:pStyle w:val="Style4"/>
        <w:widowControl/>
        <w:spacing w:line="240" w:lineRule="auto"/>
        <w:ind w:firstLine="709"/>
        <w:rPr>
          <w:rStyle w:val="FontStyle80"/>
          <w:rFonts w:ascii="Times New Roman" w:hAnsi="Times New Roman" w:cs="Times New Roman"/>
          <w:color w:val="000000"/>
          <w:sz w:val="24"/>
          <w:szCs w:val="24"/>
          <w:lang w:val="ru-RU"/>
        </w:rPr>
      </w:pPr>
      <w:r>
        <w:rPr>
          <w:rStyle w:val="FontStyle182"/>
          <w:b w:val="0"/>
          <w:bCs w:val="0"/>
          <w:color w:val="000000"/>
          <w:sz w:val="24"/>
          <w:szCs w:val="24"/>
          <w:lang w:val="ru-RU"/>
        </w:rPr>
        <w:t>Рисунок. 2.</w:t>
      </w:r>
      <w:r>
        <w:rPr>
          <w:rStyle w:val="FontStyle182"/>
          <w:color w:val="000000"/>
          <w:sz w:val="24"/>
          <w:szCs w:val="24"/>
          <w:lang w:val="ru-RU"/>
        </w:rPr>
        <w:t xml:space="preserve"> </w:t>
      </w:r>
      <w:r>
        <w:rPr>
          <w:rStyle w:val="FontStyle80"/>
          <w:rFonts w:ascii="Times New Roman" w:hAnsi="Times New Roman" w:cs="Times New Roman"/>
          <w:color w:val="000000"/>
          <w:sz w:val="24"/>
          <w:szCs w:val="24"/>
          <w:lang w:val="ru-RU"/>
        </w:rPr>
        <w:t>Распределение по уровню образования населения основных возрастных групп населения севера России в 2020 г., в %</w:t>
      </w:r>
    </w:p>
    <w:p w14:paraId="3EA65D9C" w14:textId="5CBF68E2">
      <w:pPr>
        <w:pStyle w:val="Style4"/>
        <w:widowControl/>
        <w:spacing w:line="240" w:lineRule="auto"/>
        <w:ind w:firstLine="709"/>
        <w:jc w:val="both"/>
        <w:rPr>
          <w:rStyle w:val="FontStyle80"/>
          <w:rFonts w:ascii="Times New Roman" w:hAnsi="Times New Roman" w:cs="Times New Roman"/>
          <w:color w:val="000000"/>
          <w:sz w:val="24"/>
          <w:szCs w:val="24"/>
          <w:lang w:val="ru-RU"/>
        </w:rPr>
      </w:pPr>
      <w:r>
        <w:rPr>
          <w:rStyle w:val="FontStyle80"/>
          <w:rFonts w:ascii="Times New Roman" w:hAnsi="Times New Roman" w:cs="Times New Roman"/>
          <w:color w:val="000000"/>
          <w:sz w:val="24"/>
          <w:szCs w:val="24"/>
          <w:lang w:val="ru-RU"/>
        </w:rPr>
        <w:t>Источник: рассчитано по данным переписи 2020</w:t>
      </w:r>
    </w:p>
    <w:p w14:paraId="3627990B" w14:textId="77777777">
      <w:pPr>
        <w:pStyle w:val="Style4"/>
        <w:widowControl/>
        <w:spacing w:line="360" w:lineRule="auto"/>
        <w:ind w:firstLine="709"/>
        <w:jc w:val="both"/>
        <w:rPr>
          <w:color w:val="000000"/>
          <w:highlight w:val="yellow"/>
          <w:lang w:val="ru-RU"/>
        </w:rPr>
      </w:pPr>
    </w:p>
    <w:p w14:paraId="181C233F" w14:textId="7B1E550B">
      <w:pPr>
        <w:pStyle w:val="Style4"/>
        <w:widowControl/>
        <w:spacing w:line="360" w:lineRule="auto"/>
        <w:ind w:firstLine="709"/>
        <w:jc w:val="both"/>
        <w:rPr>
          <w:rStyle w:val="FontStyle80"/>
          <w:rFonts w:ascii="Times New Roman" w:hAnsi="Times New Roman" w:cs="Times New Roman"/>
          <w:strike/>
          <w:color w:val="000000" w:themeColor="text1"/>
          <w:sz w:val="24"/>
          <w:szCs w:val="24"/>
          <w:lang w:val="ru-RU"/>
        </w:rPr>
      </w:pPr>
      <w:r>
        <w:rPr>
          <w:rStyle w:val="FontStyle80"/>
          <w:rFonts w:ascii="Times New Roman" w:hAnsi="Times New Roman" w:cs="Times New Roman"/>
          <w:color w:val="000000" w:themeColor="text1"/>
          <w:sz w:val="24"/>
          <w:szCs w:val="24"/>
          <w:lang w:val="ru-RU"/>
        </w:rPr>
        <w:t xml:space="preserve">Как и на севере страны здесь в старших возрастных группах преобладает удельный вес лиц со средним профессиональным образованием (50-72 года). </w:t>
      </w:r>
    </w:p>
    <w:p w14:paraId="0B529D22" w14:textId="2FBD9454">
      <w:pPr>
        <w:pStyle w:val="Style4"/>
        <w:widowControl/>
        <w:spacing w:line="360" w:lineRule="auto"/>
        <w:ind w:firstLine="709"/>
        <w:jc w:val="both"/>
        <w:rPr>
          <w:rStyle w:val="FontStyle80"/>
          <w:rFonts w:ascii="Times New Roman" w:hAnsi="Times New Roman" w:cs="Times New Roman"/>
          <w:color w:val="000000" w:themeColor="text1"/>
          <w:sz w:val="24"/>
          <w:szCs w:val="24"/>
          <w:lang w:val="ru-RU"/>
        </w:rPr>
      </w:pPr>
      <w:r>
        <w:rPr>
          <w:rStyle w:val="FontStyle80"/>
          <w:rFonts w:ascii="Times New Roman" w:hAnsi="Times New Roman" w:cs="Times New Roman"/>
          <w:color w:val="000000" w:themeColor="text1"/>
          <w:sz w:val="24"/>
          <w:szCs w:val="24"/>
          <w:lang w:val="ru-RU"/>
        </w:rPr>
        <w:t xml:space="preserve">В возрастной группе 40-49 лет уже меньше процентов лиц со средним профессиональным образованием (26,4%), а доля населения с послевузовским, высшим и незаконченным высшим профессиональным образованием составляет 36,1%, отметим, что </w:t>
      </w:r>
      <w:r>
        <w:rPr>
          <w:rStyle w:val="FontStyle80"/>
          <w:rFonts w:ascii="Times New Roman" w:hAnsi="Times New Roman" w:cs="Times New Roman"/>
          <w:color w:val="000000" w:themeColor="text1"/>
          <w:sz w:val="24"/>
          <w:szCs w:val="24"/>
          <w:lang w:val="ru-RU"/>
        </w:rPr>
        <w:lastRenderedPageBreak/>
        <w:t xml:space="preserve">достаточно значительна доля лиц с высшим профессиональным образованием (больше трети населения – 32,5). Возрастная группа 30-39 характеризуется наибольшей концентрацией лиц с высшим профессиональным образованием – 37,2%, в сумме с послевузовским и незаконченным эта доля вырастет до 41,5%. А в более старших возрастных группах наблюдается концентрация лиц со средним специальным уровнем профессиональной подготовки: среди 50-59-летних – 33,4%, среди 60-64-летних – 35,5%. Далее в группе 65-72 года процент среднего специального образования сокращается до 31,7%. Т.е. в самой старшей возрастной группе экономической активности наблюдается самая низкая концентрация лиц с послевузовским, высшим и незаконченным высшим образованием (18,1% против 41,5% в группе 30-39 лет). </w:t>
      </w:r>
    </w:p>
    <w:p w14:paraId="7AC19062" w14:textId="0D04F494">
      <w:pPr>
        <w:pStyle w:val="Style4"/>
        <w:widowControl/>
        <w:spacing w:line="360" w:lineRule="auto"/>
        <w:ind w:firstLine="709"/>
        <w:jc w:val="both"/>
        <w:rPr>
          <w:rStyle w:val="FontStyle80"/>
          <w:rFonts w:ascii="Times New Roman" w:hAnsi="Times New Roman" w:cs="Times New Roman"/>
          <w:color w:val="000000" w:themeColor="text1"/>
          <w:sz w:val="24"/>
          <w:szCs w:val="24"/>
          <w:lang w:val="ru-RU"/>
        </w:rPr>
      </w:pPr>
      <w:r>
        <w:rPr>
          <w:rStyle w:val="FontStyle80"/>
          <w:rFonts w:ascii="Times New Roman" w:hAnsi="Times New Roman" w:cs="Times New Roman"/>
          <w:color w:val="000000"/>
          <w:sz w:val="24"/>
          <w:szCs w:val="24"/>
          <w:lang w:val="ru-RU"/>
        </w:rPr>
        <w:t xml:space="preserve">Различия в образовательном уровне по возрастным являются отражением особенностей как истории жизни разных поколений, так и людей с разным уровнем образовательной </w:t>
      </w:r>
      <w:r>
        <w:rPr>
          <w:rStyle w:val="FontStyle80"/>
          <w:rFonts w:ascii="Times New Roman" w:hAnsi="Times New Roman" w:cs="Times New Roman"/>
          <w:color w:val="000000" w:themeColor="text1"/>
          <w:sz w:val="24"/>
          <w:szCs w:val="24"/>
          <w:lang w:val="ru-RU"/>
        </w:rPr>
        <w:t xml:space="preserve">подготовки. Более высокий уровень образования в возрастных группах до 40 лет связано с нарастанием в 2000-х гг. уровня подготовки специалистов с высоким уровнем образования вследствие роста спроса на рынке труда. Преобладание в возрастах от 50 до 72 лет удельного веса лиц со средним специальным образованием связано, прежде всего, с тем, что востребованностью в 1970-80-е гг. специалистов со средним специальным образованием. </w:t>
      </w:r>
    </w:p>
    <w:p w14:paraId="3AA92AD2" w14:textId="2A132176">
      <w:pPr>
        <w:pStyle w:val="Style4"/>
        <w:widowControl/>
        <w:spacing w:line="360" w:lineRule="auto"/>
        <w:ind w:firstLine="709"/>
        <w:jc w:val="both"/>
        <w:rPr>
          <w:rStyle w:val="FontStyle80"/>
          <w:rFonts w:ascii="Times New Roman" w:hAnsi="Times New Roman" w:cs="Times New Roman"/>
          <w:color w:val="000000"/>
          <w:sz w:val="24"/>
          <w:szCs w:val="24"/>
          <w:lang w:val="ru-RU"/>
        </w:rPr>
      </w:pPr>
      <w:r>
        <w:rPr>
          <w:lang w:val="ru-RU"/>
        </w:rPr>
        <w:t xml:space="preserve">По данным переписи населения 2020 г. на юге 23,0% населения старше 15 лет имеют высшее профессиональное образование, на севере эта цифра составляет 27,8%, что почти в два раза меньше, чем в Москве (40,7%) и Санкт-Петербурге (40,0%). То есть почти одна треть взрослого населения имеет высшее профессиональное образование. </w:t>
      </w:r>
      <w:r>
        <w:rPr>
          <w:rStyle w:val="FontStyle80"/>
          <w:rFonts w:ascii="Times New Roman" w:hAnsi="Times New Roman" w:cs="Times New Roman"/>
          <w:color w:val="000000"/>
          <w:sz w:val="24"/>
          <w:szCs w:val="24"/>
          <w:lang w:val="ru-RU"/>
        </w:rPr>
        <w:t>Данные переписей населения свидетельствуют о неуклонном росте уровня образования населения в северных и южных регионах страны (табл. 1).</w:t>
      </w:r>
    </w:p>
    <w:p w14:paraId="66DEEE45" w14:textId="1167CBD9">
      <w:pPr>
        <w:spacing w:after="0" w:line="312" w:lineRule="auto"/>
        <w:ind w:firstLine="709"/>
        <w:jc w:val="right"/>
        <w:rPr>
          <w:rFonts w:ascii="Times New Roman" w:eastAsia="Times New Roman" w:hAnsi="Times New Roman"/>
          <w:i/>
          <w:iCs/>
          <w:sz w:val="24"/>
          <w:szCs w:val="24"/>
          <w:lang w:eastAsia="ru-RU"/>
        </w:rPr>
      </w:pPr>
      <w:r>
        <w:rPr>
          <w:rFonts w:ascii="Times New Roman" w:eastAsia="Times New Roman" w:hAnsi="Times New Roman"/>
          <w:i/>
          <w:iCs/>
          <w:sz w:val="24"/>
          <w:szCs w:val="24"/>
          <w:lang w:eastAsia="ru-RU"/>
        </w:rPr>
        <w:t>Таблица 1</w:t>
      </w:r>
    </w:p>
    <w:p w14:paraId="06DC8B97" w14:textId="56040432">
      <w:pPr>
        <w:spacing w:after="0" w:line="312" w:lineRule="auto"/>
        <w:ind w:firstLine="709"/>
        <w:jc w:val="center"/>
        <w:rPr>
          <w:rFonts w:ascii="Times New Roman" w:hAnsi="Times New Roman"/>
          <w:sz w:val="24"/>
          <w:szCs w:val="24"/>
        </w:rPr>
      </w:pPr>
      <w:r>
        <w:rPr>
          <w:rFonts w:ascii="Times New Roman" w:eastAsia="Times New Roman" w:hAnsi="Times New Roman"/>
          <w:sz w:val="24"/>
          <w:szCs w:val="24"/>
          <w:lang w:eastAsia="ru-RU"/>
        </w:rPr>
        <w:t>У</w:t>
      </w:r>
      <w:r>
        <w:rPr>
          <w:rFonts w:ascii="Times New Roman" w:hAnsi="Times New Roman"/>
          <w:sz w:val="24"/>
          <w:szCs w:val="24"/>
        </w:rPr>
        <w:t>ровень профессионального образования населения старше 15 лет в северных и южных регионах России (на 1000 населения), по данным переписей 2010 и 2020 гг.</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010"/>
        <w:gridCol w:w="1010"/>
        <w:gridCol w:w="1010"/>
        <w:gridCol w:w="1010"/>
        <w:gridCol w:w="1010"/>
        <w:gridCol w:w="1010"/>
        <w:gridCol w:w="1010"/>
        <w:gridCol w:w="1010"/>
      </w:tblGrid>
      <w:tr w14:paraId="33029C93" w14:textId="77777777">
        <w:trPr>
          <w:trHeight w:val="315"/>
        </w:trPr>
        <w:tc>
          <w:tcPr>
            <w:tcW w:w="1271" w:type="dxa"/>
            <w:vMerge w:val="restart"/>
            <w:shd w:val="clear" w:color="auto" w:fill="auto"/>
            <w:noWrap/>
            <w:vAlign w:val="bottom"/>
            <w:hideMark/>
          </w:tcPr>
          <w:p w14:paraId="55E3D667" w14:textId="77777777">
            <w:pPr>
              <w:spacing w:after="0" w:line="240" w:lineRule="auto"/>
              <w:rPr>
                <w:rFonts w:ascii="Times New Roman" w:eastAsia="Times New Roman" w:hAnsi="Times New Roman"/>
                <w:sz w:val="24"/>
                <w:szCs w:val="24"/>
                <w:lang w:eastAsia="ru-RU"/>
              </w:rPr>
            </w:pPr>
          </w:p>
        </w:tc>
        <w:tc>
          <w:tcPr>
            <w:tcW w:w="4040" w:type="dxa"/>
            <w:gridSpan w:val="4"/>
            <w:shd w:val="clear" w:color="auto" w:fill="auto"/>
            <w:noWrap/>
            <w:vAlign w:val="bottom"/>
            <w:hideMark/>
          </w:tcPr>
          <w:p w14:paraId="20A51040" w14:textId="7777777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2010</w:t>
            </w:r>
          </w:p>
        </w:tc>
        <w:tc>
          <w:tcPr>
            <w:tcW w:w="4040" w:type="dxa"/>
            <w:gridSpan w:val="4"/>
            <w:shd w:val="clear" w:color="auto" w:fill="auto"/>
            <w:noWrap/>
            <w:vAlign w:val="bottom"/>
            <w:hideMark/>
          </w:tcPr>
          <w:p w14:paraId="776D3120" w14:textId="7777777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2020</w:t>
            </w:r>
          </w:p>
        </w:tc>
      </w:tr>
      <w:tr w14:paraId="1AA66143" w14:textId="77777777">
        <w:trPr>
          <w:cantSplit/>
          <w:trHeight w:val="1397"/>
        </w:trPr>
        <w:tc>
          <w:tcPr>
            <w:tcW w:w="1271" w:type="dxa"/>
            <w:vMerge/>
            <w:shd w:val="clear" w:color="auto" w:fill="auto"/>
            <w:noWrap/>
            <w:vAlign w:val="bottom"/>
            <w:hideMark/>
          </w:tcPr>
          <w:p w14:paraId="063D884D" w14:textId="77777777">
            <w:pPr>
              <w:spacing w:after="0" w:line="240" w:lineRule="auto"/>
              <w:rPr>
                <w:rFonts w:ascii="Times New Roman" w:eastAsia="Times New Roman" w:hAnsi="Times New Roman"/>
                <w:sz w:val="24"/>
                <w:szCs w:val="24"/>
                <w:lang w:eastAsia="ru-RU"/>
              </w:rPr>
            </w:pPr>
          </w:p>
        </w:tc>
        <w:tc>
          <w:tcPr>
            <w:tcW w:w="1010" w:type="dxa"/>
            <w:shd w:val="clear" w:color="auto" w:fill="auto"/>
            <w:noWrap/>
            <w:textDirection w:val="btLr"/>
            <w:vAlign w:val="bottom"/>
            <w:hideMark/>
          </w:tcPr>
          <w:p w14:paraId="01A29DBC" w14:textId="77777777">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высшее</w:t>
            </w:r>
          </w:p>
        </w:tc>
        <w:tc>
          <w:tcPr>
            <w:tcW w:w="1010" w:type="dxa"/>
            <w:shd w:val="clear" w:color="auto" w:fill="auto"/>
            <w:noWrap/>
            <w:textDirection w:val="btLr"/>
            <w:vAlign w:val="bottom"/>
            <w:hideMark/>
          </w:tcPr>
          <w:p w14:paraId="5689EBC5" w14:textId="77777777">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неполное</w:t>
            </w:r>
          </w:p>
        </w:tc>
        <w:tc>
          <w:tcPr>
            <w:tcW w:w="1010" w:type="dxa"/>
            <w:shd w:val="clear" w:color="auto" w:fill="auto"/>
            <w:noWrap/>
            <w:textDirection w:val="btLr"/>
            <w:vAlign w:val="bottom"/>
            <w:hideMark/>
          </w:tcPr>
          <w:p w14:paraId="0426C06F" w14:textId="77777777">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среднее</w:t>
            </w:r>
          </w:p>
        </w:tc>
        <w:tc>
          <w:tcPr>
            <w:tcW w:w="1010" w:type="dxa"/>
            <w:shd w:val="clear" w:color="auto" w:fill="auto"/>
            <w:noWrap/>
            <w:textDirection w:val="btLr"/>
            <w:vAlign w:val="bottom"/>
            <w:hideMark/>
          </w:tcPr>
          <w:p w14:paraId="5DB1156D" w14:textId="77777777">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начальное</w:t>
            </w:r>
          </w:p>
        </w:tc>
        <w:tc>
          <w:tcPr>
            <w:tcW w:w="1010" w:type="dxa"/>
            <w:shd w:val="clear" w:color="auto" w:fill="auto"/>
            <w:noWrap/>
            <w:textDirection w:val="btLr"/>
            <w:vAlign w:val="bottom"/>
            <w:hideMark/>
          </w:tcPr>
          <w:p w14:paraId="6D8FCBCA" w14:textId="77777777">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высшее</w:t>
            </w:r>
          </w:p>
        </w:tc>
        <w:tc>
          <w:tcPr>
            <w:tcW w:w="1010" w:type="dxa"/>
            <w:shd w:val="clear" w:color="auto" w:fill="auto"/>
            <w:noWrap/>
            <w:textDirection w:val="btLr"/>
            <w:vAlign w:val="bottom"/>
            <w:hideMark/>
          </w:tcPr>
          <w:p w14:paraId="4089F261" w14:textId="77777777">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неполное</w:t>
            </w:r>
          </w:p>
        </w:tc>
        <w:tc>
          <w:tcPr>
            <w:tcW w:w="1010" w:type="dxa"/>
            <w:shd w:val="clear" w:color="auto" w:fill="auto"/>
            <w:noWrap/>
            <w:textDirection w:val="btLr"/>
            <w:vAlign w:val="bottom"/>
            <w:hideMark/>
          </w:tcPr>
          <w:p w14:paraId="07243F98" w14:textId="77777777">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среднее</w:t>
            </w:r>
          </w:p>
        </w:tc>
        <w:tc>
          <w:tcPr>
            <w:tcW w:w="1010" w:type="dxa"/>
            <w:shd w:val="clear" w:color="auto" w:fill="auto"/>
            <w:noWrap/>
            <w:textDirection w:val="btLr"/>
            <w:vAlign w:val="bottom"/>
            <w:hideMark/>
          </w:tcPr>
          <w:p w14:paraId="14A86138" w14:textId="77777777">
            <w:pPr>
              <w:spacing w:after="0" w:line="240" w:lineRule="auto"/>
              <w:ind w:left="113" w:right="113"/>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начальное</w:t>
            </w:r>
          </w:p>
        </w:tc>
      </w:tr>
      <w:tr w14:paraId="597F8F11" w14:textId="77777777">
        <w:trPr>
          <w:trHeight w:val="315"/>
        </w:trPr>
        <w:tc>
          <w:tcPr>
            <w:tcW w:w="1271" w:type="dxa"/>
            <w:shd w:val="clear" w:color="000000" w:fill="FFFFFF"/>
            <w:noWrap/>
            <w:vAlign w:val="center"/>
            <w:hideMark/>
          </w:tcPr>
          <w:p w14:paraId="7BEDF87D" w14:textId="7777777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Россия</w:t>
            </w:r>
          </w:p>
        </w:tc>
        <w:tc>
          <w:tcPr>
            <w:tcW w:w="1010" w:type="dxa"/>
            <w:shd w:val="clear" w:color="auto" w:fill="auto"/>
            <w:noWrap/>
            <w:vAlign w:val="bottom"/>
            <w:hideMark/>
          </w:tcPr>
          <w:p w14:paraId="7362D99B" w14:textId="7777777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234</w:t>
            </w:r>
          </w:p>
        </w:tc>
        <w:tc>
          <w:tcPr>
            <w:tcW w:w="1010" w:type="dxa"/>
            <w:shd w:val="clear" w:color="auto" w:fill="auto"/>
            <w:noWrap/>
            <w:vAlign w:val="bottom"/>
            <w:hideMark/>
          </w:tcPr>
          <w:p w14:paraId="3242F570" w14:textId="7777777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46</w:t>
            </w:r>
          </w:p>
        </w:tc>
        <w:tc>
          <w:tcPr>
            <w:tcW w:w="1010" w:type="dxa"/>
            <w:shd w:val="clear" w:color="auto" w:fill="auto"/>
            <w:noWrap/>
            <w:vAlign w:val="bottom"/>
            <w:hideMark/>
          </w:tcPr>
          <w:p w14:paraId="4DCE9357" w14:textId="7777777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312</w:t>
            </w:r>
          </w:p>
        </w:tc>
        <w:tc>
          <w:tcPr>
            <w:tcW w:w="1010" w:type="dxa"/>
            <w:shd w:val="clear" w:color="auto" w:fill="auto"/>
            <w:noWrap/>
            <w:vAlign w:val="bottom"/>
            <w:hideMark/>
          </w:tcPr>
          <w:p w14:paraId="08F75FA7" w14:textId="7777777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56</w:t>
            </w:r>
          </w:p>
        </w:tc>
        <w:tc>
          <w:tcPr>
            <w:tcW w:w="1010" w:type="dxa"/>
            <w:shd w:val="clear" w:color="auto" w:fill="auto"/>
            <w:noWrap/>
            <w:vAlign w:val="bottom"/>
            <w:hideMark/>
          </w:tcPr>
          <w:p w14:paraId="151D447D" w14:textId="7777777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267</w:t>
            </w:r>
          </w:p>
        </w:tc>
        <w:tc>
          <w:tcPr>
            <w:tcW w:w="1010" w:type="dxa"/>
            <w:shd w:val="clear" w:color="auto" w:fill="auto"/>
            <w:noWrap/>
            <w:vAlign w:val="bottom"/>
            <w:hideMark/>
          </w:tcPr>
          <w:p w14:paraId="1ED93971" w14:textId="7777777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w:t>
            </w:r>
          </w:p>
        </w:tc>
        <w:tc>
          <w:tcPr>
            <w:tcW w:w="1010" w:type="dxa"/>
            <w:shd w:val="clear" w:color="auto" w:fill="auto"/>
            <w:noWrap/>
            <w:vAlign w:val="bottom"/>
            <w:hideMark/>
          </w:tcPr>
          <w:p w14:paraId="0E7D6937" w14:textId="7777777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258</w:t>
            </w:r>
          </w:p>
        </w:tc>
        <w:tc>
          <w:tcPr>
            <w:tcW w:w="1010" w:type="dxa"/>
            <w:shd w:val="clear" w:color="auto" w:fill="auto"/>
            <w:noWrap/>
            <w:vAlign w:val="bottom"/>
            <w:hideMark/>
          </w:tcPr>
          <w:p w14:paraId="7C3A0931" w14:textId="7777777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137</w:t>
            </w:r>
          </w:p>
        </w:tc>
      </w:tr>
      <w:tr w14:paraId="52C89BF3" w14:textId="77777777">
        <w:trPr>
          <w:trHeight w:val="315"/>
        </w:trPr>
        <w:tc>
          <w:tcPr>
            <w:tcW w:w="1271" w:type="dxa"/>
            <w:shd w:val="clear" w:color="000000" w:fill="FFFFFF"/>
            <w:noWrap/>
            <w:vAlign w:val="center"/>
          </w:tcPr>
          <w:p w14:paraId="0DA0592B" w14:textId="7777777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Юг</w:t>
            </w:r>
          </w:p>
        </w:tc>
        <w:tc>
          <w:tcPr>
            <w:tcW w:w="1010" w:type="dxa"/>
            <w:shd w:val="clear" w:color="auto" w:fill="auto"/>
            <w:noWrap/>
            <w:vAlign w:val="bottom"/>
          </w:tcPr>
          <w:p w14:paraId="5B897FDD" w14:textId="7777777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208</w:t>
            </w:r>
          </w:p>
        </w:tc>
        <w:tc>
          <w:tcPr>
            <w:tcW w:w="1010" w:type="dxa"/>
            <w:shd w:val="clear" w:color="auto" w:fill="auto"/>
            <w:noWrap/>
            <w:vAlign w:val="bottom"/>
          </w:tcPr>
          <w:p w14:paraId="44FB38CC" w14:textId="7777777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49</w:t>
            </w:r>
          </w:p>
        </w:tc>
        <w:tc>
          <w:tcPr>
            <w:tcW w:w="1010" w:type="dxa"/>
            <w:shd w:val="clear" w:color="auto" w:fill="auto"/>
            <w:noWrap/>
            <w:vAlign w:val="bottom"/>
          </w:tcPr>
          <w:p w14:paraId="74BEB915" w14:textId="7777777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266</w:t>
            </w:r>
          </w:p>
        </w:tc>
        <w:tc>
          <w:tcPr>
            <w:tcW w:w="1010" w:type="dxa"/>
            <w:shd w:val="clear" w:color="auto" w:fill="auto"/>
            <w:noWrap/>
            <w:vAlign w:val="bottom"/>
          </w:tcPr>
          <w:p w14:paraId="53CF45B3" w14:textId="7777777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49</w:t>
            </w:r>
          </w:p>
        </w:tc>
        <w:tc>
          <w:tcPr>
            <w:tcW w:w="1010" w:type="dxa"/>
            <w:shd w:val="clear" w:color="auto" w:fill="auto"/>
            <w:noWrap/>
            <w:vAlign w:val="bottom"/>
          </w:tcPr>
          <w:p w14:paraId="51B1D398" w14:textId="7777777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236</w:t>
            </w:r>
          </w:p>
        </w:tc>
        <w:tc>
          <w:tcPr>
            <w:tcW w:w="1010" w:type="dxa"/>
            <w:shd w:val="clear" w:color="auto" w:fill="auto"/>
            <w:noWrap/>
            <w:vAlign w:val="bottom"/>
          </w:tcPr>
          <w:p w14:paraId="2E0F59D1" w14:textId="7777777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w:t>
            </w:r>
          </w:p>
        </w:tc>
        <w:tc>
          <w:tcPr>
            <w:tcW w:w="1010" w:type="dxa"/>
            <w:shd w:val="clear" w:color="auto" w:fill="auto"/>
            <w:noWrap/>
            <w:vAlign w:val="bottom"/>
          </w:tcPr>
          <w:p w14:paraId="1DF57A79" w14:textId="7777777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224</w:t>
            </w:r>
          </w:p>
        </w:tc>
        <w:tc>
          <w:tcPr>
            <w:tcW w:w="1010" w:type="dxa"/>
            <w:shd w:val="clear" w:color="auto" w:fill="auto"/>
            <w:noWrap/>
            <w:vAlign w:val="bottom"/>
          </w:tcPr>
          <w:p w14:paraId="6D683BBC" w14:textId="7777777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100</w:t>
            </w:r>
          </w:p>
        </w:tc>
      </w:tr>
      <w:tr w14:paraId="1F9574DA" w14:textId="77777777">
        <w:trPr>
          <w:trHeight w:val="315"/>
        </w:trPr>
        <w:tc>
          <w:tcPr>
            <w:tcW w:w="1271" w:type="dxa"/>
            <w:shd w:val="clear" w:color="000000" w:fill="FFFFFF"/>
            <w:noWrap/>
            <w:vAlign w:val="center"/>
          </w:tcPr>
          <w:p w14:paraId="75138E78" w14:textId="777777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Север</w:t>
            </w:r>
          </w:p>
        </w:tc>
        <w:tc>
          <w:tcPr>
            <w:tcW w:w="1010" w:type="dxa"/>
            <w:shd w:val="clear" w:color="auto" w:fill="auto"/>
            <w:noWrap/>
            <w:vAlign w:val="bottom"/>
          </w:tcPr>
          <w:p w14:paraId="0A4D7F98" w14:textId="7777777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214</w:t>
            </w:r>
          </w:p>
        </w:tc>
        <w:tc>
          <w:tcPr>
            <w:tcW w:w="1010" w:type="dxa"/>
            <w:shd w:val="clear" w:color="auto" w:fill="auto"/>
            <w:noWrap/>
            <w:vAlign w:val="bottom"/>
          </w:tcPr>
          <w:p w14:paraId="5A249035" w14:textId="7777777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40</w:t>
            </w:r>
          </w:p>
        </w:tc>
        <w:tc>
          <w:tcPr>
            <w:tcW w:w="1010" w:type="dxa"/>
            <w:shd w:val="clear" w:color="auto" w:fill="auto"/>
            <w:noWrap/>
            <w:vAlign w:val="bottom"/>
          </w:tcPr>
          <w:p w14:paraId="47BD1E9D" w14:textId="7777777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335</w:t>
            </w:r>
          </w:p>
        </w:tc>
        <w:tc>
          <w:tcPr>
            <w:tcW w:w="1010" w:type="dxa"/>
            <w:shd w:val="clear" w:color="auto" w:fill="auto"/>
            <w:noWrap/>
            <w:vAlign w:val="bottom"/>
          </w:tcPr>
          <w:p w14:paraId="3D4C5350" w14:textId="7777777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64</w:t>
            </w:r>
          </w:p>
        </w:tc>
        <w:tc>
          <w:tcPr>
            <w:tcW w:w="1010" w:type="dxa"/>
            <w:shd w:val="clear" w:color="auto" w:fill="auto"/>
            <w:noWrap/>
            <w:vAlign w:val="bottom"/>
          </w:tcPr>
          <w:p w14:paraId="3424FB94" w14:textId="7777777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279</w:t>
            </w:r>
          </w:p>
        </w:tc>
        <w:tc>
          <w:tcPr>
            <w:tcW w:w="1010" w:type="dxa"/>
            <w:shd w:val="clear" w:color="auto" w:fill="auto"/>
            <w:noWrap/>
            <w:vAlign w:val="bottom"/>
          </w:tcPr>
          <w:p w14:paraId="09D43C9A" w14:textId="7777777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w:t>
            </w:r>
          </w:p>
        </w:tc>
        <w:tc>
          <w:tcPr>
            <w:tcW w:w="1010" w:type="dxa"/>
            <w:shd w:val="clear" w:color="auto" w:fill="auto"/>
            <w:noWrap/>
            <w:vAlign w:val="bottom"/>
          </w:tcPr>
          <w:p w14:paraId="2E259FA3" w14:textId="7777777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259</w:t>
            </w:r>
          </w:p>
        </w:tc>
        <w:tc>
          <w:tcPr>
            <w:tcW w:w="1010" w:type="dxa"/>
            <w:shd w:val="clear" w:color="auto" w:fill="auto"/>
            <w:noWrap/>
            <w:vAlign w:val="bottom"/>
          </w:tcPr>
          <w:p w14:paraId="7469F2D3" w14:textId="77777777">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147</w:t>
            </w:r>
          </w:p>
        </w:tc>
      </w:tr>
    </w:tbl>
    <w:p w14:paraId="43B08DC3" w14:textId="77777777">
      <w:pPr>
        <w:rPr>
          <w:rFonts w:ascii="Times New Roman" w:hAnsi="Times New Roman"/>
          <w:sz w:val="24"/>
          <w:szCs w:val="24"/>
        </w:rPr>
      </w:pPr>
      <w:r>
        <w:rPr>
          <w:rFonts w:ascii="Times New Roman" w:hAnsi="Times New Roman"/>
          <w:sz w:val="24"/>
          <w:szCs w:val="24"/>
        </w:rPr>
        <w:t>Источник: по данным переписей 2010 и 2020 гг.</w:t>
      </w:r>
    </w:p>
    <w:p w14:paraId="673B3F04" w14:textId="77777777">
      <w:pPr>
        <w:spacing w:after="0" w:line="360" w:lineRule="auto"/>
        <w:ind w:firstLine="709"/>
        <w:jc w:val="both"/>
        <w:rPr>
          <w:rStyle w:val="FontStyle80"/>
          <w:rFonts w:ascii="Times New Roman" w:hAnsi="Times New Roman" w:cs="Times New Roman"/>
          <w:sz w:val="24"/>
          <w:szCs w:val="24"/>
        </w:rPr>
      </w:pPr>
      <w:r>
        <w:rPr>
          <w:rStyle w:val="FontStyle80"/>
          <w:rFonts w:ascii="Times New Roman" w:hAnsi="Times New Roman" w:cs="Times New Roman"/>
          <w:sz w:val="24"/>
          <w:szCs w:val="24"/>
        </w:rPr>
        <w:lastRenderedPageBreak/>
        <w:t xml:space="preserve">В 2020 г. число лиц с высшим образованием достигло на юге 236 на 1000 человек в возрасте 15 лет и старше против 208 в 2010 г. За десять лет между двумя последними переписями число жителей юга с высшим профессиональным образованием в расчете на 1000 лиц в возрасте 15 лет и старше увеличилось на 28 человек, потеснив число людей с более низким уровнем профессионального образования. Так с 266 до 224 на 1000 снизилось число людей со средним профессиональным образованием. Стоит отметить значительный рост число людей с начальным профессиональным образованием – с 49 до 100 на 1000 человек. </w:t>
      </w:r>
    </w:p>
    <w:p w14:paraId="66ED59BD" w14:textId="72C73218">
      <w:pPr>
        <w:spacing w:after="0" w:line="360" w:lineRule="auto"/>
        <w:ind w:firstLine="709"/>
        <w:jc w:val="both"/>
        <w:rPr>
          <w:rStyle w:val="FontStyle80"/>
          <w:rFonts w:ascii="Times New Roman" w:hAnsi="Times New Roman" w:cs="Times New Roman"/>
          <w:sz w:val="24"/>
          <w:szCs w:val="24"/>
        </w:rPr>
      </w:pPr>
      <w:r>
        <w:rPr>
          <w:rStyle w:val="FontStyle80"/>
          <w:rFonts w:ascii="Times New Roman" w:hAnsi="Times New Roman" w:cs="Times New Roman"/>
          <w:sz w:val="24"/>
          <w:szCs w:val="24"/>
        </w:rPr>
        <w:t xml:space="preserve">В северных регионах страны тенденции схожи: число лиц с высшим образованием достигло 279 на 1000 человек в возрасте 15 лет и старше, против 214 в 2010 г. За последний </w:t>
      </w:r>
      <w:proofErr w:type="spellStart"/>
      <w:r>
        <w:rPr>
          <w:rStyle w:val="FontStyle80"/>
          <w:rFonts w:ascii="Times New Roman" w:hAnsi="Times New Roman" w:cs="Times New Roman"/>
          <w:sz w:val="24"/>
          <w:szCs w:val="24"/>
        </w:rPr>
        <w:t>межпереписной</w:t>
      </w:r>
      <w:proofErr w:type="spellEnd"/>
      <w:r>
        <w:rPr>
          <w:rStyle w:val="FontStyle80"/>
          <w:rFonts w:ascii="Times New Roman" w:hAnsi="Times New Roman" w:cs="Times New Roman"/>
          <w:sz w:val="24"/>
          <w:szCs w:val="24"/>
        </w:rPr>
        <w:t xml:space="preserve"> период число жителей севера с высшим профессиональным образованием в расчете на 1000 лиц в возрасте 15 лет и старше увеличилось на 45 человек (что в два раза больше по сравнению с югом). Число же людей со средним профессиональным образованием упало с 335 до 259 на 1000. Также как и на юге наблюдается значительный рост числа людей с начальным профессиональным образованием – с 49 до 100 на 1000 человек. Таким образом, спрос на высшее и начальное профессиональное образование как на юге, так и на севере продолжает устойчиво расти, в то время как на среднее профессиональное он, наоборот, падает (рис. 3).</w:t>
      </w:r>
    </w:p>
    <w:p w14:paraId="3A9886F8" w14:textId="66E37F14">
      <w:pPr>
        <w:rPr>
          <w:rFonts w:ascii="Times New Roman" w:hAnsi="Times New Roman"/>
          <w:sz w:val="24"/>
          <w:szCs w:val="24"/>
        </w:rPr>
      </w:pPr>
      <w:r>
        <w:rPr>
          <w:rFonts w:ascii="Times New Roman" w:hAnsi="Times New Roman"/>
          <w:noProof/>
          <w:sz w:val="24"/>
          <w:szCs w:val="24"/>
        </w:rPr>
        <w:drawing>
          <wp:inline distT="0" distB="0" distL="0" distR="0" wp14:anchorId="6D21899D" wp14:editId="14F06F1E">
            <wp:extent cx="5655945" cy="3359150"/>
            <wp:effectExtent l="0" t="0" r="1905" b="1270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87EB3BC" w14:textId="16B26316">
      <w:pPr>
        <w:rPr>
          <w:rFonts w:ascii="Times New Roman" w:hAnsi="Times New Roman"/>
          <w:sz w:val="24"/>
          <w:szCs w:val="24"/>
        </w:rPr>
      </w:pPr>
      <w:r>
        <w:rPr>
          <w:rFonts w:ascii="Times New Roman" w:hAnsi="Times New Roman"/>
          <w:sz w:val="24"/>
          <w:szCs w:val="24"/>
        </w:rPr>
        <w:t xml:space="preserve">Рисунок 3. </w:t>
      </w:r>
      <w:r>
        <w:rPr>
          <w:rFonts w:ascii="Times New Roman" w:eastAsia="Times New Roman" w:hAnsi="Times New Roman"/>
          <w:color w:val="000000"/>
          <w:sz w:val="24"/>
          <w:szCs w:val="24"/>
          <w:lang w:eastAsia="ru-RU"/>
        </w:rPr>
        <w:t>Структура населения регионов России старше15 лет по уровню профессионального образования (на 1000 населения), по данным переписи 2020 года</w:t>
      </w:r>
    </w:p>
    <w:p w14:paraId="7FC1EC63" w14:textId="77777777">
      <w:pPr>
        <w:pStyle w:val="Style1"/>
        <w:widowControl/>
        <w:ind w:firstLine="709"/>
        <w:jc w:val="both"/>
        <w:rPr>
          <w:lang w:val="ru-RU"/>
        </w:rPr>
      </w:pPr>
      <w:r>
        <w:rPr>
          <w:rStyle w:val="FontStyle80"/>
          <w:rFonts w:ascii="Times New Roman" w:hAnsi="Times New Roman" w:cs="Times New Roman"/>
          <w:sz w:val="24"/>
          <w:szCs w:val="24"/>
          <w:lang w:val="ru-RU"/>
        </w:rPr>
        <w:t xml:space="preserve">Трансформационные процессы в регионах привели к институциональным изменениям в сфере труда, к которым нужно адаптироваться населению. Конкуренция на рынке труда потребовала от работников качественного изменения мотивации к труду, </w:t>
      </w:r>
      <w:r>
        <w:rPr>
          <w:rStyle w:val="FontStyle80"/>
          <w:rFonts w:ascii="Times New Roman" w:hAnsi="Times New Roman" w:cs="Times New Roman"/>
          <w:sz w:val="24"/>
          <w:szCs w:val="24"/>
          <w:lang w:val="ru-RU"/>
        </w:rPr>
        <w:lastRenderedPageBreak/>
        <w:t xml:space="preserve">повышения своей конкурентоспособности через получение образования, что в результате обусловило рост лиц с высшим профессиональным образованием, а уровень </w:t>
      </w:r>
      <w:r>
        <w:rPr>
          <w:lang w:val="ru-RU"/>
        </w:rPr>
        <w:t>социализации населения с высшим профессиональным образованием более «качественный».</w:t>
      </w:r>
    </w:p>
    <w:p w14:paraId="760D3BFA" w14:textId="77777777">
      <w:pPr>
        <w:spacing w:after="0" w:line="240" w:lineRule="auto"/>
        <w:ind w:firstLine="567"/>
        <w:jc w:val="both"/>
        <w:rPr>
          <w:rFonts w:ascii="Times New Roman" w:hAnsi="Times New Roman"/>
          <w:i/>
          <w:iCs/>
          <w:color w:val="000000" w:themeColor="text1"/>
          <w:sz w:val="20"/>
          <w:szCs w:val="20"/>
        </w:rPr>
      </w:pPr>
      <w:r>
        <w:rPr>
          <w:rFonts w:ascii="Times New Roman" w:hAnsi="Times New Roman"/>
          <w:i/>
          <w:iCs/>
          <w:color w:val="000000" w:themeColor="text1"/>
          <w:sz w:val="20"/>
          <w:szCs w:val="20"/>
        </w:rPr>
        <w:t xml:space="preserve">Статья подготовлена в рамках НИР </w:t>
      </w:r>
      <w:r>
        <w:rPr>
          <w:rFonts w:ascii="Times New Roman" w:hAnsi="Times New Roman"/>
          <w:i/>
          <w:iCs/>
          <w:color w:val="000000" w:themeColor="text1"/>
          <w:sz w:val="20"/>
          <w:szCs w:val="20"/>
          <w:shd w:val="clear" w:color="auto" w:fill="FFFFFF"/>
        </w:rPr>
        <w:t>«Человеческие ресурсы северных регионов России: потенциал развития или ограничение экономического роста»</w:t>
      </w:r>
      <w:r>
        <w:rPr>
          <w:rFonts w:ascii="Times New Roman" w:hAnsi="Times New Roman"/>
          <w:i/>
          <w:iCs/>
          <w:color w:val="000000" w:themeColor="text1"/>
          <w:sz w:val="20"/>
          <w:szCs w:val="20"/>
        </w:rPr>
        <w:t>.</w:t>
      </w:r>
    </w:p>
    <w:p w14:paraId="4AD18452" w14:textId="77777777">
      <w:pPr>
        <w:pStyle w:val="Style4"/>
        <w:widowControl/>
        <w:spacing w:line="360" w:lineRule="auto"/>
        <w:ind w:firstLine="709"/>
        <w:jc w:val="both"/>
        <w:rPr>
          <w:rStyle w:val="FontStyle80"/>
          <w:rFonts w:ascii="Times New Roman" w:hAnsi="Times New Roman" w:cs="Times New Roman"/>
          <w:color w:val="000000" w:themeColor="text1"/>
          <w:sz w:val="24"/>
          <w:szCs w:val="24"/>
          <w:lang w:val="ru-RU"/>
        </w:rPr>
      </w:pPr>
    </w:p>
    <w:p w14:paraId="4AFABABE" w14:textId="241BA42D">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Библиографический список</w:t>
      </w:r>
    </w:p>
    <w:p w14:paraId="5D622EBF" w14:textId="2B4C14D8">
      <w:pPr>
        <w:rPr>
          <w:rFonts w:ascii="Times New Roman" w:hAnsi="Times New Roman" w:cs="Times New Roman"/>
          <w:sz w:val="24"/>
          <w:szCs w:val="24"/>
        </w:rPr>
      </w:pPr>
    </w:p>
    <w:p w14:paraId="20C85C9E" w14:textId="45F3BF9C">
      <w:pPr>
        <w:pStyle w:val="a8"/>
        <w:numPr>
          <w:ilvl w:val="0"/>
          <w:numId w:val="1"/>
        </w:numPr>
        <w:ind w:left="0" w:firstLine="709"/>
        <w:jc w:val="both"/>
        <w:rPr>
          <w:rFonts w:ascii="Times New Roman" w:hAnsi="Times New Roman" w:cs="Times New Roman"/>
          <w:sz w:val="24"/>
          <w:szCs w:val="24"/>
        </w:rPr>
      </w:pPr>
      <w:proofErr w:type="spellStart"/>
      <w:r>
        <w:rPr>
          <w:rStyle w:val="markedcontent"/>
          <w:rFonts w:ascii="Times New Roman" w:hAnsi="Times New Roman" w:cs="Times New Roman"/>
          <w:sz w:val="24"/>
          <w:szCs w:val="24"/>
        </w:rPr>
        <w:t>Бессуднов</w:t>
      </w:r>
      <w:proofErr w:type="spellEnd"/>
      <w:r>
        <w:rPr>
          <w:rStyle w:val="markedcontent"/>
          <w:rFonts w:ascii="Times New Roman" w:hAnsi="Times New Roman" w:cs="Times New Roman"/>
          <w:sz w:val="24"/>
          <w:szCs w:val="24"/>
        </w:rPr>
        <w:t xml:space="preserve"> А.Р., Куракин Д.Ю., Малик В.М. (2017). Как возник и что скрывает миф о всеобщем высшем образовании // Вопросы образования. №3, С. 83-109.</w:t>
      </w:r>
      <w:r>
        <w:rPr>
          <w:rFonts w:ascii="Times New Roman" w:hAnsi="Times New Roman" w:cs="Times New Roman"/>
          <w:sz w:val="24"/>
          <w:szCs w:val="24"/>
        </w:rPr>
        <w:t xml:space="preserve"> </w:t>
      </w:r>
    </w:p>
    <w:p w14:paraId="5C867C9D" w14:textId="0774262B">
      <w:pPr>
        <w:pStyle w:val="a5"/>
        <w:jc w:val="center"/>
      </w:pPr>
      <w:r>
        <w:rPr>
          <w:rStyle w:val="a3"/>
        </w:rPr>
        <w:t>Информация об авторе</w:t>
      </w:r>
    </w:p>
    <w:p w14:paraId="2E67896C" w14:textId="16F038DA">
      <w:pPr>
        <w:pStyle w:val="a5"/>
        <w:ind w:firstLine="709"/>
        <w:rPr>
          <w:lang w:val="en-US"/>
        </w:rPr>
      </w:pPr>
      <w:r>
        <w:t>Терентьева Марина Алексеевна (Россия, Сыктывкар) – кандидат экономических наук, старший научный сотрудник, Институт социально-экономических и энергетических проблем Севера ФИЦ Коми научного центра Уральского отделения РАН (167982, Сыктывкар, ул. Коммунистическая</w:t>
      </w:r>
      <w:r>
        <w:rPr>
          <w:lang w:val="en-US"/>
        </w:rPr>
        <w:t xml:space="preserve">, </w:t>
      </w:r>
      <w:r>
        <w:t>д</w:t>
      </w:r>
      <w:r>
        <w:rPr>
          <w:lang w:val="en-US"/>
        </w:rPr>
        <w:t xml:space="preserve">. 26, e-mail: iesp@mail.ru). </w:t>
      </w:r>
    </w:p>
    <w:p w14:paraId="65952469" w14:textId="77777777">
      <w:pPr>
        <w:pStyle w:val="a5"/>
        <w:ind w:firstLine="709"/>
        <w:rPr>
          <w:lang w:val="en-US"/>
        </w:rPr>
      </w:pPr>
    </w:p>
    <w:p w14:paraId="3074B93B" w14:textId="1B8DD651">
      <w:pPr>
        <w:jc w:val="right"/>
        <w:rPr>
          <w:rFonts w:ascii="Times New Roman" w:hAnsi="Times New Roman" w:cs="Times New Roman"/>
          <w:sz w:val="24"/>
          <w:szCs w:val="24"/>
          <w:lang w:val="en-US"/>
        </w:rPr>
      </w:pPr>
      <w:proofErr w:type="spellStart"/>
      <w:r>
        <w:rPr>
          <w:rFonts w:ascii="Times New Roman" w:hAnsi="Times New Roman" w:cs="Times New Roman"/>
          <w:sz w:val="24"/>
          <w:szCs w:val="24"/>
          <w:lang w:val="en-US"/>
        </w:rPr>
        <w:t>Terentyeva</w:t>
      </w:r>
      <w:proofErr w:type="spellEnd"/>
      <w:r>
        <w:rPr>
          <w:rFonts w:ascii="Times New Roman" w:hAnsi="Times New Roman" w:cs="Times New Roman"/>
          <w:sz w:val="24"/>
          <w:szCs w:val="24"/>
          <w:lang w:val="en-US"/>
        </w:rPr>
        <w:t xml:space="preserve"> M. A.</w:t>
      </w:r>
    </w:p>
    <w:p w14:paraId="18A0DE42" w14:textId="77777777">
      <w:pPr>
        <w:pStyle w:val="HTML"/>
        <w:jc w:val="center"/>
        <w:rPr>
          <w:rFonts w:ascii="Times New Roman" w:hAnsi="Times New Roman" w:cs="Times New Roman"/>
          <w:b/>
          <w:bCs/>
          <w:caps/>
          <w:sz w:val="24"/>
          <w:szCs w:val="24"/>
          <w:lang w:val="en-US"/>
        </w:rPr>
      </w:pPr>
      <w:r>
        <w:rPr>
          <w:rStyle w:val="y2iqfc"/>
          <w:rFonts w:ascii="Times New Roman" w:hAnsi="Times New Roman" w:cs="Times New Roman"/>
          <w:b/>
          <w:bCs/>
          <w:caps/>
          <w:sz w:val="24"/>
          <w:szCs w:val="24"/>
          <w:lang w:val="en"/>
        </w:rPr>
        <w:t>Educational structure in the northern and southern regions of Russia</w:t>
      </w:r>
    </w:p>
    <w:p w14:paraId="3CA58737" w14:textId="47D3C0B1">
      <w:pPr>
        <w:pStyle w:val="HTML"/>
        <w:ind w:firstLine="709"/>
        <w:jc w:val="both"/>
        <w:rPr>
          <w:rFonts w:ascii="Times New Roman" w:hAnsi="Times New Roman" w:cs="Times New Roman"/>
          <w:i/>
          <w:iCs/>
          <w:sz w:val="24"/>
          <w:szCs w:val="24"/>
          <w:lang w:val="en-US"/>
        </w:rPr>
      </w:pPr>
      <w:r>
        <w:rPr>
          <w:rStyle w:val="a3"/>
          <w:rFonts w:ascii="Times New Roman" w:hAnsi="Times New Roman" w:cs="Times New Roman"/>
          <w:i/>
          <w:iCs/>
          <w:sz w:val="24"/>
          <w:szCs w:val="24"/>
          <w:lang w:val="en-US"/>
        </w:rPr>
        <w:t xml:space="preserve">Abstract. </w:t>
      </w:r>
      <w:r>
        <w:rPr>
          <w:rStyle w:val="y2iqfc"/>
          <w:rFonts w:ascii="Times New Roman" w:hAnsi="Times New Roman" w:cs="Times New Roman"/>
          <w:i/>
          <w:iCs/>
          <w:sz w:val="24"/>
          <w:szCs w:val="24"/>
          <w:lang w:val="en"/>
        </w:rPr>
        <w:t>The socio-economic development of Russian regions at the present stage is uneven and largely depends on objective factors that determine the possibilities of regional development. The article considers the educational structure of the population of the northern and southern regions of Russia.</w:t>
      </w:r>
    </w:p>
    <w:p w14:paraId="7AB2889B" w14:textId="2EEA9B96">
      <w:pPr>
        <w:pStyle w:val="HTML"/>
        <w:rPr>
          <w:rFonts w:ascii="Times New Roman" w:hAnsi="Times New Roman" w:cs="Times New Roman"/>
          <w:i/>
          <w:iCs/>
          <w:sz w:val="24"/>
          <w:szCs w:val="24"/>
          <w:lang w:val="en-US"/>
        </w:rPr>
      </w:pPr>
      <w:r>
        <w:rPr>
          <w:rStyle w:val="a3"/>
          <w:rFonts w:ascii="Times New Roman" w:hAnsi="Times New Roman" w:cs="Times New Roman"/>
          <w:i/>
          <w:iCs/>
          <w:sz w:val="24"/>
          <w:szCs w:val="24"/>
          <w:lang w:val="en-US"/>
        </w:rPr>
        <w:t>Keywords:</w:t>
      </w:r>
      <w:r>
        <w:rPr>
          <w:rStyle w:val="y2iqfc"/>
          <w:rFonts w:ascii="Times New Roman" w:hAnsi="Times New Roman" w:cs="Times New Roman"/>
          <w:i/>
          <w:iCs/>
          <w:sz w:val="24"/>
          <w:szCs w:val="24"/>
          <w:lang w:val="en"/>
        </w:rPr>
        <w:t xml:space="preserve"> level of professional education</w:t>
      </w:r>
      <w:r>
        <w:rPr>
          <w:rStyle w:val="y2iqfc"/>
          <w:rFonts w:ascii="Times New Roman" w:hAnsi="Times New Roman" w:cs="Times New Roman"/>
          <w:sz w:val="24"/>
          <w:szCs w:val="24"/>
          <w:lang w:val="en-US"/>
        </w:rPr>
        <w:t xml:space="preserve">, </w:t>
      </w:r>
      <w:r>
        <w:rPr>
          <w:rStyle w:val="y2iqfc"/>
          <w:rFonts w:ascii="Times New Roman" w:hAnsi="Times New Roman" w:cs="Times New Roman"/>
          <w:i/>
          <w:iCs/>
          <w:sz w:val="24"/>
          <w:szCs w:val="24"/>
          <w:lang w:val="en"/>
        </w:rPr>
        <w:t>census</w:t>
      </w:r>
      <w:r>
        <w:rPr>
          <w:rStyle w:val="y2iqfc"/>
          <w:rFonts w:ascii="Times New Roman" w:hAnsi="Times New Roman" w:cs="Times New Roman"/>
          <w:i/>
          <w:iCs/>
          <w:sz w:val="24"/>
          <w:szCs w:val="24"/>
          <w:lang w:val="en-US"/>
        </w:rPr>
        <w:t xml:space="preserve">, </w:t>
      </w:r>
      <w:r>
        <w:rPr>
          <w:rStyle w:val="y2iqfc"/>
          <w:rFonts w:ascii="Times New Roman" w:hAnsi="Times New Roman" w:cs="Times New Roman"/>
          <w:i/>
          <w:iCs/>
          <w:sz w:val="24"/>
          <w:szCs w:val="24"/>
          <w:lang w:val="en"/>
        </w:rPr>
        <w:t>north</w:t>
      </w:r>
      <w:r>
        <w:rPr>
          <w:rStyle w:val="y2iqfc"/>
          <w:rFonts w:ascii="Times New Roman" w:hAnsi="Times New Roman" w:cs="Times New Roman"/>
          <w:i/>
          <w:iCs/>
          <w:sz w:val="24"/>
          <w:szCs w:val="24"/>
          <w:lang w:val="en-US"/>
        </w:rPr>
        <w:t xml:space="preserve">, </w:t>
      </w:r>
      <w:r>
        <w:rPr>
          <w:rStyle w:val="y2iqfc"/>
          <w:rFonts w:ascii="Times New Roman" w:hAnsi="Times New Roman" w:cs="Times New Roman"/>
          <w:i/>
          <w:iCs/>
          <w:sz w:val="24"/>
          <w:szCs w:val="24"/>
          <w:lang w:val="en"/>
        </w:rPr>
        <w:t>south</w:t>
      </w:r>
    </w:p>
    <w:p w14:paraId="64F57C57" w14:textId="77777777">
      <w:pPr>
        <w:pStyle w:val="a5"/>
        <w:rPr>
          <w:lang w:val="en-US"/>
        </w:rPr>
      </w:pPr>
    </w:p>
    <w:p w14:paraId="14A0764D" w14:textId="0DE900BD">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Information about the author</w:t>
      </w:r>
    </w:p>
    <w:p w14:paraId="4125C4A7" w14:textId="086A4362">
      <w:pPr>
        <w:ind w:firstLine="709"/>
        <w:jc w:val="both"/>
        <w:rPr>
          <w:rFonts w:ascii="Times New Roman" w:hAnsi="Times New Roman" w:cs="Times New Roman"/>
          <w:iCs/>
          <w:sz w:val="24"/>
          <w:szCs w:val="24"/>
          <w:lang w:val="en-US"/>
        </w:rPr>
      </w:pPr>
      <w:proofErr w:type="spellStart"/>
      <w:r>
        <w:rPr>
          <w:rFonts w:ascii="Times New Roman" w:hAnsi="Times New Roman" w:cs="Times New Roman"/>
          <w:iCs/>
          <w:sz w:val="24"/>
          <w:szCs w:val="24"/>
          <w:lang w:val="en-US"/>
        </w:rPr>
        <w:t>Terentyeva</w:t>
      </w:r>
      <w:proofErr w:type="spellEnd"/>
      <w:r>
        <w:rPr>
          <w:rFonts w:ascii="Times New Roman" w:hAnsi="Times New Roman" w:cs="Times New Roman"/>
          <w:iCs/>
          <w:sz w:val="24"/>
          <w:szCs w:val="24"/>
          <w:lang w:val="en-US"/>
        </w:rPr>
        <w:t xml:space="preserve"> Marina </w:t>
      </w:r>
      <w:proofErr w:type="spellStart"/>
      <w:r>
        <w:rPr>
          <w:rFonts w:ascii="Times New Roman" w:hAnsi="Times New Roman" w:cs="Times New Roman"/>
          <w:iCs/>
          <w:sz w:val="24"/>
          <w:szCs w:val="24"/>
          <w:lang w:val="en-US"/>
        </w:rPr>
        <w:t>Alekseevna</w:t>
      </w:r>
      <w:proofErr w:type="spellEnd"/>
      <w:r>
        <w:rPr>
          <w:rFonts w:ascii="Times New Roman" w:hAnsi="Times New Roman" w:cs="Times New Roman"/>
          <w:sz w:val="24"/>
          <w:szCs w:val="24"/>
          <w:lang w:val="en-US"/>
        </w:rPr>
        <w:t xml:space="preserve">, </w:t>
      </w:r>
      <w:r>
        <w:rPr>
          <w:rFonts w:ascii="Times New Roman" w:hAnsi="Times New Roman" w:cs="Times New Roman"/>
          <w:iCs/>
          <w:sz w:val="24"/>
          <w:szCs w:val="24"/>
          <w:lang w:val="en-US"/>
        </w:rPr>
        <w:t xml:space="preserve">Candidate of Sciences (Economics), Senior Research Officer, Institute of Social, Economic and Energy Problems of The North of the Komi Science Centre, Ural Branch of the Russian Academy of Sciences (26, Kommunisticheskaya Street, Syktyvkar, Russia, 167982), e-mail: </w:t>
      </w:r>
      <w:hyperlink r:id="rId9" w:history="1">
        <w:r>
          <w:rPr>
            <w:rStyle w:val="a6"/>
            <w:rFonts w:ascii="Times New Roman" w:hAnsi="Times New Roman" w:cs="Times New Roman"/>
            <w:iCs/>
            <w:sz w:val="24"/>
            <w:szCs w:val="24"/>
            <w:lang w:val="en-US"/>
          </w:rPr>
          <w:t>iesp@mail.ru</w:t>
        </w:r>
      </w:hyperlink>
      <w:r>
        <w:rPr>
          <w:rFonts w:ascii="Times New Roman" w:hAnsi="Times New Roman" w:cs="Times New Roman"/>
          <w:iCs/>
          <w:sz w:val="24"/>
          <w:szCs w:val="24"/>
          <w:lang w:val="en-US"/>
        </w:rPr>
        <w:t>.</w:t>
      </w:r>
    </w:p>
    <w:p w14:paraId="580B36AF" w14:textId="77777777">
      <w:pPr>
        <w:ind w:firstLine="709"/>
        <w:jc w:val="both"/>
        <w:rPr>
          <w:rFonts w:ascii="Times New Roman" w:hAnsi="Times New Roman" w:cs="Times New Roman"/>
          <w:i/>
          <w:iCs/>
          <w:sz w:val="24"/>
          <w:szCs w:val="24"/>
          <w:lang w:val="en-US"/>
        </w:rPr>
      </w:pPr>
    </w:p>
    <w:p w14:paraId="60F61D32" w14:textId="0713BFDF">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References </w:t>
      </w:r>
    </w:p>
    <w:p w14:paraId="49F14541" w14:textId="47FAA203">
      <w:pPr>
        <w:pStyle w:val="a5"/>
        <w:jc w:val="both"/>
        <w:rPr>
          <w:lang w:val="en-US"/>
        </w:rPr>
      </w:pPr>
    </w:p>
    <w:p w14:paraId="75261551" w14:textId="3F46855F">
      <w:pPr>
        <w:pStyle w:val="a5"/>
        <w:ind w:firstLine="709"/>
        <w:jc w:val="both"/>
        <w:rPr>
          <w:rStyle w:val="markedcontent"/>
          <w:lang w:val="en-US"/>
        </w:rPr>
      </w:pPr>
      <w:proofErr w:type="spellStart"/>
      <w:r>
        <w:rPr>
          <w:rStyle w:val="markedcontent"/>
          <w:lang w:val="en-US"/>
        </w:rPr>
        <w:t>Bessudnov</w:t>
      </w:r>
      <w:proofErr w:type="spellEnd"/>
      <w:r>
        <w:rPr>
          <w:rStyle w:val="markedcontent"/>
          <w:lang w:val="en-US"/>
        </w:rPr>
        <w:t xml:space="preserve"> A., </w:t>
      </w:r>
      <w:proofErr w:type="spellStart"/>
      <w:r>
        <w:rPr>
          <w:rStyle w:val="markedcontent"/>
          <w:lang w:val="en-US"/>
        </w:rPr>
        <w:t>Kurakin</w:t>
      </w:r>
      <w:proofErr w:type="spellEnd"/>
      <w:r>
        <w:rPr>
          <w:rStyle w:val="markedcontent"/>
          <w:lang w:val="en-US"/>
        </w:rPr>
        <w:t xml:space="preserve"> D., Malik V. (2017). The myth about universal higher education: Russia in the international context. Educational Studies. 3, 83-109. (In Russ.) </w:t>
      </w:r>
      <w:proofErr w:type="spellStart"/>
      <w:r>
        <w:rPr>
          <w:rStyle w:val="markedcontent"/>
          <w:lang w:val="en-US"/>
        </w:rPr>
        <w:t>doi</w:t>
      </w:r>
      <w:proofErr w:type="spellEnd"/>
      <w:r>
        <w:rPr>
          <w:rStyle w:val="markedcontent"/>
          <w:lang w:val="en-US"/>
        </w:rPr>
        <w:t>: 10.17323/1814-9545-2017-3-83-109</w:t>
      </w:r>
    </w:p>
    <w:p w14:paraId="0F776D59" w14:textId="77777777">
      <w:pPr>
        <w:pStyle w:val="a5"/>
        <w:ind w:firstLine="709"/>
        <w:jc w:val="both"/>
        <w:rPr>
          <w:lang w:val="en-US"/>
        </w:rPr>
      </w:pP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652036"/>
    <w:multiLevelType w:val="hybridMultilevel"/>
    <w:tmpl w:val="B18828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DF96E27"/>
    <w:multiLevelType w:val="hybridMultilevel"/>
    <w:tmpl w:val="B1882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92055603">
    <w:abstractNumId w:val="1"/>
  </w:num>
  <w:num w:numId="2" w16cid:durableId="1681392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39DF49-040B-4F61-A7C8-4C8E96A7F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80">
    <w:name w:val="Font Style80"/>
    <w:rPr>
      <w:rFonts w:ascii="Arial" w:hAnsi="Arial" w:cs="Arial"/>
      <w:sz w:val="16"/>
      <w:szCs w:val="16"/>
    </w:rPr>
  </w:style>
  <w:style w:type="paragraph" w:customStyle="1" w:styleId="Style4">
    <w:name w:val="Style4"/>
    <w:basedOn w:val="a"/>
    <w:pPr>
      <w:widowControl w:val="0"/>
      <w:autoSpaceDE w:val="0"/>
      <w:spacing w:after="0" w:line="456" w:lineRule="exact"/>
      <w:jc w:val="center"/>
    </w:pPr>
    <w:rPr>
      <w:rFonts w:ascii="Times New Roman" w:eastAsia="Times New Roman" w:hAnsi="Times New Roman" w:cs="Times New Roman"/>
      <w:sz w:val="24"/>
      <w:szCs w:val="24"/>
      <w:lang w:val="en-US" w:eastAsia="ar-SA"/>
    </w:rPr>
  </w:style>
  <w:style w:type="character" w:customStyle="1" w:styleId="FontStyle182">
    <w:name w:val="Font Style182"/>
    <w:rPr>
      <w:rFonts w:ascii="Times New Roman" w:hAnsi="Times New Roman" w:cs="Times New Roman"/>
      <w:b/>
      <w:bCs/>
      <w:sz w:val="22"/>
      <w:szCs w:val="2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Pr>
      <w:rFonts w:ascii="Courier New" w:eastAsia="Times New Roman" w:hAnsi="Courier New" w:cs="Courier New"/>
      <w:sz w:val="20"/>
      <w:szCs w:val="20"/>
      <w:lang w:eastAsia="ru-RU"/>
    </w:rPr>
  </w:style>
  <w:style w:type="character" w:customStyle="1" w:styleId="y2iqfc">
    <w:name w:val="y2iqfc"/>
    <w:basedOn w:val="a0"/>
  </w:style>
  <w:style w:type="character" w:styleId="a3">
    <w:name w:val="Strong"/>
    <w:basedOn w:val="a0"/>
    <w:uiPriority w:val="22"/>
    <w:qFormat/>
    <w:rPr>
      <w:b/>
      <w:bCs/>
    </w:rPr>
  </w:style>
  <w:style w:type="character" w:styleId="a4">
    <w:name w:val="Emphasis"/>
    <w:basedOn w:val="a0"/>
    <w:uiPriority w:val="20"/>
    <w:qFormat/>
    <w:rPr>
      <w:i/>
      <w:iCs/>
    </w:rPr>
  </w:style>
  <w:style w:type="paragraph" w:styleId="a5">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2">
    <w:name w:val="#Zag2"/>
    <w:basedOn w:val="a"/>
    <w:next w:val="a"/>
    <w:pPr>
      <w:keepNext/>
      <w:autoSpaceDE w:val="0"/>
      <w:autoSpaceDN w:val="0"/>
      <w:adjustRightInd w:val="0"/>
      <w:spacing w:before="120" w:after="120" w:line="240" w:lineRule="auto"/>
      <w:ind w:left="567"/>
      <w:outlineLvl w:val="0"/>
    </w:pPr>
    <w:rPr>
      <w:rFonts w:ascii="Times New Roman" w:eastAsia="Times New Roman" w:hAnsi="Times New Roman" w:cs="Times New Roman"/>
      <w:bCs/>
      <w:i/>
      <w:noProof/>
      <w:sz w:val="24"/>
      <w:szCs w:val="20"/>
    </w:rPr>
  </w:style>
  <w:style w:type="paragraph" w:customStyle="1" w:styleId="zag1">
    <w:name w:val="#zag1"/>
    <w:basedOn w:val="a"/>
    <w:pPr>
      <w:keepNext/>
      <w:spacing w:before="120" w:after="120" w:line="240" w:lineRule="auto"/>
      <w:ind w:left="567"/>
      <w:outlineLvl w:val="0"/>
    </w:pPr>
    <w:rPr>
      <w:rFonts w:ascii="Times New Roman" w:eastAsia="Times New Roman" w:hAnsi="Times New Roman" w:cs="Times New Roman"/>
      <w:b/>
      <w:sz w:val="24"/>
      <w:szCs w:val="20"/>
    </w:rPr>
  </w:style>
  <w:style w:type="character" w:styleId="a6">
    <w:name w:val="Hyperlink"/>
    <w:basedOn w:val="a0"/>
    <w:uiPriority w:val="99"/>
    <w:unhideWhenUsed/>
    <w:rPr>
      <w:color w:val="0563C1" w:themeColor="hyperlink"/>
      <w:u w:val="single"/>
    </w:rPr>
  </w:style>
  <w:style w:type="character" w:styleId="a7">
    <w:name w:val="Unresolved Mention"/>
    <w:basedOn w:val="a0"/>
    <w:uiPriority w:val="99"/>
    <w:semiHidden/>
    <w:unhideWhenUsed/>
    <w:rPr>
      <w:color w:val="605E5C"/>
      <w:shd w:val="clear" w:color="auto" w:fill="E1DFDD"/>
    </w:rPr>
  </w:style>
  <w:style w:type="paragraph" w:styleId="a8">
    <w:name w:val="List Paragraph"/>
    <w:basedOn w:val="a"/>
    <w:uiPriority w:val="34"/>
    <w:qFormat/>
    <w:pPr>
      <w:ind w:left="720"/>
      <w:contextualSpacing/>
    </w:pPr>
  </w:style>
  <w:style w:type="character" w:customStyle="1" w:styleId="markedcontent">
    <w:name w:val="markedcontent"/>
    <w:basedOn w:val="a0"/>
  </w:style>
  <w:style w:type="paragraph" w:customStyle="1" w:styleId="Style1">
    <w:name w:val="Style1"/>
    <w:basedOn w:val="a"/>
    <w:pPr>
      <w:widowControl w:val="0"/>
      <w:autoSpaceDE w:val="0"/>
      <w:spacing w:after="0" w:line="240" w:lineRule="auto"/>
    </w:pPr>
    <w:rPr>
      <w:rFonts w:ascii="Times New Roman" w:eastAsia="Times New Roman" w:hAnsi="Times New Roman" w:cs="Times New Roman"/>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7914">
      <w:bodyDiv w:val="1"/>
      <w:marLeft w:val="0"/>
      <w:marRight w:val="0"/>
      <w:marTop w:val="0"/>
      <w:marBottom w:val="0"/>
      <w:divBdr>
        <w:top w:val="none" w:sz="0" w:space="0" w:color="auto"/>
        <w:left w:val="none" w:sz="0" w:space="0" w:color="auto"/>
        <w:bottom w:val="none" w:sz="0" w:space="0" w:color="auto"/>
        <w:right w:val="none" w:sz="0" w:space="0" w:color="auto"/>
      </w:divBdr>
    </w:div>
    <w:div w:id="670718395">
      <w:bodyDiv w:val="1"/>
      <w:marLeft w:val="0"/>
      <w:marRight w:val="0"/>
      <w:marTop w:val="0"/>
      <w:marBottom w:val="0"/>
      <w:divBdr>
        <w:top w:val="none" w:sz="0" w:space="0" w:color="auto"/>
        <w:left w:val="none" w:sz="0" w:space="0" w:color="auto"/>
        <w:bottom w:val="none" w:sz="0" w:space="0" w:color="auto"/>
        <w:right w:val="none" w:sz="0" w:space="0" w:color="auto"/>
      </w:divBdr>
    </w:div>
    <w:div w:id="1762525434">
      <w:bodyDiv w:val="1"/>
      <w:marLeft w:val="0"/>
      <w:marRight w:val="0"/>
      <w:marTop w:val="0"/>
      <w:marBottom w:val="0"/>
      <w:divBdr>
        <w:top w:val="none" w:sz="0" w:space="0" w:color="auto"/>
        <w:left w:val="none" w:sz="0" w:space="0" w:color="auto"/>
        <w:bottom w:val="none" w:sz="0" w:space="0" w:color="auto"/>
        <w:right w:val="none" w:sz="0" w:space="0" w:color="auto"/>
      </w:divBdr>
    </w:div>
    <w:div w:id="1770930844">
      <w:bodyDiv w:val="1"/>
      <w:marLeft w:val="0"/>
      <w:marRight w:val="0"/>
      <w:marTop w:val="0"/>
      <w:marBottom w:val="0"/>
      <w:divBdr>
        <w:top w:val="none" w:sz="0" w:space="0" w:color="auto"/>
        <w:left w:val="none" w:sz="0" w:space="0" w:color="auto"/>
        <w:bottom w:val="none" w:sz="0" w:space="0" w:color="auto"/>
        <w:right w:val="none" w:sz="0" w:space="0" w:color="auto"/>
      </w:divBdr>
    </w:div>
    <w:div w:id="1826318315">
      <w:bodyDiv w:val="1"/>
      <w:marLeft w:val="0"/>
      <w:marRight w:val="0"/>
      <w:marTop w:val="0"/>
      <w:marBottom w:val="0"/>
      <w:divBdr>
        <w:top w:val="none" w:sz="0" w:space="0" w:color="auto"/>
        <w:left w:val="none" w:sz="0" w:space="0" w:color="auto"/>
        <w:bottom w:val="none" w:sz="0" w:space="0" w:color="auto"/>
        <w:right w:val="none" w:sz="0" w:space="0" w:color="auto"/>
      </w:divBdr>
    </w:div>
    <w:div w:id="2079590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esp@mail.ru"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1050;&#1086;&#1085;&#1092;&#1077;&#1088;&#1077;&#1085;&#1094;&#1080;&#1080;\2023\&#1055;&#1080;&#1090;&#1077;&#1088;\&#1048;&#1055;&#1056;&#1069;\&#1056;&#1072;&#1089;&#1095;&#1077;&#1090;&#1099;_&#1055;&#1080;&#1090;&#1077;&#1088;.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1050;&#1086;&#1085;&#1092;&#1077;&#1088;&#1077;&#1085;&#1094;&#1080;&#1080;\2023\&#1055;&#1080;&#1090;&#1077;&#1088;\&#1048;&#1055;&#1056;&#1069;\&#1056;&#1072;&#1089;&#1095;&#1077;&#1090;&#1099;_&#1055;&#1080;&#1090;&#1077;&#1088;.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D:\&#1057;&#1090;&#1072;&#1090;&#1100;&#1080;\&#1058;&#1077;&#1088;&#1077;&#1085;&#1090;&#1100;&#1077;&#1074;&#1072;\Terra%20Economics\2023\&#1056;&#1072;&#1089;&#1095;&#1077;&#1090;&#1099;%20&#1087;&#1086;%20&#1086;&#1073;&#1088;&#1072;&#1079;&#1086;&#1074;&#1072;&#1085;&#1080;&#1102;_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680" b="0"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ru-RU"/>
              <a:t>юг</a:t>
            </a:r>
          </a:p>
          <a:p>
            <a:pPr>
              <a:defRPr/>
            </a:pPr>
            <a:endParaRPr lang="ru-RU"/>
          </a:p>
        </c:rich>
      </c:tx>
      <c:overlay val="0"/>
      <c:spPr>
        <a:noFill/>
        <a:ln>
          <a:noFill/>
        </a:ln>
        <a:effectLst/>
      </c:spPr>
      <c:txPr>
        <a:bodyPr rot="0" spcFirstLastPara="1" vertOverflow="ellipsis" vert="horz" wrap="square" anchor="ctr" anchorCtr="1"/>
        <a:lstStyle/>
        <a:p>
          <a:pPr>
            <a:defRPr sz="1680" b="0"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11218202337557888"/>
          <c:y val="0.19971043477957726"/>
          <c:w val="0.54761033783462409"/>
          <c:h val="0.69702274500213057"/>
        </c:manualLayout>
      </c:layout>
      <c:barChart>
        <c:barDir val="bar"/>
        <c:grouping val="stacked"/>
        <c:varyColors val="0"/>
        <c:ser>
          <c:idx val="0"/>
          <c:order val="0"/>
          <c:tx>
            <c:strRef>
              <c:f>Юг!$D$5</c:f>
              <c:strCache>
                <c:ptCount val="1"/>
                <c:pt idx="0">
                  <c:v>Послевузовское</c:v>
                </c:pt>
              </c:strCache>
            </c:strRef>
          </c:tx>
          <c:spPr>
            <a:gradFill rotWithShape="1">
              <a:gsLst>
                <a:gs pos="0">
                  <a:schemeClr val="dk1">
                    <a:tint val="88500"/>
                    <a:lumMod val="110000"/>
                    <a:satMod val="105000"/>
                    <a:tint val="67000"/>
                  </a:schemeClr>
                </a:gs>
                <a:gs pos="50000">
                  <a:schemeClr val="dk1">
                    <a:tint val="88500"/>
                    <a:lumMod val="105000"/>
                    <a:satMod val="103000"/>
                    <a:tint val="73000"/>
                  </a:schemeClr>
                </a:gs>
                <a:gs pos="100000">
                  <a:schemeClr val="dk1">
                    <a:tint val="88500"/>
                    <a:lumMod val="105000"/>
                    <a:satMod val="109000"/>
                    <a:tint val="81000"/>
                  </a:schemeClr>
                </a:gs>
              </a:gsLst>
              <a:lin ang="5400000" scaled="0"/>
            </a:gradFill>
            <a:ln w="9525" cap="flat" cmpd="sng" algn="ctr">
              <a:solidFill>
                <a:schemeClr val="dk1">
                  <a:tint val="88500"/>
                  <a:shade val="95000"/>
                </a:schemeClr>
              </a:solidFill>
              <a:round/>
            </a:ln>
            <a:effectLst/>
          </c:spPr>
          <c:invertIfNegative val="0"/>
          <c:cat>
            <c:strRef>
              <c:f>Юг!$A$14:$A$19</c:f>
              <c:strCache>
                <c:ptCount val="6"/>
                <c:pt idx="0">
                  <c:v>20-29</c:v>
                </c:pt>
                <c:pt idx="1">
                  <c:v>30-39</c:v>
                </c:pt>
                <c:pt idx="2">
                  <c:v>40-49</c:v>
                </c:pt>
                <c:pt idx="3">
                  <c:v>50-59</c:v>
                </c:pt>
                <c:pt idx="4">
                  <c:v>60-64</c:v>
                </c:pt>
                <c:pt idx="5">
                  <c:v>65-72</c:v>
                </c:pt>
              </c:strCache>
            </c:strRef>
          </c:cat>
          <c:val>
            <c:numRef>
              <c:f>Юг!$D$14:$D$19</c:f>
              <c:numCache>
                <c:formatCode>0.0</c:formatCode>
                <c:ptCount val="6"/>
                <c:pt idx="0">
                  <c:v>0.50460863890836827</c:v>
                </c:pt>
                <c:pt idx="1">
                  <c:v>1.4473381136459231</c:v>
                </c:pt>
                <c:pt idx="2">
                  <c:v>1.4119179208828658</c:v>
                </c:pt>
                <c:pt idx="3">
                  <c:v>1.2658020136189863</c:v>
                </c:pt>
                <c:pt idx="4">
                  <c:v>1.2790922410299572</c:v>
                </c:pt>
                <c:pt idx="5">
                  <c:v>1.3036143742252424</c:v>
                </c:pt>
              </c:numCache>
            </c:numRef>
          </c:val>
          <c:extLst>
            <c:ext xmlns:c16="http://schemas.microsoft.com/office/drawing/2014/chart" uri="{C3380CC4-5D6E-409C-BE32-E72D297353CC}">
              <c16:uniqueId val="{00000000-D7B3-409E-964D-A0128B6D4BCF}"/>
            </c:ext>
          </c:extLst>
        </c:ser>
        <c:ser>
          <c:idx val="1"/>
          <c:order val="1"/>
          <c:tx>
            <c:strRef>
              <c:f>Юг!$E$5</c:f>
              <c:strCache>
                <c:ptCount val="1"/>
                <c:pt idx="0">
                  <c:v>Высшее</c:v>
                </c:pt>
              </c:strCache>
            </c:strRef>
          </c:tx>
          <c:spPr>
            <a:gradFill rotWithShape="1">
              <a:gsLst>
                <a:gs pos="0">
                  <a:schemeClr val="dk1">
                    <a:tint val="55000"/>
                    <a:lumMod val="110000"/>
                    <a:satMod val="105000"/>
                    <a:tint val="67000"/>
                  </a:schemeClr>
                </a:gs>
                <a:gs pos="50000">
                  <a:schemeClr val="dk1">
                    <a:tint val="55000"/>
                    <a:lumMod val="105000"/>
                    <a:satMod val="103000"/>
                    <a:tint val="73000"/>
                  </a:schemeClr>
                </a:gs>
                <a:gs pos="100000">
                  <a:schemeClr val="dk1">
                    <a:tint val="55000"/>
                    <a:lumMod val="105000"/>
                    <a:satMod val="109000"/>
                    <a:tint val="81000"/>
                  </a:schemeClr>
                </a:gs>
              </a:gsLst>
              <a:lin ang="5400000" scaled="0"/>
            </a:gradFill>
            <a:ln w="9525" cap="flat" cmpd="sng" algn="ctr">
              <a:solidFill>
                <a:schemeClr val="dk1">
                  <a:tint val="55000"/>
                  <a:shade val="95000"/>
                </a:schemeClr>
              </a:solidFill>
              <a:round/>
            </a:ln>
            <a:effectLst/>
          </c:spPr>
          <c:invertIfNegative val="0"/>
          <c:cat>
            <c:strRef>
              <c:f>Юг!$A$14:$A$19</c:f>
              <c:strCache>
                <c:ptCount val="6"/>
                <c:pt idx="0">
                  <c:v>20-29</c:v>
                </c:pt>
                <c:pt idx="1">
                  <c:v>30-39</c:v>
                </c:pt>
                <c:pt idx="2">
                  <c:v>40-49</c:v>
                </c:pt>
                <c:pt idx="3">
                  <c:v>50-59</c:v>
                </c:pt>
                <c:pt idx="4">
                  <c:v>60-64</c:v>
                </c:pt>
                <c:pt idx="5">
                  <c:v>65-72</c:v>
                </c:pt>
              </c:strCache>
            </c:strRef>
          </c:cat>
          <c:val>
            <c:numRef>
              <c:f>Юг!$E$14:$E$19</c:f>
              <c:numCache>
                <c:formatCode>0.0</c:formatCode>
                <c:ptCount val="6"/>
                <c:pt idx="0">
                  <c:v>25.048570963722035</c:v>
                </c:pt>
                <c:pt idx="1">
                  <c:v>33.530804975263884</c:v>
                </c:pt>
                <c:pt idx="2">
                  <c:v>27.42010693260529</c:v>
                </c:pt>
                <c:pt idx="3">
                  <c:v>20.118789230478388</c:v>
                </c:pt>
                <c:pt idx="4">
                  <c:v>17.361139686399202</c:v>
                </c:pt>
                <c:pt idx="5">
                  <c:v>14.487691479651922</c:v>
                </c:pt>
              </c:numCache>
            </c:numRef>
          </c:val>
          <c:extLst>
            <c:ext xmlns:c16="http://schemas.microsoft.com/office/drawing/2014/chart" uri="{C3380CC4-5D6E-409C-BE32-E72D297353CC}">
              <c16:uniqueId val="{00000001-D7B3-409E-964D-A0128B6D4BCF}"/>
            </c:ext>
          </c:extLst>
        </c:ser>
        <c:ser>
          <c:idx val="2"/>
          <c:order val="2"/>
          <c:tx>
            <c:strRef>
              <c:f>Юг!$F$5</c:f>
              <c:strCache>
                <c:ptCount val="1"/>
                <c:pt idx="0">
                  <c:v>Незаконченное высшее</c:v>
                </c:pt>
              </c:strCache>
            </c:strRef>
          </c:tx>
          <c:spPr>
            <a:solidFill>
              <a:schemeClr val="tx1"/>
            </a:solidFill>
            <a:ln w="9525" cap="flat" cmpd="sng" algn="ctr">
              <a:solidFill>
                <a:schemeClr val="dk1">
                  <a:tint val="75000"/>
                  <a:shade val="95000"/>
                </a:schemeClr>
              </a:solidFill>
              <a:round/>
            </a:ln>
            <a:effectLst/>
          </c:spPr>
          <c:invertIfNegative val="0"/>
          <c:cat>
            <c:strRef>
              <c:f>Юг!$A$14:$A$19</c:f>
              <c:strCache>
                <c:ptCount val="6"/>
                <c:pt idx="0">
                  <c:v>20-29</c:v>
                </c:pt>
                <c:pt idx="1">
                  <c:v>30-39</c:v>
                </c:pt>
                <c:pt idx="2">
                  <c:v>40-49</c:v>
                </c:pt>
                <c:pt idx="3">
                  <c:v>50-59</c:v>
                </c:pt>
                <c:pt idx="4">
                  <c:v>60-64</c:v>
                </c:pt>
                <c:pt idx="5">
                  <c:v>65-72</c:v>
                </c:pt>
              </c:strCache>
            </c:strRef>
          </c:cat>
          <c:val>
            <c:numRef>
              <c:f>Юг!$F$14:$F$19</c:f>
              <c:numCache>
                <c:formatCode>0.0</c:formatCode>
                <c:ptCount val="6"/>
                <c:pt idx="0">
                  <c:v>3.3604930751305018</c:v>
                </c:pt>
                <c:pt idx="1">
                  <c:v>2.9225419111903377</c:v>
                </c:pt>
                <c:pt idx="2">
                  <c:v>2.5339572299110076</c:v>
                </c:pt>
                <c:pt idx="3">
                  <c:v>2.0310879907944157</c:v>
                </c:pt>
                <c:pt idx="4">
                  <c:v>1.6809127466566913</c:v>
                </c:pt>
                <c:pt idx="5">
                  <c:v>1.3532504765037143</c:v>
                </c:pt>
              </c:numCache>
            </c:numRef>
          </c:val>
          <c:extLst>
            <c:ext xmlns:c16="http://schemas.microsoft.com/office/drawing/2014/chart" uri="{C3380CC4-5D6E-409C-BE32-E72D297353CC}">
              <c16:uniqueId val="{00000002-D7B3-409E-964D-A0128B6D4BCF}"/>
            </c:ext>
          </c:extLst>
        </c:ser>
        <c:ser>
          <c:idx val="3"/>
          <c:order val="3"/>
          <c:tx>
            <c:strRef>
              <c:f>Юг!$G$5</c:f>
              <c:strCache>
                <c:ptCount val="1"/>
                <c:pt idx="0">
                  <c:v>Среднее</c:v>
                </c:pt>
              </c:strCache>
            </c:strRef>
          </c:tx>
          <c:spPr>
            <a:gradFill rotWithShape="1">
              <a:gsLst>
                <a:gs pos="0">
                  <a:schemeClr val="dk1">
                    <a:tint val="98500"/>
                    <a:lumMod val="110000"/>
                    <a:satMod val="105000"/>
                    <a:tint val="67000"/>
                  </a:schemeClr>
                </a:gs>
                <a:gs pos="50000">
                  <a:schemeClr val="dk1">
                    <a:tint val="98500"/>
                    <a:lumMod val="105000"/>
                    <a:satMod val="103000"/>
                    <a:tint val="73000"/>
                  </a:schemeClr>
                </a:gs>
                <a:gs pos="100000">
                  <a:schemeClr val="dk1">
                    <a:tint val="98500"/>
                    <a:lumMod val="105000"/>
                    <a:satMod val="109000"/>
                    <a:tint val="81000"/>
                  </a:schemeClr>
                </a:gs>
              </a:gsLst>
              <a:lin ang="5400000" scaled="0"/>
            </a:gradFill>
            <a:ln w="9525" cap="flat" cmpd="sng" algn="ctr">
              <a:solidFill>
                <a:schemeClr val="dk1">
                  <a:tint val="98500"/>
                  <a:shade val="95000"/>
                </a:schemeClr>
              </a:solidFill>
              <a:round/>
            </a:ln>
            <a:effectLst/>
          </c:spPr>
          <c:invertIfNegative val="0"/>
          <c:cat>
            <c:strRef>
              <c:f>Юг!$A$14:$A$19</c:f>
              <c:strCache>
                <c:ptCount val="6"/>
                <c:pt idx="0">
                  <c:v>20-29</c:v>
                </c:pt>
                <c:pt idx="1">
                  <c:v>30-39</c:v>
                </c:pt>
                <c:pt idx="2">
                  <c:v>40-49</c:v>
                </c:pt>
                <c:pt idx="3">
                  <c:v>50-59</c:v>
                </c:pt>
                <c:pt idx="4">
                  <c:v>60-64</c:v>
                </c:pt>
                <c:pt idx="5">
                  <c:v>65-72</c:v>
                </c:pt>
              </c:strCache>
            </c:strRef>
          </c:cat>
          <c:val>
            <c:numRef>
              <c:f>Юг!$G$14:$G$19</c:f>
              <c:numCache>
                <c:formatCode>0.0</c:formatCode>
                <c:ptCount val="6"/>
                <c:pt idx="0">
                  <c:v>20.862168574859986</c:v>
                </c:pt>
                <c:pt idx="1">
                  <c:v>21.763374526809141</c:v>
                </c:pt>
                <c:pt idx="2">
                  <c:v>24.567832510642319</c:v>
                </c:pt>
                <c:pt idx="3">
                  <c:v>28.582812482372887</c:v>
                </c:pt>
                <c:pt idx="4">
                  <c:v>29.792449889335703</c:v>
                </c:pt>
                <c:pt idx="5">
                  <c:v>25.539394749240188</c:v>
                </c:pt>
              </c:numCache>
            </c:numRef>
          </c:val>
          <c:extLst>
            <c:ext xmlns:c16="http://schemas.microsoft.com/office/drawing/2014/chart" uri="{C3380CC4-5D6E-409C-BE32-E72D297353CC}">
              <c16:uniqueId val="{00000003-D7B3-409E-964D-A0128B6D4BCF}"/>
            </c:ext>
          </c:extLst>
        </c:ser>
        <c:ser>
          <c:idx val="4"/>
          <c:order val="4"/>
          <c:tx>
            <c:strRef>
              <c:f>Юг!$H$5</c:f>
              <c:strCache>
                <c:ptCount val="1"/>
                <c:pt idx="0">
                  <c:v>Начальное</c:v>
                </c:pt>
              </c:strCache>
            </c:strRef>
          </c:tx>
          <c:spPr>
            <a:gradFill rotWithShape="1">
              <a:gsLst>
                <a:gs pos="0">
                  <a:schemeClr val="dk1">
                    <a:tint val="30000"/>
                    <a:lumMod val="110000"/>
                    <a:satMod val="105000"/>
                    <a:tint val="67000"/>
                  </a:schemeClr>
                </a:gs>
                <a:gs pos="50000">
                  <a:schemeClr val="dk1">
                    <a:tint val="30000"/>
                    <a:lumMod val="105000"/>
                    <a:satMod val="103000"/>
                    <a:tint val="73000"/>
                  </a:schemeClr>
                </a:gs>
                <a:gs pos="100000">
                  <a:schemeClr val="dk1">
                    <a:tint val="30000"/>
                    <a:lumMod val="105000"/>
                    <a:satMod val="109000"/>
                    <a:tint val="81000"/>
                  </a:schemeClr>
                </a:gs>
              </a:gsLst>
              <a:lin ang="5400000" scaled="0"/>
            </a:gradFill>
            <a:ln w="9525" cap="flat" cmpd="sng" algn="ctr">
              <a:solidFill>
                <a:schemeClr val="dk1">
                  <a:tint val="30000"/>
                  <a:shade val="95000"/>
                </a:schemeClr>
              </a:solidFill>
              <a:round/>
            </a:ln>
            <a:effectLst/>
          </c:spPr>
          <c:invertIfNegative val="0"/>
          <c:cat>
            <c:strRef>
              <c:f>Юг!$A$14:$A$19</c:f>
              <c:strCache>
                <c:ptCount val="6"/>
                <c:pt idx="0">
                  <c:v>20-29</c:v>
                </c:pt>
                <c:pt idx="1">
                  <c:v>30-39</c:v>
                </c:pt>
                <c:pt idx="2">
                  <c:v>40-49</c:v>
                </c:pt>
                <c:pt idx="3">
                  <c:v>50-59</c:v>
                </c:pt>
                <c:pt idx="4">
                  <c:v>60-64</c:v>
                </c:pt>
                <c:pt idx="5">
                  <c:v>65-72</c:v>
                </c:pt>
              </c:strCache>
            </c:strRef>
          </c:cat>
          <c:val>
            <c:numRef>
              <c:f>Юг!$H$14:$H$19</c:f>
              <c:numCache>
                <c:formatCode>0.0</c:formatCode>
                <c:ptCount val="6"/>
                <c:pt idx="0">
                  <c:v>9.9655794652729526</c:v>
                </c:pt>
                <c:pt idx="1">
                  <c:v>11.068234622548921</c:v>
                </c:pt>
                <c:pt idx="2">
                  <c:v>12.892953699451752</c:v>
                </c:pt>
                <c:pt idx="3">
                  <c:v>14.590345007710633</c:v>
                </c:pt>
                <c:pt idx="4">
                  <c:v>14.460986938495589</c:v>
                </c:pt>
                <c:pt idx="5">
                  <c:v>12.331918995945669</c:v>
                </c:pt>
              </c:numCache>
            </c:numRef>
          </c:val>
          <c:extLst>
            <c:ext xmlns:c16="http://schemas.microsoft.com/office/drawing/2014/chart" uri="{C3380CC4-5D6E-409C-BE32-E72D297353CC}">
              <c16:uniqueId val="{00000004-D7B3-409E-964D-A0128B6D4BCF}"/>
            </c:ext>
          </c:extLst>
        </c:ser>
        <c:dLbls>
          <c:showLegendKey val="0"/>
          <c:showVal val="0"/>
          <c:showCatName val="0"/>
          <c:showSerName val="0"/>
          <c:showPercent val="0"/>
          <c:showBubbleSize val="0"/>
        </c:dLbls>
        <c:gapWidth val="150"/>
        <c:overlap val="100"/>
        <c:axId val="1467729936"/>
        <c:axId val="1653779472"/>
      </c:barChart>
      <c:catAx>
        <c:axId val="1467729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53779472"/>
        <c:crosses val="autoZero"/>
        <c:auto val="1"/>
        <c:lblAlgn val="ctr"/>
        <c:lblOffset val="100"/>
        <c:noMultiLvlLbl val="0"/>
      </c:catAx>
      <c:valAx>
        <c:axId val="165377947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RU"/>
          </a:p>
        </c:txPr>
        <c:crossAx val="1467729936"/>
        <c:crosses val="autoZero"/>
        <c:crossBetween val="between"/>
      </c:valAx>
      <c:spPr>
        <a:noFill/>
        <a:ln>
          <a:noFill/>
        </a:ln>
        <a:effectLst/>
      </c:spPr>
    </c:plotArea>
    <c:legend>
      <c:legendPos val="r"/>
      <c:layout>
        <c:manualLayout>
          <c:xMode val="edge"/>
          <c:yMode val="edge"/>
          <c:x val="0.69462586534179105"/>
          <c:y val="0.14036511819801295"/>
          <c:w val="0.29219456299428798"/>
          <c:h val="0.57684298823369784"/>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4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 север</a:t>
            </a:r>
          </a:p>
        </c:rich>
      </c:tx>
      <c:layout>
        <c:manualLayout>
          <c:xMode val="edge"/>
          <c:yMode val="edge"/>
          <c:x val="0.3966456692913386"/>
          <c:y val="2.3148148148148147E-2"/>
        </c:manualLayout>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stacked"/>
        <c:varyColors val="0"/>
        <c:ser>
          <c:idx val="0"/>
          <c:order val="0"/>
          <c:tx>
            <c:strRef>
              <c:f>Север!$D$2</c:f>
              <c:strCache>
                <c:ptCount val="1"/>
                <c:pt idx="0">
                  <c:v>Послевузовское</c:v>
                </c:pt>
              </c:strCache>
            </c:strRef>
          </c:tx>
          <c:spPr>
            <a:solidFill>
              <a:schemeClr val="dk1">
                <a:tint val="88500"/>
              </a:schemeClr>
            </a:solidFill>
            <a:ln>
              <a:noFill/>
            </a:ln>
            <a:effectLst/>
          </c:spPr>
          <c:invertIfNegative val="0"/>
          <c:cat>
            <c:strRef>
              <c:f>Север!$A$11:$A$16</c:f>
              <c:strCache>
                <c:ptCount val="6"/>
                <c:pt idx="0">
                  <c:v>20-29</c:v>
                </c:pt>
                <c:pt idx="1">
                  <c:v>30-39</c:v>
                </c:pt>
                <c:pt idx="2">
                  <c:v>40-49</c:v>
                </c:pt>
                <c:pt idx="3">
                  <c:v>50-59</c:v>
                </c:pt>
                <c:pt idx="4">
                  <c:v>60-64</c:v>
                </c:pt>
                <c:pt idx="5">
                  <c:v>65-72</c:v>
                </c:pt>
              </c:strCache>
            </c:strRef>
          </c:cat>
          <c:val>
            <c:numRef>
              <c:f>Север!$D$11:$D$16</c:f>
              <c:numCache>
                <c:formatCode>0.0</c:formatCode>
                <c:ptCount val="6"/>
                <c:pt idx="0">
                  <c:v>0.43355116378423708</c:v>
                </c:pt>
                <c:pt idx="1">
                  <c:v>1.4734708042363314</c:v>
                </c:pt>
                <c:pt idx="2">
                  <c:v>1.5952806470178416</c:v>
                </c:pt>
                <c:pt idx="3">
                  <c:v>1.5398179121433981</c:v>
                </c:pt>
                <c:pt idx="4">
                  <c:v>1.4263417597580326</c:v>
                </c:pt>
                <c:pt idx="5">
                  <c:v>1.5334098648726648</c:v>
                </c:pt>
              </c:numCache>
            </c:numRef>
          </c:val>
          <c:extLst>
            <c:ext xmlns:c16="http://schemas.microsoft.com/office/drawing/2014/chart" uri="{C3380CC4-5D6E-409C-BE32-E72D297353CC}">
              <c16:uniqueId val="{00000000-56C8-4E80-83F0-214FCC781D23}"/>
            </c:ext>
          </c:extLst>
        </c:ser>
        <c:ser>
          <c:idx val="1"/>
          <c:order val="1"/>
          <c:tx>
            <c:strRef>
              <c:f>Север!$E$2</c:f>
              <c:strCache>
                <c:ptCount val="1"/>
                <c:pt idx="0">
                  <c:v>Высшее</c:v>
                </c:pt>
              </c:strCache>
            </c:strRef>
          </c:tx>
          <c:spPr>
            <a:solidFill>
              <a:schemeClr val="dk1">
                <a:tint val="55000"/>
              </a:schemeClr>
            </a:solidFill>
            <a:ln>
              <a:noFill/>
            </a:ln>
            <a:effectLst/>
          </c:spPr>
          <c:invertIfNegative val="0"/>
          <c:cat>
            <c:strRef>
              <c:f>Север!$A$11:$A$16</c:f>
              <c:strCache>
                <c:ptCount val="6"/>
                <c:pt idx="0">
                  <c:v>20-29</c:v>
                </c:pt>
                <c:pt idx="1">
                  <c:v>30-39</c:v>
                </c:pt>
                <c:pt idx="2">
                  <c:v>40-49</c:v>
                </c:pt>
                <c:pt idx="3">
                  <c:v>50-59</c:v>
                </c:pt>
                <c:pt idx="4">
                  <c:v>60-64</c:v>
                </c:pt>
                <c:pt idx="5">
                  <c:v>65-72</c:v>
                </c:pt>
              </c:strCache>
            </c:strRef>
          </c:cat>
          <c:val>
            <c:numRef>
              <c:f>Север!$E$11:$E$16</c:f>
              <c:numCache>
                <c:formatCode>0.0</c:formatCode>
                <c:ptCount val="6"/>
                <c:pt idx="0">
                  <c:v>24.292842186321515</c:v>
                </c:pt>
                <c:pt idx="1">
                  <c:v>37.223861393336598</c:v>
                </c:pt>
                <c:pt idx="2">
                  <c:v>32.483112713173597</c:v>
                </c:pt>
                <c:pt idx="3">
                  <c:v>23.902778654380207</c:v>
                </c:pt>
                <c:pt idx="4">
                  <c:v>18.20896197606822</c:v>
                </c:pt>
                <c:pt idx="5">
                  <c:v>16.155316269792916</c:v>
                </c:pt>
              </c:numCache>
            </c:numRef>
          </c:val>
          <c:extLst>
            <c:ext xmlns:c16="http://schemas.microsoft.com/office/drawing/2014/chart" uri="{C3380CC4-5D6E-409C-BE32-E72D297353CC}">
              <c16:uniqueId val="{00000001-56C8-4E80-83F0-214FCC781D23}"/>
            </c:ext>
          </c:extLst>
        </c:ser>
        <c:ser>
          <c:idx val="2"/>
          <c:order val="2"/>
          <c:tx>
            <c:strRef>
              <c:f>Север!$F$2</c:f>
              <c:strCache>
                <c:ptCount val="1"/>
                <c:pt idx="0">
                  <c:v>Незаконченное высшее</c:v>
                </c:pt>
              </c:strCache>
            </c:strRef>
          </c:tx>
          <c:spPr>
            <a:solidFill>
              <a:schemeClr val="tx1"/>
            </a:solidFill>
            <a:ln>
              <a:noFill/>
            </a:ln>
            <a:effectLst/>
          </c:spPr>
          <c:invertIfNegative val="0"/>
          <c:cat>
            <c:strRef>
              <c:f>Север!$A$11:$A$16</c:f>
              <c:strCache>
                <c:ptCount val="6"/>
                <c:pt idx="0">
                  <c:v>20-29</c:v>
                </c:pt>
                <c:pt idx="1">
                  <c:v>30-39</c:v>
                </c:pt>
                <c:pt idx="2">
                  <c:v>40-49</c:v>
                </c:pt>
                <c:pt idx="3">
                  <c:v>50-59</c:v>
                </c:pt>
                <c:pt idx="4">
                  <c:v>60-64</c:v>
                </c:pt>
                <c:pt idx="5">
                  <c:v>65-72</c:v>
                </c:pt>
              </c:strCache>
            </c:strRef>
          </c:cat>
          <c:val>
            <c:numRef>
              <c:f>Север!$F$11:$F$16</c:f>
              <c:numCache>
                <c:formatCode>0.0</c:formatCode>
                <c:ptCount val="6"/>
                <c:pt idx="0">
                  <c:v>3.2561169216812504</c:v>
                </c:pt>
                <c:pt idx="1">
                  <c:v>2.8041485431952453</c:v>
                </c:pt>
                <c:pt idx="2">
                  <c:v>2.0090570381364916</c:v>
                </c:pt>
                <c:pt idx="3">
                  <c:v>1.5814346124715981</c:v>
                </c:pt>
                <c:pt idx="4">
                  <c:v>1.21048396738867</c:v>
                </c:pt>
                <c:pt idx="5">
                  <c:v>1.0508122390605861</c:v>
                </c:pt>
              </c:numCache>
            </c:numRef>
          </c:val>
          <c:extLst>
            <c:ext xmlns:c16="http://schemas.microsoft.com/office/drawing/2014/chart" uri="{C3380CC4-5D6E-409C-BE32-E72D297353CC}">
              <c16:uniqueId val="{00000002-56C8-4E80-83F0-214FCC781D23}"/>
            </c:ext>
          </c:extLst>
        </c:ser>
        <c:ser>
          <c:idx val="3"/>
          <c:order val="3"/>
          <c:tx>
            <c:strRef>
              <c:f>Север!$G$2</c:f>
              <c:strCache>
                <c:ptCount val="1"/>
                <c:pt idx="0">
                  <c:v>Среднее</c:v>
                </c:pt>
              </c:strCache>
            </c:strRef>
          </c:tx>
          <c:spPr>
            <a:solidFill>
              <a:schemeClr val="tx1">
                <a:lumMod val="50000"/>
                <a:lumOff val="50000"/>
              </a:schemeClr>
            </a:solidFill>
            <a:ln>
              <a:noFill/>
            </a:ln>
            <a:effectLst/>
          </c:spPr>
          <c:invertIfNegative val="0"/>
          <c:cat>
            <c:strRef>
              <c:f>Север!$A$11:$A$16</c:f>
              <c:strCache>
                <c:ptCount val="6"/>
                <c:pt idx="0">
                  <c:v>20-29</c:v>
                </c:pt>
                <c:pt idx="1">
                  <c:v>30-39</c:v>
                </c:pt>
                <c:pt idx="2">
                  <c:v>40-49</c:v>
                </c:pt>
                <c:pt idx="3">
                  <c:v>50-59</c:v>
                </c:pt>
                <c:pt idx="4">
                  <c:v>60-64</c:v>
                </c:pt>
                <c:pt idx="5">
                  <c:v>65-72</c:v>
                </c:pt>
              </c:strCache>
            </c:strRef>
          </c:cat>
          <c:val>
            <c:numRef>
              <c:f>Север!$G$11:$G$16</c:f>
              <c:numCache>
                <c:formatCode>0.0</c:formatCode>
                <c:ptCount val="6"/>
                <c:pt idx="0">
                  <c:v>26.912873093983556</c:v>
                </c:pt>
                <c:pt idx="1">
                  <c:v>24.591407451301528</c:v>
                </c:pt>
                <c:pt idx="2">
                  <c:v>26.409444764183807</c:v>
                </c:pt>
                <c:pt idx="3">
                  <c:v>33.394344862408481</c:v>
                </c:pt>
                <c:pt idx="4">
                  <c:v>35.480170488879125</c:v>
                </c:pt>
                <c:pt idx="5">
                  <c:v>31.70377804998493</c:v>
                </c:pt>
              </c:numCache>
            </c:numRef>
          </c:val>
          <c:extLst>
            <c:ext xmlns:c16="http://schemas.microsoft.com/office/drawing/2014/chart" uri="{C3380CC4-5D6E-409C-BE32-E72D297353CC}">
              <c16:uniqueId val="{00000003-56C8-4E80-83F0-214FCC781D23}"/>
            </c:ext>
          </c:extLst>
        </c:ser>
        <c:ser>
          <c:idx val="4"/>
          <c:order val="4"/>
          <c:tx>
            <c:strRef>
              <c:f>Север!$H$2</c:f>
              <c:strCache>
                <c:ptCount val="1"/>
                <c:pt idx="0">
                  <c:v>Начальное</c:v>
                </c:pt>
              </c:strCache>
            </c:strRef>
          </c:tx>
          <c:spPr>
            <a:solidFill>
              <a:schemeClr val="dk1">
                <a:tint val="30000"/>
              </a:schemeClr>
            </a:solidFill>
            <a:ln>
              <a:noFill/>
            </a:ln>
            <a:effectLst/>
          </c:spPr>
          <c:invertIfNegative val="0"/>
          <c:cat>
            <c:strRef>
              <c:f>Север!$A$11:$A$16</c:f>
              <c:strCache>
                <c:ptCount val="6"/>
                <c:pt idx="0">
                  <c:v>20-29</c:v>
                </c:pt>
                <c:pt idx="1">
                  <c:v>30-39</c:v>
                </c:pt>
                <c:pt idx="2">
                  <c:v>40-49</c:v>
                </c:pt>
                <c:pt idx="3">
                  <c:v>50-59</c:v>
                </c:pt>
                <c:pt idx="4">
                  <c:v>60-64</c:v>
                </c:pt>
                <c:pt idx="5">
                  <c:v>65-72</c:v>
                </c:pt>
              </c:strCache>
            </c:strRef>
          </c:cat>
          <c:val>
            <c:numRef>
              <c:f>Север!$H$11:$H$16</c:f>
              <c:numCache>
                <c:formatCode>0.0</c:formatCode>
                <c:ptCount val="6"/>
                <c:pt idx="0">
                  <c:v>13.315084099431953</c:v>
                </c:pt>
                <c:pt idx="1">
                  <c:v>14.531286221223631</c:v>
                </c:pt>
                <c:pt idx="2">
                  <c:v>15.996728561475782</c:v>
                </c:pt>
                <c:pt idx="3">
                  <c:v>18.808184486240847</c:v>
                </c:pt>
                <c:pt idx="4">
                  <c:v>19.306993081563871</c:v>
                </c:pt>
                <c:pt idx="5">
                  <c:v>15.620931589782398</c:v>
                </c:pt>
              </c:numCache>
            </c:numRef>
          </c:val>
          <c:extLst>
            <c:ext xmlns:c16="http://schemas.microsoft.com/office/drawing/2014/chart" uri="{C3380CC4-5D6E-409C-BE32-E72D297353CC}">
              <c16:uniqueId val="{00000004-56C8-4E80-83F0-214FCC781D23}"/>
            </c:ext>
          </c:extLst>
        </c:ser>
        <c:dLbls>
          <c:showLegendKey val="0"/>
          <c:showVal val="0"/>
          <c:showCatName val="0"/>
          <c:showSerName val="0"/>
          <c:showPercent val="0"/>
          <c:showBubbleSize val="0"/>
        </c:dLbls>
        <c:gapWidth val="219"/>
        <c:overlap val="100"/>
        <c:axId val="1675753488"/>
        <c:axId val="1545287520"/>
      </c:barChart>
      <c:catAx>
        <c:axId val="16757534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45287520"/>
        <c:crosses val="autoZero"/>
        <c:auto val="1"/>
        <c:lblAlgn val="ctr"/>
        <c:lblOffset val="100"/>
        <c:noMultiLvlLbl val="0"/>
      </c:catAx>
      <c:valAx>
        <c:axId val="154528752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75753488"/>
        <c:crosses val="autoZero"/>
        <c:crossBetween val="between"/>
      </c:valAx>
      <c:spPr>
        <a:noFill/>
        <a:ln>
          <a:noFill/>
        </a:ln>
        <a:effectLst/>
      </c:spPr>
    </c:plotArea>
    <c:legend>
      <c:legendPos val="r"/>
      <c:layout>
        <c:manualLayout>
          <c:xMode val="edge"/>
          <c:yMode val="edge"/>
          <c:x val="0.68600752492145378"/>
          <c:y val="0.10012187305391465"/>
          <c:w val="0.30085618608018827"/>
          <c:h val="0.61247624689488589"/>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'Высшее 2020'!$B$3</c:f>
              <c:strCache>
                <c:ptCount val="1"/>
                <c:pt idx="0">
                  <c:v>высшее</c:v>
                </c:pt>
              </c:strCache>
            </c:strRef>
          </c:tx>
          <c:spPr>
            <a:ln w="28575" cap="rnd">
              <a:solidFill>
                <a:schemeClr val="accent1"/>
              </a:solidFill>
              <a:round/>
            </a:ln>
            <a:effectLst/>
          </c:spPr>
          <c:marker>
            <c:symbol val="none"/>
          </c:marker>
          <c:cat>
            <c:strRef>
              <c:f>'Высшее 2020'!$A$5:$A$30</c:f>
              <c:strCache>
                <c:ptCount val="26"/>
                <c:pt idx="0">
                  <c:v>Ямало-Ненецкий АО</c:v>
                </c:pt>
                <c:pt idx="1">
                  <c:v>Ханты-Мансийский АО-Югра</c:v>
                </c:pt>
                <c:pt idx="2">
                  <c:v>Магаданская область</c:v>
                </c:pt>
                <c:pt idx="3">
                  <c:v>Камчатский край</c:v>
                </c:pt>
                <c:pt idx="4">
                  <c:v>Республика Калмыкия</c:v>
                </c:pt>
                <c:pt idx="5">
                  <c:v>Республика Северная Осетия-Алания</c:v>
                </c:pt>
                <c:pt idx="6">
                  <c:v>Мурманская область</c:v>
                </c:pt>
                <c:pt idx="7">
                  <c:v>Карачаево-Черкесская Республика</c:v>
                </c:pt>
                <c:pt idx="8">
                  <c:v>Чукотский АО</c:v>
                </c:pt>
                <c:pt idx="9">
                  <c:v> Саха (Якутия)</c:v>
                </c:pt>
                <c:pt idx="10">
                  <c:v>Сахалинская область</c:v>
                </c:pt>
                <c:pt idx="11">
                  <c:v>Ненецкий АО</c:v>
                </c:pt>
                <c:pt idx="12">
                  <c:v>Республика Адыгея</c:v>
                </c:pt>
                <c:pt idx="13">
                  <c:v>Карелия</c:v>
                </c:pt>
                <c:pt idx="14">
                  <c:v>Ростовская область</c:v>
                </c:pt>
                <c:pt idx="15">
                  <c:v>Астраханская область</c:v>
                </c:pt>
                <c:pt idx="16">
                  <c:v>Коми</c:v>
                </c:pt>
                <c:pt idx="17">
                  <c:v>Кабардино-Балкарская Республика</c:v>
                </c:pt>
                <c:pt idx="18">
                  <c:v>Ставропольский край</c:v>
                </c:pt>
                <c:pt idx="19">
                  <c:v>Краснодарский край</c:v>
                </c:pt>
                <c:pt idx="20">
                  <c:v> Тыва</c:v>
                </c:pt>
                <c:pt idx="21">
                  <c:v>Волгоградская область</c:v>
                </c:pt>
                <c:pt idx="22">
                  <c:v>Архангельская область</c:v>
                </c:pt>
                <c:pt idx="23">
                  <c:v>Республика Дагестан</c:v>
                </c:pt>
                <c:pt idx="24">
                  <c:v>Чеченская Республика</c:v>
                </c:pt>
                <c:pt idx="25">
                  <c:v>Республика Ингушетия</c:v>
                </c:pt>
              </c:strCache>
            </c:strRef>
          </c:cat>
          <c:val>
            <c:numRef>
              <c:f>'Высшее 2020'!$B$5:$B$30</c:f>
              <c:numCache>
                <c:formatCode>0</c:formatCode>
                <c:ptCount val="26"/>
                <c:pt idx="0">
                  <c:v>361.50692558163075</c:v>
                </c:pt>
                <c:pt idx="1">
                  <c:v>316.0147077989364</c:v>
                </c:pt>
                <c:pt idx="2">
                  <c:v>313.42797988760725</c:v>
                </c:pt>
                <c:pt idx="3">
                  <c:v>300.48834122471618</c:v>
                </c:pt>
                <c:pt idx="4">
                  <c:v>295.81935294261712</c:v>
                </c:pt>
                <c:pt idx="5">
                  <c:v>293.41880188699912</c:v>
                </c:pt>
                <c:pt idx="6">
                  <c:v>292.84908841228554</c:v>
                </c:pt>
                <c:pt idx="7">
                  <c:v>291.99308819770863</c:v>
                </c:pt>
                <c:pt idx="8">
                  <c:v>282.66759664136066</c:v>
                </c:pt>
                <c:pt idx="9">
                  <c:v>282.191499267393</c:v>
                </c:pt>
                <c:pt idx="10">
                  <c:v>263.87040471255591</c:v>
                </c:pt>
                <c:pt idx="11">
                  <c:v>257.86256714206337</c:v>
                </c:pt>
                <c:pt idx="12">
                  <c:v>253.24688245276423</c:v>
                </c:pt>
                <c:pt idx="13">
                  <c:v>251.40993357080475</c:v>
                </c:pt>
                <c:pt idx="14">
                  <c:v>251.24396537111792</c:v>
                </c:pt>
                <c:pt idx="15">
                  <c:v>246.91125706053475</c:v>
                </c:pt>
                <c:pt idx="16">
                  <c:v>245.30566566429744</c:v>
                </c:pt>
                <c:pt idx="17">
                  <c:v>241.97651937571803</c:v>
                </c:pt>
                <c:pt idx="18">
                  <c:v>241.06471090317075</c:v>
                </c:pt>
                <c:pt idx="19">
                  <c:v>234.14292791049533</c:v>
                </c:pt>
                <c:pt idx="20">
                  <c:v>233.11113638948925</c:v>
                </c:pt>
                <c:pt idx="21">
                  <c:v>228.49020644934856</c:v>
                </c:pt>
                <c:pt idx="22">
                  <c:v>223.0100880868074</c:v>
                </c:pt>
                <c:pt idx="23">
                  <c:v>171.35178394390761</c:v>
                </c:pt>
                <c:pt idx="24">
                  <c:v>169.33516180163494</c:v>
                </c:pt>
                <c:pt idx="25">
                  <c:v>154.27500902853018</c:v>
                </c:pt>
              </c:numCache>
            </c:numRef>
          </c:val>
          <c:smooth val="0"/>
          <c:extLst>
            <c:ext xmlns:c16="http://schemas.microsoft.com/office/drawing/2014/chart" uri="{C3380CC4-5D6E-409C-BE32-E72D297353CC}">
              <c16:uniqueId val="{00000000-A221-4AA1-AC4D-0DC370514150}"/>
            </c:ext>
          </c:extLst>
        </c:ser>
        <c:ser>
          <c:idx val="1"/>
          <c:order val="1"/>
          <c:tx>
            <c:strRef>
              <c:f>'Высшее 2020'!$C$3</c:f>
              <c:strCache>
                <c:ptCount val="1"/>
                <c:pt idx="0">
                  <c:v>среднее</c:v>
                </c:pt>
              </c:strCache>
            </c:strRef>
          </c:tx>
          <c:spPr>
            <a:ln w="28575" cap="rnd">
              <a:solidFill>
                <a:schemeClr val="accent2"/>
              </a:solidFill>
              <a:round/>
            </a:ln>
            <a:effectLst/>
          </c:spPr>
          <c:marker>
            <c:symbol val="none"/>
          </c:marker>
          <c:val>
            <c:numRef>
              <c:f>'Высшее 2020'!$C$5:$C$30</c:f>
              <c:numCache>
                <c:formatCode>0</c:formatCode>
                <c:ptCount val="26"/>
                <c:pt idx="0">
                  <c:v>219</c:v>
                </c:pt>
                <c:pt idx="1">
                  <c:v>246</c:v>
                </c:pt>
                <c:pt idx="2">
                  <c:v>222</c:v>
                </c:pt>
                <c:pt idx="3">
                  <c:v>282</c:v>
                </c:pt>
                <c:pt idx="4">
                  <c:v>252</c:v>
                </c:pt>
                <c:pt idx="5">
                  <c:v>241</c:v>
                </c:pt>
                <c:pt idx="6">
                  <c:v>267</c:v>
                </c:pt>
                <c:pt idx="7">
                  <c:v>226</c:v>
                </c:pt>
                <c:pt idx="8">
                  <c:v>212</c:v>
                </c:pt>
                <c:pt idx="9">
                  <c:v>281</c:v>
                </c:pt>
                <c:pt idx="10">
                  <c:v>246</c:v>
                </c:pt>
                <c:pt idx="11">
                  <c:v>261</c:v>
                </c:pt>
                <c:pt idx="12">
                  <c:v>267</c:v>
                </c:pt>
                <c:pt idx="13">
                  <c:v>278</c:v>
                </c:pt>
                <c:pt idx="14">
                  <c:v>261</c:v>
                </c:pt>
                <c:pt idx="15">
                  <c:v>265</c:v>
                </c:pt>
                <c:pt idx="16">
                  <c:v>284</c:v>
                </c:pt>
                <c:pt idx="17">
                  <c:v>257</c:v>
                </c:pt>
                <c:pt idx="18">
                  <c:v>256</c:v>
                </c:pt>
                <c:pt idx="19">
                  <c:v>248</c:v>
                </c:pt>
                <c:pt idx="20">
                  <c:v>286</c:v>
                </c:pt>
                <c:pt idx="21">
                  <c:v>271</c:v>
                </c:pt>
                <c:pt idx="22">
                  <c:v>283</c:v>
                </c:pt>
                <c:pt idx="23">
                  <c:v>132</c:v>
                </c:pt>
                <c:pt idx="24">
                  <c:v>123</c:v>
                </c:pt>
                <c:pt idx="25">
                  <c:v>115</c:v>
                </c:pt>
              </c:numCache>
            </c:numRef>
          </c:val>
          <c:smooth val="0"/>
          <c:extLst>
            <c:ext xmlns:c16="http://schemas.microsoft.com/office/drawing/2014/chart" uri="{C3380CC4-5D6E-409C-BE32-E72D297353CC}">
              <c16:uniqueId val="{00000001-A221-4AA1-AC4D-0DC370514150}"/>
            </c:ext>
          </c:extLst>
        </c:ser>
        <c:ser>
          <c:idx val="2"/>
          <c:order val="2"/>
          <c:tx>
            <c:strRef>
              <c:f>'Высшее 2020'!$D$3</c:f>
              <c:strCache>
                <c:ptCount val="1"/>
                <c:pt idx="0">
                  <c:v>начальное</c:v>
                </c:pt>
              </c:strCache>
            </c:strRef>
          </c:tx>
          <c:spPr>
            <a:ln w="28575" cap="rnd">
              <a:solidFill>
                <a:schemeClr val="accent3"/>
              </a:solidFill>
              <a:round/>
            </a:ln>
            <a:effectLst/>
          </c:spPr>
          <c:marker>
            <c:symbol val="none"/>
          </c:marker>
          <c:val>
            <c:numRef>
              <c:f>'Высшее 2020'!$D$5:$D$30</c:f>
              <c:numCache>
                <c:formatCode>0</c:formatCode>
                <c:ptCount val="26"/>
                <c:pt idx="0">
                  <c:v>131</c:v>
                </c:pt>
                <c:pt idx="1">
                  <c:v>141</c:v>
                </c:pt>
                <c:pt idx="2">
                  <c:v>153</c:v>
                </c:pt>
                <c:pt idx="3">
                  <c:v>137</c:v>
                </c:pt>
                <c:pt idx="4">
                  <c:v>96</c:v>
                </c:pt>
                <c:pt idx="5">
                  <c:v>91</c:v>
                </c:pt>
                <c:pt idx="6">
                  <c:v>171</c:v>
                </c:pt>
                <c:pt idx="7">
                  <c:v>93</c:v>
                </c:pt>
                <c:pt idx="8">
                  <c:v>147</c:v>
                </c:pt>
                <c:pt idx="9">
                  <c:v>110</c:v>
                </c:pt>
                <c:pt idx="10">
                  <c:v>155</c:v>
                </c:pt>
                <c:pt idx="11">
                  <c:v>156</c:v>
                </c:pt>
                <c:pt idx="12">
                  <c:v>101</c:v>
                </c:pt>
                <c:pt idx="13">
                  <c:v>167</c:v>
                </c:pt>
                <c:pt idx="14">
                  <c:v>142</c:v>
                </c:pt>
                <c:pt idx="15">
                  <c:v>140</c:v>
                </c:pt>
                <c:pt idx="16">
                  <c:v>165</c:v>
                </c:pt>
                <c:pt idx="17">
                  <c:v>86</c:v>
                </c:pt>
                <c:pt idx="18">
                  <c:v>123</c:v>
                </c:pt>
                <c:pt idx="19">
                  <c:v>141</c:v>
                </c:pt>
                <c:pt idx="20">
                  <c:v>86</c:v>
                </c:pt>
                <c:pt idx="21">
                  <c:v>156</c:v>
                </c:pt>
                <c:pt idx="22">
                  <c:v>189</c:v>
                </c:pt>
                <c:pt idx="23">
                  <c:v>46</c:v>
                </c:pt>
                <c:pt idx="24">
                  <c:v>40</c:v>
                </c:pt>
                <c:pt idx="25">
                  <c:v>52</c:v>
                </c:pt>
              </c:numCache>
            </c:numRef>
          </c:val>
          <c:smooth val="0"/>
          <c:extLst>
            <c:ext xmlns:c16="http://schemas.microsoft.com/office/drawing/2014/chart" uri="{C3380CC4-5D6E-409C-BE32-E72D297353CC}">
              <c16:uniqueId val="{00000002-A221-4AA1-AC4D-0DC370514150}"/>
            </c:ext>
          </c:extLst>
        </c:ser>
        <c:dLbls>
          <c:showLegendKey val="0"/>
          <c:showVal val="0"/>
          <c:showCatName val="0"/>
          <c:showSerName val="0"/>
          <c:showPercent val="0"/>
          <c:showBubbleSize val="0"/>
        </c:dLbls>
        <c:smooth val="0"/>
        <c:axId val="1714035776"/>
        <c:axId val="1714036192"/>
      </c:lineChart>
      <c:catAx>
        <c:axId val="171403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14036192"/>
        <c:crosses val="autoZero"/>
        <c:auto val="1"/>
        <c:lblAlgn val="ctr"/>
        <c:lblOffset val="100"/>
        <c:noMultiLvlLbl val="0"/>
      </c:catAx>
      <c:valAx>
        <c:axId val="17140361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14035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F0AAD-C100-42CE-B6F0-7E766073F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TotalTime>
  <Pages>1</Pages>
  <Words>1358</Words>
  <Characters>7743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Терентьева</dc:creator>
  <cp:keywords/>
  <dc:description/>
  <cp:lastModifiedBy>Марина Терентьева</cp:lastModifiedBy>
  <cp:revision>14</cp:revision>
  <cp:lastPrinted>2023-03-20T06:50:00Z</cp:lastPrinted>
  <dcterms:created xsi:type="dcterms:W3CDTF">2023-03-20T12:01:00Z</dcterms:created>
  <dcterms:modified xsi:type="dcterms:W3CDTF">2023-03-22T06:32:00Z</dcterms:modified>
</cp:coreProperties>
</file>