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F0D737" w14:textId="77777777" w:rsidR="00F5530E" w:rsidRDefault="00F5530E" w:rsidP="00F553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УДК 314 </w:t>
      </w:r>
    </w:p>
    <w:p w14:paraId="647D35BD" w14:textId="77777777" w:rsidR="00F5530E" w:rsidRDefault="00F5530E" w:rsidP="00F5530E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Боброва А.Г.</w:t>
      </w:r>
    </w:p>
    <w:p w14:paraId="32838EEB" w14:textId="77777777" w:rsidR="003354DB" w:rsidRDefault="003354DB" w:rsidP="00F5530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7C0E9F7D" w14:textId="49430477" w:rsidR="002A5C6B" w:rsidRPr="00F5530E" w:rsidRDefault="002E1C8C" w:rsidP="00F5530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F5530E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Политика активного долголетия в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Б</w:t>
      </w:r>
      <w:r w:rsidRPr="00F5530E">
        <w:rPr>
          <w:rFonts w:ascii="Times New Roman" w:hAnsi="Times New Roman"/>
          <w:b/>
          <w:color w:val="000000"/>
          <w:sz w:val="24"/>
          <w:szCs w:val="24"/>
          <w:lang w:eastAsia="ru-RU"/>
        </w:rPr>
        <w:t>еларуси: текущее состояние и возможные ограничения эффективной реализации</w:t>
      </w:r>
    </w:p>
    <w:p w14:paraId="5809819C" w14:textId="77777777" w:rsidR="002A5C6B" w:rsidRDefault="002A5C6B" w:rsidP="00F553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7FBE199B" w14:textId="77777777" w:rsidR="003354DB" w:rsidRPr="003354DB" w:rsidRDefault="003354DB" w:rsidP="00F553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3354DB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Аннотация </w:t>
      </w:r>
    </w:p>
    <w:p w14:paraId="3AE94AA4" w14:textId="09DFD8BD" w:rsidR="003354DB" w:rsidRPr="00BB60F9" w:rsidRDefault="002E1C8C" w:rsidP="003354DB">
      <w:pPr>
        <w:spacing w:after="0" w:line="240" w:lineRule="auto"/>
        <w:ind w:firstLine="709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B60F9">
        <w:rPr>
          <w:rFonts w:ascii="Times New Roman" w:hAnsi="Times New Roman"/>
          <w:sz w:val="24"/>
          <w:szCs w:val="24"/>
          <w:lang w:eastAsia="ru-RU"/>
        </w:rPr>
        <w:t>П</w:t>
      </w:r>
      <w:r w:rsidR="003354DB" w:rsidRPr="00BB60F9">
        <w:rPr>
          <w:rFonts w:ascii="Times New Roman" w:hAnsi="Times New Roman"/>
          <w:sz w:val="24"/>
          <w:szCs w:val="24"/>
          <w:lang w:eastAsia="ru-RU"/>
        </w:rPr>
        <w:t xml:space="preserve">редставлен белорусский опыт политики активного долголетия, а также предполагаемые риски недостаточно эффективной реализации Национальной стратегии Республики Беларусь «Активное долголетие – 2030». </w:t>
      </w:r>
      <w:r w:rsidRPr="00BB60F9">
        <w:rPr>
          <w:rFonts w:ascii="Times New Roman" w:hAnsi="Times New Roman"/>
          <w:sz w:val="24"/>
          <w:szCs w:val="24"/>
          <w:lang w:eastAsia="ru-RU"/>
        </w:rPr>
        <w:t>Сформулированы предложения для повышения эффективности проводимой политики активного долголетия.</w:t>
      </w:r>
    </w:p>
    <w:p w14:paraId="22E14ED2" w14:textId="77777777" w:rsidR="003354DB" w:rsidRDefault="003354DB" w:rsidP="003354DB">
      <w:pPr>
        <w:spacing w:after="0" w:line="240" w:lineRule="auto"/>
        <w:ind w:firstLine="709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3354DB">
        <w:rPr>
          <w:rFonts w:ascii="Times New Roman" w:eastAsia="SimSun" w:hAnsi="Times New Roman"/>
          <w:b/>
          <w:sz w:val="24"/>
          <w:szCs w:val="24"/>
          <w:lang w:eastAsia="ru-RU"/>
        </w:rPr>
        <w:t>Ключевые слова</w:t>
      </w:r>
      <w:r>
        <w:rPr>
          <w:rFonts w:ascii="Times New Roman" w:eastAsia="SimSun" w:hAnsi="Times New Roman"/>
          <w:sz w:val="24"/>
          <w:szCs w:val="24"/>
          <w:lang w:eastAsia="ru-RU"/>
        </w:rPr>
        <w:t>: старение, активное долголетие, пенсионеры</w:t>
      </w:r>
    </w:p>
    <w:p w14:paraId="38998E94" w14:textId="77777777" w:rsidR="003354DB" w:rsidRDefault="003354DB" w:rsidP="003354D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75FF97C2" w14:textId="77777777" w:rsidR="002A5C6B" w:rsidRPr="007D5906" w:rsidRDefault="002A5C6B" w:rsidP="00F553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59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Формирование политики активного долголетия является одним из важных блоков социальной политики нашей страны. </w:t>
      </w:r>
    </w:p>
    <w:p w14:paraId="696DDF11" w14:textId="77777777" w:rsidR="002A5C6B" w:rsidRPr="007D5906" w:rsidRDefault="002A5C6B" w:rsidP="00F5530E">
      <w:pPr>
        <w:spacing w:after="0" w:line="240" w:lineRule="auto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 w:rsidRPr="007D5906">
        <w:rPr>
          <w:rFonts w:ascii="Times New Roman" w:eastAsia="SimSun" w:hAnsi="Times New Roman"/>
          <w:sz w:val="24"/>
          <w:szCs w:val="24"/>
        </w:rPr>
        <w:t>В Беларуси в Национальной стратегии устойчивого развития многие пункты так или иначе связаны с человеческим капиталом и вкладом в развит</w:t>
      </w:r>
      <w:r>
        <w:rPr>
          <w:rFonts w:ascii="Times New Roman" w:eastAsia="SimSun" w:hAnsi="Times New Roman"/>
          <w:sz w:val="24"/>
          <w:szCs w:val="24"/>
        </w:rPr>
        <w:t xml:space="preserve">ие активного долголетия (НСУР). </w:t>
      </w:r>
      <w:r w:rsidRPr="007D5906">
        <w:rPr>
          <w:rFonts w:ascii="Times New Roman" w:eastAsia="SimSun" w:hAnsi="Times New Roman"/>
          <w:sz w:val="24"/>
          <w:szCs w:val="24"/>
        </w:rPr>
        <w:t>На национальном уровне он находится в ведении органов социальной политики, политики в области занятости, в поле зрения структурных фондов. Постановка задач НСУР сопряжена с целями глобальной Повестки–2030 и влиянием связанных с нею процессов на достижение Целей устойчивого развития.</w:t>
      </w:r>
    </w:p>
    <w:p w14:paraId="3713771A" w14:textId="77777777" w:rsidR="002A5C6B" w:rsidRPr="007D5906" w:rsidRDefault="002A5C6B" w:rsidP="00F5530E">
      <w:pPr>
        <w:spacing w:after="0" w:line="240" w:lineRule="auto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 w:rsidRPr="007D5906">
        <w:rPr>
          <w:rFonts w:ascii="Times New Roman" w:eastAsia="SimSun" w:hAnsi="Times New Roman"/>
          <w:sz w:val="24"/>
          <w:szCs w:val="24"/>
        </w:rPr>
        <w:t>НСУР-2035 является системообразующим документом для разработки стратегий развития видов экономической деятельности, программ и прогнозов социально-экономического развития на республиканском и региональном уровнях, государственных программ и др., которые выступают инструментами ее реализации.  При формировании очередной НСУР проводится мониторинг реализации действующей стратегии. Мониторинг реализации НСУР-2035 обеспечивается Министерством экономики Республики Беларусь совместно с Национальным статистическим комитетом Республики Беларусь.</w:t>
      </w:r>
    </w:p>
    <w:p w14:paraId="00CCF7D1" w14:textId="77777777" w:rsidR="002A5C6B" w:rsidRPr="007D5906" w:rsidRDefault="002A5C6B" w:rsidP="00F5530E">
      <w:pPr>
        <w:spacing w:after="0" w:line="240" w:lineRule="auto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 w:rsidRPr="007D5906">
        <w:rPr>
          <w:rFonts w:ascii="Times New Roman" w:eastAsia="SimSun" w:hAnsi="Times New Roman"/>
          <w:sz w:val="24"/>
          <w:szCs w:val="24"/>
        </w:rPr>
        <w:t>В настоящее время в рамках заданных направлений устойчивого развития реализуется Программа социально-экономического развития Республики Беларусь на 2021-2025 гг. Улучшение качества жизни населения является первостепенной задачей государственной политики. Расширение возможностей для роста человеческого капитала и раскрытие его потенциала находят отражение во всех приоритетах развития страны на предстоящее пятилетие.</w:t>
      </w:r>
    </w:p>
    <w:p w14:paraId="524BB875" w14:textId="77777777" w:rsidR="002A5C6B" w:rsidRPr="007D5906" w:rsidRDefault="002A5C6B" w:rsidP="00F5530E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7D5906">
        <w:rPr>
          <w:rFonts w:ascii="Times New Roman" w:eastAsiaTheme="minorHAnsi" w:hAnsi="Times New Roman"/>
          <w:sz w:val="24"/>
          <w:szCs w:val="24"/>
        </w:rPr>
        <w:t>Программой СЭР предусмотрено выполнение целого комплекса задач по повышению качества жизни населения с акцентом на обеспечение социальной безопасности и благополучия граждан. Основной упор сделан на укреплении демографического потенциала и здоровья нации, содействии эффективной занятости, обеспечении устойчивого роста доходов населения и высоких гарантий социальной защиты, повышении качества и доступности образования, раскрытии культурного потенциала, развитии физической культуры и спорта, создании возможностей для развития и самореализации молодежи, а также создании комфортной и безопасной среды проживания и обеспечении экологически безопасной жизнедеятельности населения.</w:t>
      </w:r>
    </w:p>
    <w:p w14:paraId="3DF04ECD" w14:textId="77777777" w:rsidR="002A5C6B" w:rsidRPr="007D5906" w:rsidRDefault="002A5C6B" w:rsidP="00F5530E">
      <w:pPr>
        <w:spacing w:after="0" w:line="240" w:lineRule="auto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 w:rsidRPr="007D5906">
        <w:rPr>
          <w:rFonts w:ascii="Times New Roman" w:eastAsiaTheme="minorHAnsi" w:hAnsi="Times New Roman"/>
          <w:sz w:val="24"/>
          <w:szCs w:val="24"/>
        </w:rPr>
        <w:t xml:space="preserve">Основными инструментами для реализации поставленных по данных направлениям задач являются государственные программы, 7 из которых непосредственно связано с развитием человеческого капитала, что подтверждается основными целями. </w:t>
      </w:r>
      <w:r w:rsidRPr="007D5906">
        <w:rPr>
          <w:rFonts w:ascii="Times New Roman" w:eastAsia="SimSun" w:hAnsi="Times New Roman"/>
          <w:sz w:val="24"/>
          <w:szCs w:val="24"/>
        </w:rPr>
        <w:t>Каждая программа включает перечень мер и мероприятий, направленных на повышение качес</w:t>
      </w:r>
      <w:r>
        <w:rPr>
          <w:rFonts w:ascii="Times New Roman" w:eastAsia="SimSun" w:hAnsi="Times New Roman"/>
          <w:sz w:val="24"/>
          <w:szCs w:val="24"/>
        </w:rPr>
        <w:t>тва жизни проживающих в стране.</w:t>
      </w:r>
    </w:p>
    <w:p w14:paraId="470BDBCC" w14:textId="77777777" w:rsidR="002A5C6B" w:rsidRPr="007D5906" w:rsidRDefault="002A5C6B" w:rsidP="00F5530E">
      <w:pPr>
        <w:spacing w:after="0" w:line="240" w:lineRule="auto"/>
        <w:ind w:right="-1" w:firstLine="709"/>
        <w:jc w:val="both"/>
        <w:rPr>
          <w:rFonts w:ascii="Times New Roman" w:eastAsia="SimSun" w:hAnsi="Times New Roman"/>
          <w:sz w:val="24"/>
          <w:szCs w:val="24"/>
        </w:rPr>
      </w:pPr>
      <w:r w:rsidRPr="007D5906">
        <w:rPr>
          <w:rFonts w:ascii="Times New Roman" w:eastAsia="SimSun" w:hAnsi="Times New Roman"/>
          <w:sz w:val="24"/>
          <w:szCs w:val="24"/>
        </w:rPr>
        <w:t>Рассмотрение политики с точки зрения населения, на которые направлено действие программ, позволило выявить следующие категории:</w:t>
      </w:r>
      <w:r w:rsidRPr="007D5906">
        <w:rPr>
          <w:rFonts w:eastAsia="SimSun" w:cstheme="minorBidi"/>
        </w:rPr>
        <w:t xml:space="preserve"> </w:t>
      </w:r>
      <w:r w:rsidRPr="007D5906">
        <w:rPr>
          <w:rFonts w:ascii="Times New Roman" w:eastAsia="SimSun" w:hAnsi="Times New Roman"/>
          <w:sz w:val="24"/>
          <w:szCs w:val="24"/>
        </w:rPr>
        <w:t>дети, молодежь, семья, мужчины, женщины, пенсионеры, инвалиды, бедные, мигранты, рабочи</w:t>
      </w:r>
      <w:r>
        <w:rPr>
          <w:rFonts w:ascii="Times New Roman" w:eastAsia="SimSun" w:hAnsi="Times New Roman"/>
          <w:sz w:val="24"/>
          <w:szCs w:val="24"/>
        </w:rPr>
        <w:t>е, сельхоз рабочие, безработные</w:t>
      </w:r>
      <w:r w:rsidRPr="007D5906">
        <w:rPr>
          <w:rFonts w:ascii="Times New Roman" w:eastAsia="SimSun" w:hAnsi="Times New Roman"/>
          <w:sz w:val="24"/>
          <w:szCs w:val="24"/>
        </w:rPr>
        <w:t xml:space="preserve"> (таблица </w:t>
      </w:r>
      <w:r>
        <w:rPr>
          <w:rFonts w:ascii="Times New Roman" w:eastAsia="SimSun" w:hAnsi="Times New Roman"/>
          <w:sz w:val="24"/>
          <w:szCs w:val="24"/>
        </w:rPr>
        <w:t>1</w:t>
      </w:r>
      <w:r w:rsidRPr="007D5906">
        <w:rPr>
          <w:rFonts w:ascii="Times New Roman" w:eastAsia="SimSun" w:hAnsi="Times New Roman"/>
          <w:sz w:val="24"/>
          <w:szCs w:val="24"/>
        </w:rPr>
        <w:t>).</w:t>
      </w:r>
    </w:p>
    <w:p w14:paraId="2CFC0C55" w14:textId="77777777" w:rsidR="002A5C6B" w:rsidRPr="007D5906" w:rsidRDefault="002A5C6B" w:rsidP="00F5530E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</w:rPr>
      </w:pPr>
    </w:p>
    <w:p w14:paraId="5C71EFF2" w14:textId="77777777" w:rsidR="003354DB" w:rsidRPr="003354DB" w:rsidRDefault="002A5C6B" w:rsidP="003354DB">
      <w:pPr>
        <w:spacing w:after="0" w:line="240" w:lineRule="auto"/>
        <w:jc w:val="right"/>
        <w:rPr>
          <w:rFonts w:ascii="Times New Roman" w:eastAsia="SimSun" w:hAnsi="Times New Roman"/>
          <w:i/>
          <w:sz w:val="24"/>
          <w:szCs w:val="24"/>
        </w:rPr>
      </w:pPr>
      <w:r w:rsidRPr="003354DB">
        <w:rPr>
          <w:rFonts w:ascii="Times New Roman" w:eastAsia="SimSun" w:hAnsi="Times New Roman"/>
          <w:i/>
          <w:sz w:val="24"/>
          <w:szCs w:val="24"/>
        </w:rPr>
        <w:t>Таблица 1</w:t>
      </w:r>
    </w:p>
    <w:p w14:paraId="1A0EF34E" w14:textId="77777777" w:rsidR="002A5C6B" w:rsidRPr="007D5906" w:rsidRDefault="002A5C6B" w:rsidP="003354DB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</w:rPr>
      </w:pPr>
      <w:r w:rsidRPr="007D5906">
        <w:rPr>
          <w:rFonts w:ascii="Times New Roman" w:eastAsia="SimSun" w:hAnsi="Times New Roman"/>
          <w:sz w:val="24"/>
          <w:szCs w:val="24"/>
        </w:rPr>
        <w:t>Основные категории населения, на которых направлена реализация отдельных государственных программ на 2021-2025 годы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44"/>
        <w:gridCol w:w="1073"/>
        <w:gridCol w:w="729"/>
        <w:gridCol w:w="871"/>
        <w:gridCol w:w="1077"/>
        <w:gridCol w:w="1185"/>
        <w:gridCol w:w="1250"/>
        <w:gridCol w:w="1316"/>
      </w:tblGrid>
      <w:tr w:rsidR="002A5C6B" w:rsidRPr="007D5906" w14:paraId="6FC45E43" w14:textId="77777777" w:rsidTr="00B00F16">
        <w:trPr>
          <w:trHeight w:val="300"/>
        </w:trPr>
        <w:tc>
          <w:tcPr>
            <w:tcW w:w="9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8A963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Категория</w:t>
            </w:r>
          </w:p>
        </w:tc>
        <w:tc>
          <w:tcPr>
            <w:tcW w:w="401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721B1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Государственная программы</w:t>
            </w:r>
          </w:p>
        </w:tc>
      </w:tr>
      <w:tr w:rsidR="002A5C6B" w:rsidRPr="007D5906" w14:paraId="1CC9D750" w14:textId="77777777" w:rsidTr="00B00F16">
        <w:trPr>
          <w:cantSplit/>
          <w:trHeight w:val="2036"/>
        </w:trPr>
        <w:tc>
          <w:tcPr>
            <w:tcW w:w="9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11DCF" w14:textId="77777777" w:rsidR="002A5C6B" w:rsidRPr="007D5906" w:rsidRDefault="002A5C6B" w:rsidP="00F553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7C17693" w14:textId="77777777" w:rsidR="002A5C6B" w:rsidRPr="007D5906" w:rsidRDefault="002A5C6B" w:rsidP="00F5530E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«Здоровье народа и демографическая безопасность»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3EEC038" w14:textId="77777777" w:rsidR="002A5C6B" w:rsidRPr="007D5906" w:rsidRDefault="002A5C6B" w:rsidP="00F5530E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«Социальная защита»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950DD84" w14:textId="77777777" w:rsidR="002A5C6B" w:rsidRPr="007D5906" w:rsidRDefault="002A5C6B" w:rsidP="00F5530E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«Рынок труда и содействие занятости»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E4EDB22" w14:textId="77777777" w:rsidR="002A5C6B" w:rsidRPr="007D5906" w:rsidRDefault="002A5C6B" w:rsidP="00F5530E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«Образование и молодежная политика»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2397A72" w14:textId="77777777" w:rsidR="002A5C6B" w:rsidRPr="007D5906" w:rsidRDefault="002A5C6B" w:rsidP="00F5530E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«Обеспечение правопорядка», подпрограмма «Миграция»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1B521D" w14:textId="77777777" w:rsidR="002A5C6B" w:rsidRPr="007D5906" w:rsidRDefault="002A5C6B" w:rsidP="00F5530E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«Охрана окружающей среды и устойчивое использование природных ресурсов»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D29EF31" w14:textId="77777777" w:rsidR="002A5C6B" w:rsidRPr="007D5906" w:rsidRDefault="002A5C6B" w:rsidP="00F5530E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«Преодоление последствий катастрофы на Чернобыльской АЭС»</w:t>
            </w:r>
          </w:p>
        </w:tc>
      </w:tr>
      <w:tr w:rsidR="002A5C6B" w:rsidRPr="007D5906" w14:paraId="305F6BDF" w14:textId="77777777" w:rsidTr="00B00F16">
        <w:trPr>
          <w:trHeight w:val="300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5C77F" w14:textId="77777777" w:rsidR="002A5C6B" w:rsidRPr="007D5906" w:rsidRDefault="002A5C6B" w:rsidP="00F553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Дети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305CA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1E820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31A5A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69297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25E8E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2542A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39C48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</w:tr>
      <w:tr w:rsidR="002A5C6B" w:rsidRPr="007D5906" w14:paraId="12C15772" w14:textId="77777777" w:rsidTr="00B00F16">
        <w:trPr>
          <w:trHeight w:val="300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A0B33" w14:textId="77777777" w:rsidR="002A5C6B" w:rsidRPr="007D5906" w:rsidRDefault="002A5C6B" w:rsidP="00F553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Молодежь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C7E6B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A8F02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D2C27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38159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6217A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F2B27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724F3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</w:tr>
      <w:tr w:rsidR="002A5C6B" w:rsidRPr="007D5906" w14:paraId="6DEADAEA" w14:textId="77777777" w:rsidTr="00B00F16">
        <w:trPr>
          <w:trHeight w:val="300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469BD" w14:textId="77777777" w:rsidR="002A5C6B" w:rsidRPr="007D5906" w:rsidRDefault="002A5C6B" w:rsidP="00F553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Семья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9296A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6925D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BEDE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C369F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41C8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0958F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66B30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</w:tr>
      <w:tr w:rsidR="002A5C6B" w:rsidRPr="007D5906" w14:paraId="6C8D3AB2" w14:textId="77777777" w:rsidTr="00B00F16">
        <w:trPr>
          <w:trHeight w:val="300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D31FA" w14:textId="77777777" w:rsidR="002A5C6B" w:rsidRPr="007D5906" w:rsidRDefault="002A5C6B" w:rsidP="00F553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Мужчины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31E1B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6ED4A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A16EA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B91D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390E3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A17FB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69E8C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</w:tr>
      <w:tr w:rsidR="002A5C6B" w:rsidRPr="007D5906" w14:paraId="2EA995F7" w14:textId="77777777" w:rsidTr="00B00F16">
        <w:trPr>
          <w:trHeight w:val="300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1B6B4" w14:textId="77777777" w:rsidR="002A5C6B" w:rsidRPr="007D5906" w:rsidRDefault="002A5C6B" w:rsidP="00F553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Женщины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CA92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9F8D8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C1F1E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29D45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860A4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06818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62581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</w:tr>
      <w:tr w:rsidR="002A5C6B" w:rsidRPr="007D5906" w14:paraId="2FE81981" w14:textId="77777777" w:rsidTr="00B00F16">
        <w:trPr>
          <w:trHeight w:val="300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ADEE0" w14:textId="77777777" w:rsidR="002A5C6B" w:rsidRPr="007D5906" w:rsidRDefault="002A5C6B" w:rsidP="00F553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Пенсионеры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50F6A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D3FC2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3BEAE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04CF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04CBE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D032C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F630F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</w:tr>
      <w:tr w:rsidR="002A5C6B" w:rsidRPr="007D5906" w14:paraId="7B66573A" w14:textId="77777777" w:rsidTr="00B00F16">
        <w:trPr>
          <w:trHeight w:val="300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748A5" w14:textId="77777777" w:rsidR="002A5C6B" w:rsidRPr="007D5906" w:rsidRDefault="002A5C6B" w:rsidP="00F553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Инвалиды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AD987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7E5FD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EDB7F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78701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1278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6F04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7DC2C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</w:tr>
      <w:tr w:rsidR="002A5C6B" w:rsidRPr="007D5906" w14:paraId="5AB17CB6" w14:textId="77777777" w:rsidTr="00B00F16">
        <w:trPr>
          <w:trHeight w:val="300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D44B5" w14:textId="77777777" w:rsidR="002A5C6B" w:rsidRPr="007D5906" w:rsidRDefault="002A5C6B" w:rsidP="00F553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Бедные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19851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D169E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99846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365FC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C4300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3114C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503A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</w:tr>
      <w:tr w:rsidR="002A5C6B" w:rsidRPr="007D5906" w14:paraId="2F916CDB" w14:textId="77777777" w:rsidTr="00B00F16">
        <w:trPr>
          <w:trHeight w:val="300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426F" w14:textId="77777777" w:rsidR="002A5C6B" w:rsidRPr="007D5906" w:rsidRDefault="002A5C6B" w:rsidP="00F553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Мигранты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80E1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40870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47C37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E276B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AFAC1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29182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0870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</w:tr>
      <w:tr w:rsidR="002A5C6B" w:rsidRPr="007D5906" w14:paraId="5CCA82A3" w14:textId="77777777" w:rsidTr="00B00F16">
        <w:trPr>
          <w:trHeight w:val="300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9E1ED" w14:textId="77777777" w:rsidR="002A5C6B" w:rsidRPr="007D5906" w:rsidRDefault="002A5C6B" w:rsidP="00F553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Рабочие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D2F2C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75804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871AA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D42ED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D5278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198CC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D27B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</w:tr>
      <w:tr w:rsidR="002A5C6B" w:rsidRPr="007D5906" w14:paraId="18441B52" w14:textId="77777777" w:rsidTr="00B00F16">
        <w:trPr>
          <w:trHeight w:val="300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8BC4" w14:textId="77777777" w:rsidR="002A5C6B" w:rsidRPr="007D5906" w:rsidRDefault="002A5C6B" w:rsidP="00F553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Сельхоз рабочие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8D543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A5D3B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77DDF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49AE5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71696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A58B4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9AD8F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</w:tr>
      <w:tr w:rsidR="002A5C6B" w:rsidRPr="007D5906" w14:paraId="3B5AF89B" w14:textId="77777777" w:rsidTr="00B00F16">
        <w:trPr>
          <w:trHeight w:val="300"/>
        </w:trPr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8E080" w14:textId="77777777" w:rsidR="002A5C6B" w:rsidRPr="007D5906" w:rsidRDefault="002A5C6B" w:rsidP="00F553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Безработные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93B75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AD0BF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6EFAC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593D8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590B2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CE497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A4C3A" w14:textId="77777777" w:rsidR="002A5C6B" w:rsidRPr="007D5906" w:rsidRDefault="002A5C6B" w:rsidP="00F55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ru-RU"/>
              </w:rPr>
            </w:pPr>
            <w:r w:rsidRPr="007D5906">
              <w:rPr>
                <w:rFonts w:ascii="Times New Roman" w:hAnsi="Times New Roman"/>
                <w:color w:val="000000"/>
                <w:sz w:val="20"/>
                <w:lang w:eastAsia="ru-RU"/>
              </w:rPr>
              <w:t>+</w:t>
            </w:r>
          </w:p>
        </w:tc>
      </w:tr>
    </w:tbl>
    <w:p w14:paraId="2C001A3E" w14:textId="77777777" w:rsidR="002A5C6B" w:rsidRPr="007D5906" w:rsidRDefault="002A5C6B" w:rsidP="00F5530E">
      <w:pPr>
        <w:spacing w:line="240" w:lineRule="auto"/>
        <w:rPr>
          <w:rFonts w:eastAsia="SimSun" w:cstheme="minorBidi"/>
        </w:rPr>
      </w:pPr>
    </w:p>
    <w:p w14:paraId="1AFB7E63" w14:textId="77777777" w:rsidR="002A5C6B" w:rsidRPr="007D5906" w:rsidRDefault="002A5C6B" w:rsidP="00F5530E">
      <w:pPr>
        <w:spacing w:after="0" w:line="240" w:lineRule="auto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 w:rsidRPr="007D5906">
        <w:rPr>
          <w:rFonts w:ascii="Times New Roman" w:eastAsia="SimSun" w:hAnsi="Times New Roman"/>
          <w:sz w:val="24"/>
          <w:szCs w:val="24"/>
        </w:rPr>
        <w:t>Рассмотрение политики активного долголетия в узком смысле ограничивается двумя категориями – пенсионеры и инвалиды. Вместе с тем, принципиальное отличие продвижения мер по развитию данного направления в широком смысле тесно увязано с реализацией всех программ, направленных на повышение качества жизни каждой категории населения. К примеру, от сохранения здоровья в детском возрасте во многом зависит состояние здоровья пожилых.</w:t>
      </w:r>
    </w:p>
    <w:p w14:paraId="3D2C68D7" w14:textId="77777777" w:rsidR="002A5C6B" w:rsidRPr="007D5906" w:rsidRDefault="002A5C6B" w:rsidP="00F5530E">
      <w:pPr>
        <w:spacing w:after="0" w:line="240" w:lineRule="auto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 w:rsidRPr="007D5906">
        <w:rPr>
          <w:rFonts w:ascii="Times New Roman" w:eastAsia="SimSun" w:hAnsi="Times New Roman"/>
          <w:sz w:val="24"/>
          <w:szCs w:val="24"/>
        </w:rPr>
        <w:t xml:space="preserve">В настоящее время в Республике Беларусь реализуется </w:t>
      </w:r>
      <w:r w:rsidRPr="007D5906">
        <w:rPr>
          <w:rFonts w:ascii="Times New Roman" w:eastAsiaTheme="minorHAnsi" w:hAnsi="Times New Roman"/>
          <w:sz w:val="24"/>
          <w:szCs w:val="24"/>
        </w:rPr>
        <w:t>Национальная стратегия «Активное долголетие – 2030»</w:t>
      </w:r>
      <w:r>
        <w:rPr>
          <w:rFonts w:ascii="Times New Roman" w:eastAsiaTheme="minorHAnsi" w:hAnsi="Times New Roman"/>
          <w:sz w:val="24"/>
          <w:szCs w:val="24"/>
        </w:rPr>
        <w:t xml:space="preserve"> (Стратегия)</w:t>
      </w:r>
      <w:r w:rsidR="003354DB">
        <w:rPr>
          <w:rFonts w:ascii="Times New Roman" w:eastAsiaTheme="minorHAnsi" w:hAnsi="Times New Roman"/>
          <w:sz w:val="24"/>
          <w:szCs w:val="24"/>
        </w:rPr>
        <w:t xml:space="preserve">, которая </w:t>
      </w:r>
      <w:r w:rsidRPr="007D5906">
        <w:rPr>
          <w:rFonts w:ascii="Times New Roman" w:eastAsiaTheme="minorHAnsi" w:hAnsi="Times New Roman"/>
          <w:sz w:val="24"/>
          <w:szCs w:val="24"/>
        </w:rPr>
        <w:t>была принята в 2020 г.</w:t>
      </w:r>
      <w:r w:rsidR="003354DB">
        <w:rPr>
          <w:rFonts w:ascii="Times New Roman" w:eastAsiaTheme="minorHAnsi" w:hAnsi="Times New Roman"/>
          <w:sz w:val="24"/>
          <w:szCs w:val="24"/>
        </w:rPr>
        <w:t xml:space="preserve"> </w:t>
      </w:r>
      <w:r w:rsidR="003354DB" w:rsidRPr="003354DB">
        <w:rPr>
          <w:rFonts w:ascii="Times New Roman" w:eastAsiaTheme="minorHAnsi" w:hAnsi="Times New Roman"/>
          <w:sz w:val="24"/>
          <w:szCs w:val="24"/>
        </w:rPr>
        <w:t>[</w:t>
      </w:r>
      <w:r w:rsidR="003354DB">
        <w:rPr>
          <w:rFonts w:ascii="Times New Roman" w:eastAsiaTheme="minorHAnsi" w:hAnsi="Times New Roman"/>
          <w:sz w:val="24"/>
          <w:szCs w:val="24"/>
        </w:rPr>
        <w:t>1</w:t>
      </w:r>
      <w:r w:rsidR="003354DB" w:rsidRPr="003354DB">
        <w:rPr>
          <w:rFonts w:ascii="Times New Roman" w:eastAsiaTheme="minorHAnsi" w:hAnsi="Times New Roman"/>
          <w:sz w:val="24"/>
          <w:szCs w:val="24"/>
        </w:rPr>
        <w:t>]</w:t>
      </w:r>
      <w:r w:rsidRPr="007D5906">
        <w:rPr>
          <w:rFonts w:ascii="Times New Roman" w:eastAsiaTheme="minorHAnsi" w:hAnsi="Times New Roman"/>
          <w:sz w:val="24"/>
          <w:szCs w:val="24"/>
        </w:rPr>
        <w:t xml:space="preserve"> В основу документа </w:t>
      </w:r>
      <w:r w:rsidRPr="007D590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легли рекомендации ЕЭК ООН </w:t>
      </w:r>
      <w:r w:rsidRPr="007D5906">
        <w:rPr>
          <w:rFonts w:ascii="Times New Roman" w:eastAsiaTheme="minorHAnsi" w:hAnsi="Times New Roman"/>
          <w:color w:val="000000" w:themeColor="text1"/>
          <w:sz w:val="24"/>
          <w:szCs w:val="24"/>
          <w:shd w:val="clear" w:color="auto" w:fill="FFFFFF"/>
        </w:rPr>
        <w:t>по комплексным политическим мерам в области старения населения</w:t>
      </w:r>
      <w:r w:rsidRPr="007D590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, изложенные в </w:t>
      </w:r>
      <w:hyperlink r:id="rId8" w:history="1">
        <w:r w:rsidRPr="007D5906">
          <w:rPr>
            <w:rFonts w:ascii="Times New Roman" w:eastAsiaTheme="minorHAnsi" w:hAnsi="Times New Roman"/>
            <w:color w:val="000000" w:themeColor="text1"/>
            <w:sz w:val="24"/>
            <w:szCs w:val="24"/>
            <w:shd w:val="clear" w:color="auto" w:fill="FFFFFF"/>
          </w:rPr>
          <w:t>Дорожной карте по обеспечению всестороннего учета вопросов старения населения в Беларуси</w:t>
        </w:r>
      </w:hyperlink>
      <w:r w:rsidRPr="007D5906">
        <w:rPr>
          <w:rFonts w:ascii="Times New Roman" w:eastAsiaTheme="minorHAnsi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7D5906">
        <w:rPr>
          <w:rFonts w:ascii="Times New Roman" w:eastAsiaTheme="minorHAnsi" w:hAnsi="Times New Roman"/>
          <w:color w:val="000000" w:themeColor="text1"/>
          <w:sz w:val="24"/>
          <w:szCs w:val="24"/>
        </w:rPr>
        <w:t>[</w:t>
      </w:r>
      <w:r w:rsidR="003354DB" w:rsidRPr="003354DB">
        <w:rPr>
          <w:rFonts w:ascii="Times New Roman" w:eastAsiaTheme="minorHAnsi" w:hAnsi="Times New Roman"/>
          <w:color w:val="000000" w:themeColor="text1"/>
          <w:sz w:val="24"/>
          <w:szCs w:val="24"/>
        </w:rPr>
        <w:t>2</w:t>
      </w:r>
      <w:r w:rsidRPr="007D590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]. </w:t>
      </w:r>
    </w:p>
    <w:p w14:paraId="6BBEE7E1" w14:textId="77777777" w:rsidR="002A5C6B" w:rsidRDefault="002A5C6B" w:rsidP="00F5530E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В настоящее время Стратегия включает четыре основных направления:</w:t>
      </w:r>
    </w:p>
    <w:p w14:paraId="15D29289" w14:textId="77777777" w:rsidR="002A5C6B" w:rsidRDefault="002A5C6B" w:rsidP="00F5530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bookmarkStart w:id="0" w:name="_Hlk66219400"/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приведение в соответствие </w:t>
      </w:r>
      <w:r w:rsidRPr="007D5906">
        <w:rPr>
          <w:rFonts w:ascii="Times New Roman" w:eastAsiaTheme="minorEastAsia" w:hAnsi="Times New Roman"/>
          <w:sz w:val="24"/>
          <w:szCs w:val="24"/>
          <w:lang w:eastAsia="ru-RU"/>
        </w:rPr>
        <w:t>рын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ка</w:t>
      </w:r>
      <w:r w:rsidRPr="007D5906">
        <w:rPr>
          <w:rFonts w:ascii="Times New Roman" w:eastAsiaTheme="minorEastAsia" w:hAnsi="Times New Roman"/>
          <w:sz w:val="24"/>
          <w:szCs w:val="24"/>
          <w:lang w:eastAsia="ru-RU"/>
        </w:rPr>
        <w:t xml:space="preserve"> труда и 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системы образования потребностям пожилых людей;</w:t>
      </w:r>
    </w:p>
    <w:p w14:paraId="4A4C458B" w14:textId="77777777" w:rsidR="002A5C6B" w:rsidRDefault="002A5C6B" w:rsidP="00F5530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развитие социального страхования и социального обеспечения;</w:t>
      </w:r>
    </w:p>
    <w:bookmarkEnd w:id="0"/>
    <w:p w14:paraId="6B14D30A" w14:textId="77777777" w:rsidR="002A5C6B" w:rsidRDefault="002A5C6B" w:rsidP="00F5530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совершенствование медико-социальной помощи и продвижение здорового образа жизни;</w:t>
      </w:r>
    </w:p>
    <w:p w14:paraId="18F115E7" w14:textId="77777777" w:rsidR="002A5C6B" w:rsidRDefault="002A5C6B" w:rsidP="00F5530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D5906">
        <w:rPr>
          <w:rFonts w:ascii="Times New Roman" w:eastAsiaTheme="minorEastAsia" w:hAnsi="Times New Roman"/>
          <w:sz w:val="24"/>
          <w:szCs w:val="24"/>
          <w:lang w:eastAsia="ru-RU"/>
        </w:rPr>
        <w:t>интеграция пожилых людей в жизн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ь</w:t>
      </w:r>
      <w:r w:rsidRPr="007D5906">
        <w:rPr>
          <w:rFonts w:ascii="Times New Roman" w:eastAsiaTheme="minorEastAsia" w:hAnsi="Times New Roman"/>
          <w:sz w:val="24"/>
          <w:szCs w:val="24"/>
          <w:lang w:eastAsia="ru-RU"/>
        </w:rPr>
        <w:t xml:space="preserve"> общества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.</w:t>
      </w:r>
    </w:p>
    <w:p w14:paraId="73E20EB7" w14:textId="77777777" w:rsidR="002A5C6B" w:rsidRPr="004573A1" w:rsidRDefault="002A5C6B" w:rsidP="00F5530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573A1">
        <w:rPr>
          <w:rFonts w:ascii="Times New Roman" w:hAnsi="Times New Roman"/>
          <w:sz w:val="24"/>
          <w:szCs w:val="24"/>
        </w:rPr>
        <w:t>Основная ответственность за политику в отношении старения в Беларусь находится в ведении Министерства труда и социальной защиты Защита Республики Беларусь. Другие министерства отвечает за реализацию аспектов государственной политики по вопросам старения, включая министерства здравоохранения, образования, культуры, информации, экономики, финансов и их подведомственные структуры, и Национальный статистический комитет Республики Беларусь. Кроме того, существует Национальный комитет по народонаселению и Национальный совет по гендерной политике при Совете Министров Республики Беларусь.</w:t>
      </w:r>
    </w:p>
    <w:p w14:paraId="425B6D7A" w14:textId="77777777" w:rsidR="002A5C6B" w:rsidRPr="004573A1" w:rsidRDefault="002A5C6B" w:rsidP="00F5530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573A1">
        <w:rPr>
          <w:rFonts w:ascii="Times New Roman" w:hAnsi="Times New Roman"/>
          <w:sz w:val="24"/>
          <w:szCs w:val="24"/>
        </w:rPr>
        <w:t>Национальный комитет по народонаселению в Совете министров уполномочен координировать государственную политику в области народонаселения и демографической безопасности, уделяя основное внимание устранению риска депопуляции и низкой рождаемость в Беларуси. В перспективе рассматривается вопрос о создании межведомственного механизма для координации политики в отношении старения и обсуждение сквозных вопросов старения и отношений между поколениями как один из приоритетов социальной политики. Не менее важно, чтобы связанные со старением разработки политики включали региональные и местные органы власти. В Беларуси вопросы местного значения представляют избираемые на местном уровне Советы депутатов.</w:t>
      </w:r>
    </w:p>
    <w:p w14:paraId="4883C9D8" w14:textId="77777777" w:rsidR="002A5C6B" w:rsidRDefault="002A5C6B" w:rsidP="00F553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573A1">
        <w:rPr>
          <w:rFonts w:ascii="Times New Roman" w:hAnsi="Times New Roman"/>
          <w:sz w:val="24"/>
          <w:szCs w:val="24"/>
        </w:rPr>
        <w:t>Сегодня участие в формировании политики активного долголетия со стороны других заинтересованных менее активное. Тогда как сами пожилые люди должны быть включены в данный процесс для того, чтобы меры были разработаны в соответствии с их потребностями и предпочтениями. В настоящее время не существует специального механизма для обеспечения учета при принятии решений потребностей/голосов пожилых л</w:t>
      </w:r>
    </w:p>
    <w:p w14:paraId="02E34C39" w14:textId="77777777" w:rsidR="002A5C6B" w:rsidRPr="007D5906" w:rsidRDefault="002A5C6B" w:rsidP="00F553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Несмотря на </w:t>
      </w:r>
      <w:r w:rsidRPr="007D5906">
        <w:rPr>
          <w:rFonts w:ascii="Times New Roman" w:hAnsi="Times New Roman"/>
          <w:sz w:val="24"/>
          <w:szCs w:val="24"/>
        </w:rPr>
        <w:t>относительно небольшо</w:t>
      </w:r>
      <w:r>
        <w:rPr>
          <w:rFonts w:ascii="Times New Roman" w:hAnsi="Times New Roman"/>
          <w:sz w:val="24"/>
          <w:szCs w:val="24"/>
        </w:rPr>
        <w:t>й</w:t>
      </w:r>
      <w:r w:rsidRPr="007D5906">
        <w:rPr>
          <w:rFonts w:ascii="Times New Roman" w:hAnsi="Times New Roman"/>
          <w:sz w:val="24"/>
          <w:szCs w:val="24"/>
        </w:rPr>
        <w:t xml:space="preserve"> промежут</w:t>
      </w:r>
      <w:r>
        <w:rPr>
          <w:rFonts w:ascii="Times New Roman" w:hAnsi="Times New Roman"/>
          <w:sz w:val="24"/>
          <w:szCs w:val="24"/>
        </w:rPr>
        <w:t>ок</w:t>
      </w:r>
      <w:r w:rsidRPr="007D5906">
        <w:rPr>
          <w:rFonts w:ascii="Times New Roman" w:hAnsi="Times New Roman"/>
          <w:sz w:val="24"/>
          <w:szCs w:val="24"/>
        </w:rPr>
        <w:t xml:space="preserve"> времени с начала р</w:t>
      </w:r>
      <w:r>
        <w:rPr>
          <w:rFonts w:ascii="Times New Roman" w:hAnsi="Times New Roman"/>
          <w:sz w:val="24"/>
          <w:szCs w:val="24"/>
        </w:rPr>
        <w:t xml:space="preserve">аботы государственной политики </w:t>
      </w:r>
      <w:r w:rsidRPr="007D5906">
        <w:rPr>
          <w:rFonts w:ascii="Times New Roman" w:hAnsi="Times New Roman"/>
          <w:sz w:val="24"/>
          <w:szCs w:val="24"/>
        </w:rPr>
        <w:t>в сфере активного долголетия, а также необходимост</w:t>
      </w:r>
      <w:r>
        <w:rPr>
          <w:rFonts w:ascii="Times New Roman" w:hAnsi="Times New Roman"/>
          <w:sz w:val="24"/>
          <w:szCs w:val="24"/>
        </w:rPr>
        <w:t>ь</w:t>
      </w:r>
      <w:r w:rsidR="003354DB">
        <w:rPr>
          <w:rFonts w:ascii="Times New Roman" w:hAnsi="Times New Roman"/>
          <w:sz w:val="24"/>
          <w:szCs w:val="24"/>
        </w:rPr>
        <w:t xml:space="preserve"> долгого времени их функционирования</w:t>
      </w:r>
      <w:r w:rsidRPr="007D5906">
        <w:rPr>
          <w:rFonts w:ascii="Times New Roman" w:hAnsi="Times New Roman"/>
          <w:sz w:val="24"/>
          <w:szCs w:val="24"/>
        </w:rPr>
        <w:t xml:space="preserve"> для получения результатов от приложенных усилий, уже можно выделить ряд проблем и препятствий. </w:t>
      </w:r>
    </w:p>
    <w:p w14:paraId="64EFD7A2" w14:textId="77777777" w:rsidR="002A5C6B" w:rsidRPr="007D5906" w:rsidRDefault="002A5C6B" w:rsidP="00F553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5906">
        <w:rPr>
          <w:rFonts w:ascii="Times New Roman" w:hAnsi="Times New Roman"/>
          <w:sz w:val="24"/>
          <w:szCs w:val="24"/>
        </w:rPr>
        <w:t>Первой проблемой, с которой столкнулись проекты в области активного долголет</w:t>
      </w:r>
      <w:r w:rsidR="003354DB">
        <w:rPr>
          <w:rFonts w:ascii="Times New Roman" w:hAnsi="Times New Roman"/>
          <w:sz w:val="24"/>
          <w:szCs w:val="24"/>
        </w:rPr>
        <w:t xml:space="preserve">ия, стало то, что используется само </w:t>
      </w:r>
      <w:proofErr w:type="gramStart"/>
      <w:r w:rsidRPr="007D5906">
        <w:rPr>
          <w:rFonts w:ascii="Times New Roman" w:hAnsi="Times New Roman"/>
          <w:sz w:val="24"/>
          <w:szCs w:val="24"/>
        </w:rPr>
        <w:t>понятие  «</w:t>
      </w:r>
      <w:proofErr w:type="gramEnd"/>
      <w:r w:rsidRPr="007D5906">
        <w:rPr>
          <w:rFonts w:ascii="Times New Roman" w:hAnsi="Times New Roman"/>
          <w:sz w:val="24"/>
          <w:szCs w:val="24"/>
        </w:rPr>
        <w:t xml:space="preserve">активное долголетие», но ни один из документов не вводит его точного определения. Таким образом, не формируется целостное и четкое представление о вопросе, что ведет к разрозненности в используемой политике активного долголетия. </w:t>
      </w:r>
    </w:p>
    <w:p w14:paraId="60305325" w14:textId="77777777" w:rsidR="002A5C6B" w:rsidRPr="007D5906" w:rsidRDefault="002A5C6B" w:rsidP="00F553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5906">
        <w:rPr>
          <w:rFonts w:ascii="Times New Roman" w:hAnsi="Times New Roman"/>
          <w:sz w:val="24"/>
          <w:szCs w:val="24"/>
        </w:rPr>
        <w:t>В свою очередь, отсутствие комплексности во взглядах на проблему ведет к упущению важного момента в вопросе активного долголетия – условия для качественной жизни пожилых людей формируются в молодые годы. Это касается образа жизни, при</w:t>
      </w:r>
      <w:r w:rsidR="003354DB">
        <w:rPr>
          <w:rFonts w:ascii="Times New Roman" w:hAnsi="Times New Roman"/>
          <w:sz w:val="24"/>
          <w:szCs w:val="24"/>
        </w:rPr>
        <w:t xml:space="preserve">вычки к физической активности, </w:t>
      </w:r>
      <w:r w:rsidRPr="007D5906">
        <w:rPr>
          <w:rFonts w:ascii="Times New Roman" w:hAnsi="Times New Roman"/>
          <w:sz w:val="24"/>
          <w:szCs w:val="24"/>
        </w:rPr>
        <w:t xml:space="preserve">профилактических мер в борьбе с заболеваниями, непрерывности образования и формирования финансовой независимости. В связи с ускоренными темпами старения и сокращением трудовых ресурсов в стане, рациональным ответом становится политика, направленная на большее использование социального и экономического потенциала старшего поколения. Но для результативности в области активного долголетия уделять внимание более молодым поколениям не менее важно, чем работе с уже пожилыми людьми. К тому же программные меры направлены на поддержку старшего поколения, но активного участия их самих в реализации мер не предполагается. </w:t>
      </w:r>
    </w:p>
    <w:p w14:paraId="38F2957F" w14:textId="77777777" w:rsidR="002A5C6B" w:rsidRPr="007D5906" w:rsidRDefault="002A5C6B" w:rsidP="00F553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5906">
        <w:rPr>
          <w:rFonts w:ascii="Times New Roman" w:hAnsi="Times New Roman"/>
          <w:sz w:val="24"/>
          <w:szCs w:val="24"/>
        </w:rPr>
        <w:t>Одной из основных проблем в развитии концепции активного долголетия является низкая продолжительность здоровой жизни старших поколений, из-за недостаточного внимания к собственному здоровью у людей на протяжении всей жизни. Таким образом, фактор плохого состояния здоровья у пожилых людей может быть только нейтрализован к какой-то мере современной инфраструктурой здравоохранения. Еще одним аспектом проблемы формирования здорового образа жизни среди старшего поколения стала низкая распространенность физической активности. Улучшения показателей здоровья в целом и вовлеченности в постоянную физическую активность можно ожидать только у будущих, более подготовлен</w:t>
      </w:r>
      <w:r w:rsidR="003354DB">
        <w:rPr>
          <w:rFonts w:ascii="Times New Roman" w:hAnsi="Times New Roman"/>
          <w:sz w:val="24"/>
          <w:szCs w:val="24"/>
        </w:rPr>
        <w:t xml:space="preserve">ных и осведомленных, поколений </w:t>
      </w:r>
      <w:r w:rsidRPr="007D5906">
        <w:rPr>
          <w:rFonts w:ascii="Times New Roman" w:hAnsi="Times New Roman"/>
          <w:sz w:val="24"/>
          <w:szCs w:val="24"/>
        </w:rPr>
        <w:t xml:space="preserve">пожилых людей. </w:t>
      </w:r>
    </w:p>
    <w:p w14:paraId="4D5E07EC" w14:textId="77777777" w:rsidR="002A5C6B" w:rsidRPr="007D5906" w:rsidRDefault="002A5C6B" w:rsidP="00F553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5906">
        <w:rPr>
          <w:rFonts w:ascii="Times New Roman" w:hAnsi="Times New Roman"/>
          <w:sz w:val="24"/>
          <w:szCs w:val="24"/>
        </w:rPr>
        <w:t>Особое внимание для улучшения здоровья старшего поколения в целом необходимо уделить снижению заболеваемости и смертности по причинам</w:t>
      </w:r>
      <w:r>
        <w:rPr>
          <w:rFonts w:ascii="Times New Roman" w:hAnsi="Times New Roman"/>
          <w:sz w:val="24"/>
          <w:szCs w:val="24"/>
        </w:rPr>
        <w:t>,</w:t>
      </w:r>
      <w:r w:rsidRPr="007D5906">
        <w:rPr>
          <w:rFonts w:ascii="Times New Roman" w:hAnsi="Times New Roman"/>
          <w:sz w:val="24"/>
          <w:szCs w:val="24"/>
        </w:rPr>
        <w:t xml:space="preserve"> поддающимся профилактике. Случаи подрыва здоровья или смерти по причинам рискованного поведения или заболеваний, которые можно предотвратить, должны быть предотвращены своевременными мерами, что станет очередным шагом к активному долголетию. </w:t>
      </w:r>
    </w:p>
    <w:p w14:paraId="2B62B9F5" w14:textId="77777777" w:rsidR="002A5C6B" w:rsidRPr="007D5906" w:rsidRDefault="002A5C6B" w:rsidP="00F553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5906">
        <w:rPr>
          <w:rFonts w:ascii="Times New Roman" w:hAnsi="Times New Roman"/>
          <w:sz w:val="24"/>
          <w:szCs w:val="24"/>
        </w:rPr>
        <w:t xml:space="preserve">Одним из приоритетов политики активного долголетия является работа над повышением занятости старшего поколения. Первые итоги деятельности в этом направлении выявили наличие проблемы поляризации занятости. Существует небольшой сегмент работников, занимающих позиции руководителей, начальников, менеджеров высшего звена, обладающих большим опытом, знаниями и навыками, востребованными на рынке труда. Такая работа имеет хорошую оплату и полный социальный пакет, зачастую включая медицинское и пенсионное страхование. Более широкий сегмент работников с квалификацией занятых в основном в бюджетном секторе имеет небольшой, но стабильный доход и социальные гарантии, которые делают перспективу занятости приемлемой. Другим полюсом становятся низкоквалифицированные пожилые работники с низкой оплатой труда и отсутствием социальных гарантий. В итоге повышение занятости старшего поколения может иметь двоякие результаты- повышение уровня жизни при причастности к первому сегменту и его снижение в случае последнего варианта. </w:t>
      </w:r>
    </w:p>
    <w:p w14:paraId="0584C1F3" w14:textId="77777777" w:rsidR="002A5C6B" w:rsidRPr="007D5906" w:rsidRDefault="002A5C6B" w:rsidP="00F553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5906">
        <w:rPr>
          <w:rFonts w:ascii="Times New Roman" w:hAnsi="Times New Roman"/>
          <w:sz w:val="24"/>
          <w:szCs w:val="24"/>
        </w:rPr>
        <w:t>Среди проблем проведения политики активного долголетия выявлена еще не изжившая себя дискриминация по возрасту или эйджизм. К этому относится восприятие пожилых работников как непродуктивных и последующее стремление исключить их из производственного процесса. Такое отношение встречается и в других сферах жизни, включая медицину или образование, вплоть до прямого нарушения прав граждан в крайних случаях. Особенно опасным явлением в поведении людей становится сочетание сексизма и эйджизма. Что ставит в особенно уязвимое положение женщин старшего возраста. Таким образом, продвижение нового понимания старения в современных условиях должно вытеснить отжившее себя восприятие пожилого человека как обузы.</w:t>
      </w:r>
    </w:p>
    <w:p w14:paraId="511147DD" w14:textId="77777777" w:rsidR="002A5C6B" w:rsidRPr="007D5906" w:rsidRDefault="002A5C6B" w:rsidP="00F553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5906">
        <w:rPr>
          <w:rFonts w:ascii="Times New Roman" w:hAnsi="Times New Roman"/>
          <w:sz w:val="24"/>
          <w:szCs w:val="24"/>
        </w:rPr>
        <w:t>Сам принцип активного долголетия может существовать только в условиях достаточно высокого уровня жизни как общества в целом, так и пожилых людей в частности. Пенсионная система и законодательство дает гарантии обеспечения всех неработающих пенсионеров денежными доходами не ниже прожиточного минимума. Очевидно, что для формирован</w:t>
      </w:r>
      <w:r w:rsidR="003354DB">
        <w:rPr>
          <w:rFonts w:ascii="Times New Roman" w:hAnsi="Times New Roman"/>
          <w:sz w:val="24"/>
          <w:szCs w:val="24"/>
        </w:rPr>
        <w:t xml:space="preserve">ия экономической независимости </w:t>
      </w:r>
      <w:r w:rsidRPr="007D5906">
        <w:rPr>
          <w:rFonts w:ascii="Times New Roman" w:hAnsi="Times New Roman"/>
          <w:sz w:val="24"/>
          <w:szCs w:val="24"/>
        </w:rPr>
        <w:t>в условиях</w:t>
      </w:r>
      <w:r w:rsidR="003354DB">
        <w:rPr>
          <w:rFonts w:ascii="Times New Roman" w:hAnsi="Times New Roman"/>
          <w:sz w:val="24"/>
          <w:szCs w:val="24"/>
        </w:rPr>
        <w:t xml:space="preserve"> отсутствия посторонних доходов</w:t>
      </w:r>
      <w:r w:rsidRPr="007D5906">
        <w:rPr>
          <w:rFonts w:ascii="Times New Roman" w:hAnsi="Times New Roman"/>
          <w:sz w:val="24"/>
          <w:szCs w:val="24"/>
        </w:rPr>
        <w:t xml:space="preserve"> такого уровня недостаточно. Именно возможность быть экономически независимым является фундаментом для ра</w:t>
      </w:r>
      <w:r w:rsidR="003354DB">
        <w:rPr>
          <w:rFonts w:ascii="Times New Roman" w:hAnsi="Times New Roman"/>
          <w:sz w:val="24"/>
          <w:szCs w:val="24"/>
        </w:rPr>
        <w:t xml:space="preserve">звития всех остальных аспектов </w:t>
      </w:r>
      <w:r w:rsidRPr="007D5906">
        <w:rPr>
          <w:rFonts w:ascii="Times New Roman" w:hAnsi="Times New Roman"/>
          <w:sz w:val="24"/>
          <w:szCs w:val="24"/>
        </w:rPr>
        <w:t xml:space="preserve">активного долголетия, что делает данный вопрос чрезвычайно важным, а решение проблемы – первостепенной задачей, которая может стать отправной точкой для дальнейшего развития концепции. </w:t>
      </w:r>
    </w:p>
    <w:p w14:paraId="1EFED928" w14:textId="77777777" w:rsidR="002A5C6B" w:rsidRDefault="002A5C6B" w:rsidP="00F5530E">
      <w:pPr>
        <w:tabs>
          <w:tab w:val="right" w:leader="dot" w:pos="9356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4B16E5">
        <w:rPr>
          <w:rFonts w:ascii="Times New Roman" w:eastAsia="SimSun" w:hAnsi="Times New Roman"/>
          <w:sz w:val="24"/>
          <w:szCs w:val="24"/>
          <w:lang w:eastAsia="ru-RU"/>
        </w:rPr>
        <w:t>Анализ основных тенденций социально-демографического развития, а также отечественного и зарубежного опыта улучшения жизни в пожилом возрасте позволили разработать основные направления развития политики активного долголетия:</w:t>
      </w:r>
      <w:r>
        <w:rPr>
          <w:rFonts w:ascii="Times New Roman" w:eastAsia="SimSun" w:hAnsi="Times New Roman"/>
          <w:sz w:val="24"/>
          <w:szCs w:val="24"/>
          <w:lang w:eastAsia="ru-RU"/>
        </w:rPr>
        <w:t xml:space="preserve"> с</w:t>
      </w:r>
      <w:r w:rsidRPr="004109C5">
        <w:rPr>
          <w:rFonts w:ascii="Times New Roman" w:eastAsia="SimSun" w:hAnsi="Times New Roman"/>
          <w:sz w:val="24"/>
          <w:szCs w:val="24"/>
          <w:lang w:eastAsia="ru-RU"/>
        </w:rPr>
        <w:t>овершенствование институциональной структуры;</w:t>
      </w:r>
      <w:r>
        <w:rPr>
          <w:rFonts w:ascii="Times New Roman" w:eastAsia="SimSun" w:hAnsi="Times New Roman"/>
          <w:sz w:val="24"/>
          <w:szCs w:val="24"/>
          <w:lang w:eastAsia="ru-RU"/>
        </w:rPr>
        <w:t xml:space="preserve"> р</w:t>
      </w:r>
      <w:r w:rsidRPr="004109C5">
        <w:rPr>
          <w:rFonts w:ascii="Times New Roman" w:eastAsia="SimSun" w:hAnsi="Times New Roman"/>
          <w:sz w:val="24"/>
          <w:szCs w:val="24"/>
          <w:lang w:eastAsia="ru-RU"/>
        </w:rPr>
        <w:t>еализация комплекса практических рекомендаций по продвижению политики активного долголетия с выделением адресных стратегических блоков;</w:t>
      </w:r>
      <w:r>
        <w:rPr>
          <w:rFonts w:ascii="Times New Roman" w:eastAsia="SimSun" w:hAnsi="Times New Roman"/>
          <w:sz w:val="24"/>
          <w:szCs w:val="24"/>
          <w:lang w:eastAsia="ru-RU"/>
        </w:rPr>
        <w:t xml:space="preserve"> с</w:t>
      </w:r>
      <w:r w:rsidRPr="004109C5">
        <w:rPr>
          <w:rFonts w:ascii="Times New Roman" w:eastAsia="SimSun" w:hAnsi="Times New Roman"/>
          <w:sz w:val="24"/>
          <w:szCs w:val="24"/>
          <w:lang w:eastAsia="ru-RU"/>
        </w:rPr>
        <w:t>овершенствование мониторинга и оценки реализации Стратегии.</w:t>
      </w:r>
    </w:p>
    <w:p w14:paraId="31DD8E47" w14:textId="77777777" w:rsidR="003354DB" w:rsidRDefault="003354DB" w:rsidP="003354DB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BA7FCDB" w14:textId="77777777" w:rsidR="003354DB" w:rsidRPr="003354DB" w:rsidRDefault="003354DB" w:rsidP="003354DB">
      <w:pPr>
        <w:pStyle w:val="a4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4DB">
        <w:rPr>
          <w:rFonts w:ascii="Times New Roman" w:hAnsi="Times New Roman" w:cs="Times New Roman"/>
          <w:b/>
          <w:sz w:val="24"/>
          <w:szCs w:val="24"/>
        </w:rPr>
        <w:t>Библиографический список</w:t>
      </w:r>
    </w:p>
    <w:p w14:paraId="169C26D7" w14:textId="77777777" w:rsidR="003354DB" w:rsidRPr="00BA332D" w:rsidRDefault="003354DB" w:rsidP="003354DB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520FA9">
        <w:rPr>
          <w:rFonts w:ascii="Times New Roman" w:hAnsi="Times New Roman" w:cs="Times New Roman"/>
          <w:sz w:val="24"/>
          <w:szCs w:val="24"/>
        </w:rPr>
        <w:t xml:space="preserve">О Национальной стратегии Республики Беларусь «Активное долголетие 2030» </w:t>
      </w:r>
      <w:r w:rsidRPr="00520FA9">
        <w:rPr>
          <w:rFonts w:ascii="Times New Roman" w:hAnsi="Times New Roman" w:cs="Times New Roman"/>
          <w:bCs/>
          <w:sz w:val="24"/>
          <w:szCs w:val="24"/>
        </w:rPr>
        <w:t>[</w:t>
      </w:r>
      <w:r w:rsidRPr="00520FA9">
        <w:rPr>
          <w:rFonts w:ascii="Times New Roman" w:hAnsi="Times New Roman" w:cs="Times New Roman"/>
          <w:bCs/>
          <w:sz w:val="24"/>
          <w:szCs w:val="24"/>
          <w:lang w:val="be-BY"/>
        </w:rPr>
        <w:t>Электронный ресурс</w:t>
      </w:r>
      <w:r w:rsidRPr="00520FA9">
        <w:rPr>
          <w:rFonts w:ascii="Times New Roman" w:hAnsi="Times New Roman" w:cs="Times New Roman"/>
          <w:bCs/>
          <w:sz w:val="24"/>
          <w:szCs w:val="24"/>
        </w:rPr>
        <w:t>]</w:t>
      </w:r>
      <w:r>
        <w:rPr>
          <w:rFonts w:ascii="Times New Roman" w:hAnsi="Times New Roman" w:cs="Times New Roman"/>
          <w:bCs/>
          <w:sz w:val="24"/>
          <w:szCs w:val="24"/>
        </w:rPr>
        <w:t>. –</w:t>
      </w:r>
      <w:r w:rsidRPr="00520FA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URL</w:t>
      </w:r>
      <w:r w:rsidRPr="00BA332D">
        <w:rPr>
          <w:rFonts w:ascii="Times New Roman" w:hAnsi="Times New Roman" w:cs="Times New Roman"/>
          <w:bCs/>
          <w:sz w:val="24"/>
          <w:szCs w:val="24"/>
        </w:rPr>
        <w:t xml:space="preserve">: </w:t>
      </w:r>
      <w:hyperlink r:id="rId9" w:history="1">
        <w:r w:rsidRPr="00BA332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http://www.mintrud.gov.by/system/extensions/</w:t>
        </w:r>
        <w:r w:rsidRPr="00BA332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br/>
        </w:r>
        <w:proofErr w:type="spellStart"/>
        <w:r w:rsidRPr="00BA332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spaw</w:t>
        </w:r>
        <w:proofErr w:type="spellEnd"/>
        <w:r w:rsidRPr="00BA332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proofErr w:type="spellStart"/>
        <w:r w:rsidRPr="00BA332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uploads</w:t>
        </w:r>
        <w:proofErr w:type="spellEnd"/>
        <w:r w:rsidRPr="00BA332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proofErr w:type="spellStart"/>
        <w:r w:rsidRPr="00BA332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flash_files</w:t>
        </w:r>
        <w:proofErr w:type="spellEnd"/>
        <w:r w:rsidRPr="00BA332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/Strategia-2030-1.PDF</w:t>
        </w:r>
      </w:hyperlink>
      <w:r w:rsidRPr="00BA332D">
        <w:rPr>
          <w:rFonts w:ascii="Times New Roman" w:hAnsi="Times New Roman" w:cs="Times New Roman"/>
          <w:sz w:val="24"/>
          <w:szCs w:val="24"/>
        </w:rPr>
        <w:t xml:space="preserve"> </w:t>
      </w:r>
      <w:r w:rsidRPr="00BA332D">
        <w:rPr>
          <w:rFonts w:ascii="Times New Roman" w:hAnsi="Times New Roman" w:cs="Times New Roman"/>
          <w:bCs/>
          <w:sz w:val="24"/>
          <w:szCs w:val="24"/>
        </w:rPr>
        <w:t>(дата обращения 01.03.2023).</w:t>
      </w:r>
    </w:p>
    <w:p w14:paraId="7F8AD24E" w14:textId="77777777" w:rsidR="003354DB" w:rsidRDefault="003354DB" w:rsidP="00F5530E">
      <w:pPr>
        <w:tabs>
          <w:tab w:val="right" w:leader="dot" w:pos="9356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A332D">
        <w:rPr>
          <w:rFonts w:ascii="Times New Roman" w:eastAsia="SimSun" w:hAnsi="Times New Roman"/>
          <w:sz w:val="24"/>
          <w:szCs w:val="24"/>
          <w:lang w:eastAsia="ru-RU"/>
        </w:rPr>
        <w:t xml:space="preserve">2. Дорожная карта по обеспечению </w:t>
      </w:r>
      <w:r w:rsidRPr="003354DB">
        <w:rPr>
          <w:rFonts w:ascii="Times New Roman" w:eastAsia="SimSun" w:hAnsi="Times New Roman"/>
          <w:sz w:val="24"/>
          <w:szCs w:val="24"/>
          <w:lang w:eastAsia="ru-RU"/>
        </w:rPr>
        <w:t>всестороннего учета вопросов старения населения в Беларуси. ЕЭК ООН [Электронный ресурс]. – URL: https://unece.org/DAM/pau/age/Capacity_building/Road_Maps/Belarus/ECE_WG_32.pdf (дата обращения 01.03.2023).</w:t>
      </w:r>
    </w:p>
    <w:p w14:paraId="0BB2F020" w14:textId="77777777" w:rsidR="00BA332D" w:rsidRDefault="00BA332D" w:rsidP="00F5530E">
      <w:pPr>
        <w:tabs>
          <w:tab w:val="right" w:leader="dot" w:pos="9356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sz w:val="24"/>
          <w:szCs w:val="24"/>
          <w:lang w:eastAsia="ru-RU"/>
        </w:rPr>
      </w:pPr>
    </w:p>
    <w:p w14:paraId="6AB2C3C7" w14:textId="77777777" w:rsidR="00BA332D" w:rsidRDefault="00BA332D" w:rsidP="00F5530E">
      <w:pPr>
        <w:tabs>
          <w:tab w:val="right" w:leader="dot" w:pos="9356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sz w:val="24"/>
          <w:szCs w:val="24"/>
          <w:lang w:eastAsia="ru-RU"/>
        </w:rPr>
      </w:pPr>
    </w:p>
    <w:p w14:paraId="670DA66C" w14:textId="77777777" w:rsidR="00BA332D" w:rsidRPr="00BA332D" w:rsidRDefault="00BA332D" w:rsidP="00F5530E">
      <w:pPr>
        <w:tabs>
          <w:tab w:val="right" w:leader="dot" w:pos="9356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b/>
          <w:sz w:val="24"/>
          <w:szCs w:val="24"/>
          <w:lang w:eastAsia="ru-RU"/>
        </w:rPr>
      </w:pPr>
      <w:r w:rsidRPr="00BA332D">
        <w:rPr>
          <w:rFonts w:ascii="Times New Roman" w:eastAsia="SimSun" w:hAnsi="Times New Roman"/>
          <w:b/>
          <w:sz w:val="24"/>
          <w:szCs w:val="24"/>
          <w:lang w:eastAsia="ru-RU"/>
        </w:rPr>
        <w:t>Информация об авторе</w:t>
      </w:r>
    </w:p>
    <w:p w14:paraId="11B6641D" w14:textId="77777777" w:rsidR="00BA332D" w:rsidRDefault="00BA332D" w:rsidP="00F5530E">
      <w:pPr>
        <w:tabs>
          <w:tab w:val="right" w:leader="dot" w:pos="9356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sz w:val="24"/>
          <w:szCs w:val="24"/>
          <w:lang w:eastAsia="ru-RU"/>
        </w:rPr>
      </w:pPr>
    </w:p>
    <w:p w14:paraId="1D2B6F13" w14:textId="77777777" w:rsidR="00BA332D" w:rsidRDefault="00BA332D" w:rsidP="00BA332D">
      <w:pPr>
        <w:tabs>
          <w:tab w:val="right" w:leader="dot" w:pos="9356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sz w:val="24"/>
          <w:szCs w:val="24"/>
          <w:lang w:val="en-US" w:eastAsia="ru-RU"/>
        </w:rPr>
      </w:pPr>
      <w:r>
        <w:rPr>
          <w:rFonts w:ascii="Times New Roman" w:eastAsia="SimSun" w:hAnsi="Times New Roman"/>
          <w:sz w:val="24"/>
          <w:szCs w:val="24"/>
          <w:lang w:eastAsia="ru-RU"/>
        </w:rPr>
        <w:t>Боброва Анастасия Григорьевна (Республика Беларусь, Минск) – кандидат экономических наук, доцент, Руководитель центра человеческого развития и демографии ГНУ «Институт экономики НАН Беларуси» (220076, г. Минск, ул. Сурганова</w:t>
      </w:r>
      <w:r w:rsidRPr="00CD791C">
        <w:rPr>
          <w:rFonts w:ascii="Times New Roman" w:eastAsia="SimSun" w:hAnsi="Times New Roman"/>
          <w:sz w:val="24"/>
          <w:szCs w:val="24"/>
          <w:lang w:val="en-US" w:eastAsia="ru-RU"/>
        </w:rPr>
        <w:t xml:space="preserve"> 1 </w:t>
      </w:r>
      <w:proofErr w:type="spellStart"/>
      <w:r>
        <w:rPr>
          <w:rFonts w:ascii="Times New Roman" w:eastAsia="SimSun" w:hAnsi="Times New Roman"/>
          <w:sz w:val="24"/>
          <w:szCs w:val="24"/>
          <w:lang w:eastAsia="ru-RU"/>
        </w:rPr>
        <w:t>корп</w:t>
      </w:r>
      <w:proofErr w:type="spellEnd"/>
      <w:r w:rsidRPr="00CD791C">
        <w:rPr>
          <w:rFonts w:ascii="Times New Roman" w:eastAsia="SimSun" w:hAnsi="Times New Roman"/>
          <w:sz w:val="24"/>
          <w:szCs w:val="24"/>
          <w:lang w:val="en-US" w:eastAsia="ru-RU"/>
        </w:rPr>
        <w:t xml:space="preserve">. 2) </w:t>
      </w:r>
      <w:r w:rsidR="00911862">
        <w:fldChar w:fldCharType="begin"/>
      </w:r>
      <w:r w:rsidR="00911862" w:rsidRPr="00BB60F9">
        <w:rPr>
          <w:lang w:val="en-US"/>
        </w:rPr>
        <w:instrText xml:space="preserve"> HYPERLINK "mailto:nastassiabobrova@mail.ru" </w:instrText>
      </w:r>
      <w:r w:rsidR="00911862">
        <w:fldChar w:fldCharType="separate"/>
      </w:r>
      <w:r w:rsidRPr="00100130">
        <w:rPr>
          <w:rStyle w:val="a3"/>
          <w:rFonts w:ascii="Times New Roman" w:eastAsia="SimSun" w:hAnsi="Times New Roman"/>
          <w:sz w:val="24"/>
          <w:szCs w:val="24"/>
          <w:lang w:val="en-US" w:eastAsia="ru-RU"/>
        </w:rPr>
        <w:t>nastassiabobrova@mail.ru</w:t>
      </w:r>
      <w:r w:rsidR="00911862">
        <w:rPr>
          <w:rStyle w:val="a3"/>
          <w:rFonts w:ascii="Times New Roman" w:eastAsia="SimSun" w:hAnsi="Times New Roman"/>
          <w:sz w:val="24"/>
          <w:szCs w:val="24"/>
          <w:lang w:val="en-US" w:eastAsia="ru-RU"/>
        </w:rPr>
        <w:fldChar w:fldCharType="end"/>
      </w:r>
    </w:p>
    <w:p w14:paraId="2650EAC5" w14:textId="77777777" w:rsidR="00BA332D" w:rsidRDefault="00BA332D" w:rsidP="00BA332D">
      <w:pPr>
        <w:tabs>
          <w:tab w:val="right" w:leader="dot" w:pos="9356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sz w:val="24"/>
          <w:szCs w:val="24"/>
          <w:lang w:val="en-US" w:eastAsia="ru-RU"/>
        </w:rPr>
      </w:pPr>
    </w:p>
    <w:p w14:paraId="094B4A42" w14:textId="77777777" w:rsidR="00BA332D" w:rsidRDefault="00BA332D" w:rsidP="00BA332D">
      <w:pPr>
        <w:tabs>
          <w:tab w:val="right" w:leader="dot" w:pos="9356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sz w:val="24"/>
          <w:szCs w:val="24"/>
          <w:lang w:val="en-US" w:eastAsia="ru-RU"/>
        </w:rPr>
      </w:pPr>
    </w:p>
    <w:p w14:paraId="286C6C6B" w14:textId="77777777" w:rsidR="00BA332D" w:rsidRDefault="00BA332D" w:rsidP="00BA332D">
      <w:pPr>
        <w:tabs>
          <w:tab w:val="right" w:leader="dot" w:pos="9356"/>
        </w:tabs>
        <w:suppressAutoHyphens/>
        <w:spacing w:after="0" w:line="240" w:lineRule="auto"/>
        <w:ind w:firstLine="709"/>
        <w:jc w:val="right"/>
        <w:rPr>
          <w:rFonts w:ascii="Times New Roman" w:eastAsia="SimSun" w:hAnsi="Times New Roman"/>
          <w:sz w:val="24"/>
          <w:szCs w:val="24"/>
          <w:lang w:val="en-US" w:eastAsia="ru-RU"/>
        </w:rPr>
      </w:pPr>
      <w:r>
        <w:rPr>
          <w:rFonts w:ascii="Times New Roman" w:eastAsia="SimSun" w:hAnsi="Times New Roman"/>
          <w:sz w:val="24"/>
          <w:szCs w:val="24"/>
          <w:lang w:val="en-US" w:eastAsia="ru-RU"/>
        </w:rPr>
        <w:t>Bobrova A.G.</w:t>
      </w:r>
    </w:p>
    <w:p w14:paraId="6287FF50" w14:textId="77777777" w:rsidR="00BA332D" w:rsidRDefault="00BA332D" w:rsidP="00BA332D">
      <w:pPr>
        <w:tabs>
          <w:tab w:val="right" w:leader="dot" w:pos="9356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sz w:val="24"/>
          <w:szCs w:val="24"/>
          <w:lang w:val="en-US" w:eastAsia="ru-RU"/>
        </w:rPr>
      </w:pPr>
    </w:p>
    <w:p w14:paraId="165A93FB" w14:textId="3A7C61D8" w:rsidR="00BA332D" w:rsidRPr="00BA332D" w:rsidRDefault="00CD791C" w:rsidP="00BA332D">
      <w:pPr>
        <w:tabs>
          <w:tab w:val="right" w:leader="dot" w:pos="9356"/>
        </w:tabs>
        <w:suppressAutoHyphens/>
        <w:spacing w:after="0" w:line="240" w:lineRule="auto"/>
        <w:ind w:firstLine="709"/>
        <w:jc w:val="center"/>
        <w:rPr>
          <w:rFonts w:ascii="Times New Roman" w:eastAsia="SimSun" w:hAnsi="Times New Roman"/>
          <w:b/>
          <w:sz w:val="24"/>
          <w:szCs w:val="24"/>
          <w:lang w:val="en-US" w:eastAsia="ru-RU"/>
        </w:rPr>
      </w:pPr>
      <w:r w:rsidRPr="00BA332D">
        <w:rPr>
          <w:rFonts w:ascii="Times New Roman" w:eastAsia="SimSun" w:hAnsi="Times New Roman"/>
          <w:b/>
          <w:sz w:val="24"/>
          <w:szCs w:val="24"/>
          <w:lang w:val="en-US" w:eastAsia="ru-RU"/>
        </w:rPr>
        <w:t>Active ageing policy in Belarus: current state and possible limitations of effective implementation</w:t>
      </w:r>
    </w:p>
    <w:p w14:paraId="2BEBB796" w14:textId="77777777" w:rsidR="00BA332D" w:rsidRPr="00BA332D" w:rsidRDefault="00BA332D" w:rsidP="00BA332D">
      <w:pPr>
        <w:tabs>
          <w:tab w:val="right" w:leader="dot" w:pos="9356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sz w:val="24"/>
          <w:szCs w:val="24"/>
          <w:lang w:val="en-US" w:eastAsia="ru-RU"/>
        </w:rPr>
      </w:pPr>
    </w:p>
    <w:p w14:paraId="0CEEC033" w14:textId="77777777" w:rsidR="00BA332D" w:rsidRPr="00BA332D" w:rsidRDefault="00BA332D" w:rsidP="00BA332D">
      <w:pPr>
        <w:tabs>
          <w:tab w:val="right" w:leader="dot" w:pos="9356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b/>
          <w:sz w:val="24"/>
          <w:szCs w:val="24"/>
          <w:lang w:val="en-US" w:eastAsia="ru-RU"/>
        </w:rPr>
      </w:pPr>
      <w:r w:rsidRPr="00BA332D">
        <w:rPr>
          <w:rFonts w:ascii="Times New Roman" w:eastAsia="SimSun" w:hAnsi="Times New Roman"/>
          <w:b/>
          <w:sz w:val="24"/>
          <w:szCs w:val="24"/>
          <w:lang w:val="en-US" w:eastAsia="ru-RU"/>
        </w:rPr>
        <w:t xml:space="preserve">Abstract </w:t>
      </w:r>
    </w:p>
    <w:p w14:paraId="3E501BAD" w14:textId="4F73B50E" w:rsidR="00BA332D" w:rsidRPr="00BB60F9" w:rsidRDefault="002E1C8C" w:rsidP="00BA332D">
      <w:pPr>
        <w:tabs>
          <w:tab w:val="right" w:leader="dot" w:pos="9356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sz w:val="24"/>
          <w:szCs w:val="24"/>
          <w:lang w:val="en-US" w:eastAsia="ru-RU"/>
        </w:rPr>
      </w:pPr>
      <w:bookmarkStart w:id="1" w:name="_GoBack"/>
      <w:r w:rsidRPr="00BB60F9">
        <w:rPr>
          <w:rFonts w:ascii="Times New Roman" w:eastAsia="SimSun" w:hAnsi="Times New Roman"/>
          <w:sz w:val="24"/>
          <w:szCs w:val="24"/>
          <w:lang w:val="en-US" w:eastAsia="ru-RU"/>
        </w:rPr>
        <w:t>The Belarusian experience of active longevity policy is presented, as well as the perceived risks of insufficiently effective implementation of the National Strategy of the Belarus "Active Longevity – 2030". Proposals are formulated to improve the effectiveness of the active longevity policy.</w:t>
      </w:r>
      <w:r w:rsidR="00BA332D" w:rsidRPr="00BB60F9">
        <w:rPr>
          <w:rFonts w:ascii="Times New Roman" w:eastAsia="SimSun" w:hAnsi="Times New Roman"/>
          <w:sz w:val="24"/>
          <w:szCs w:val="24"/>
          <w:lang w:val="en-US" w:eastAsia="ru-RU"/>
        </w:rPr>
        <w:t xml:space="preserve"> </w:t>
      </w:r>
    </w:p>
    <w:bookmarkEnd w:id="1"/>
    <w:p w14:paraId="224289B3" w14:textId="77777777" w:rsidR="00BA332D" w:rsidRPr="00BA332D" w:rsidRDefault="00BA332D" w:rsidP="00BA332D">
      <w:pPr>
        <w:tabs>
          <w:tab w:val="right" w:leader="dot" w:pos="9356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sz w:val="24"/>
          <w:szCs w:val="24"/>
          <w:lang w:val="en-US" w:eastAsia="ru-RU"/>
        </w:rPr>
      </w:pPr>
      <w:r w:rsidRPr="00BA332D">
        <w:rPr>
          <w:rFonts w:ascii="Times New Roman" w:eastAsia="SimSun" w:hAnsi="Times New Roman"/>
          <w:b/>
          <w:sz w:val="24"/>
          <w:szCs w:val="24"/>
          <w:lang w:val="en-US" w:eastAsia="ru-RU"/>
        </w:rPr>
        <w:t>Key words:</w:t>
      </w:r>
      <w:r w:rsidRPr="00BA332D">
        <w:rPr>
          <w:rFonts w:ascii="Times New Roman" w:eastAsia="SimSun" w:hAnsi="Times New Roman"/>
          <w:sz w:val="24"/>
          <w:szCs w:val="24"/>
          <w:lang w:val="en-US" w:eastAsia="ru-RU"/>
        </w:rPr>
        <w:t xml:space="preserve"> ageing, active longevity, pensioners</w:t>
      </w:r>
    </w:p>
    <w:p w14:paraId="6DA9674D" w14:textId="77777777" w:rsidR="00BA332D" w:rsidRPr="00BA332D" w:rsidRDefault="00BA332D" w:rsidP="00BA332D">
      <w:pPr>
        <w:tabs>
          <w:tab w:val="right" w:leader="dot" w:pos="9356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sz w:val="24"/>
          <w:szCs w:val="24"/>
          <w:lang w:val="en-US" w:eastAsia="ru-RU"/>
        </w:rPr>
      </w:pPr>
      <w:r w:rsidRPr="00BA332D">
        <w:rPr>
          <w:rFonts w:ascii="Times New Roman" w:eastAsia="SimSun" w:hAnsi="Times New Roman"/>
          <w:sz w:val="24"/>
          <w:szCs w:val="24"/>
          <w:lang w:val="en-US" w:eastAsia="ru-RU"/>
        </w:rPr>
        <w:t xml:space="preserve">Bobrova Anastasia </w:t>
      </w:r>
      <w:proofErr w:type="spellStart"/>
      <w:r w:rsidRPr="00BA332D">
        <w:rPr>
          <w:rFonts w:ascii="Times New Roman" w:eastAsia="SimSun" w:hAnsi="Times New Roman"/>
          <w:sz w:val="24"/>
          <w:szCs w:val="24"/>
          <w:lang w:val="en-US" w:eastAsia="ru-RU"/>
        </w:rPr>
        <w:t>G</w:t>
      </w:r>
      <w:r>
        <w:rPr>
          <w:rFonts w:ascii="Times New Roman" w:eastAsia="SimSun" w:hAnsi="Times New Roman"/>
          <w:sz w:val="24"/>
          <w:szCs w:val="24"/>
          <w:lang w:val="en-US" w:eastAsia="ru-RU"/>
        </w:rPr>
        <w:t>rigorievna</w:t>
      </w:r>
      <w:proofErr w:type="spellEnd"/>
      <w:r w:rsidRPr="00BA332D">
        <w:rPr>
          <w:rFonts w:ascii="Times New Roman" w:eastAsia="SimSun" w:hAnsi="Times New Roman"/>
          <w:sz w:val="24"/>
          <w:szCs w:val="24"/>
          <w:lang w:val="en-US" w:eastAsia="ru-RU"/>
        </w:rPr>
        <w:t xml:space="preserve"> (Belarus, Minsk) </w:t>
      </w:r>
      <w:r>
        <w:rPr>
          <w:rFonts w:ascii="Times New Roman" w:eastAsia="SimSun" w:hAnsi="Times New Roman"/>
          <w:sz w:val="24"/>
          <w:szCs w:val="24"/>
          <w:lang w:val="en-US" w:eastAsia="ru-RU"/>
        </w:rPr>
        <w:t>–</w:t>
      </w:r>
      <w:r w:rsidRPr="00BA332D">
        <w:rPr>
          <w:rFonts w:ascii="Times New Roman" w:eastAsia="SimSu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SimSun" w:hAnsi="Times New Roman"/>
          <w:sz w:val="24"/>
          <w:szCs w:val="24"/>
          <w:lang w:val="en-US" w:eastAsia="ru-RU"/>
        </w:rPr>
        <w:t>candidate of e</w:t>
      </w:r>
      <w:r w:rsidRPr="00BA332D">
        <w:rPr>
          <w:rFonts w:ascii="Times New Roman" w:eastAsia="SimSun" w:hAnsi="Times New Roman"/>
          <w:sz w:val="24"/>
          <w:szCs w:val="24"/>
          <w:lang w:val="en-US" w:eastAsia="ru-RU"/>
        </w:rPr>
        <w:t xml:space="preserve">conomics, Head of the Centre for Human Development and Demography, Institute of Economics, National Academy of Sciences of Belarus (220076, Minsk, 1 </w:t>
      </w:r>
      <w:proofErr w:type="spellStart"/>
      <w:r w:rsidRPr="00BA332D">
        <w:rPr>
          <w:rFonts w:ascii="Times New Roman" w:eastAsia="SimSun" w:hAnsi="Times New Roman"/>
          <w:sz w:val="24"/>
          <w:szCs w:val="24"/>
          <w:lang w:val="en-US" w:eastAsia="ru-RU"/>
        </w:rPr>
        <w:t>Surganova</w:t>
      </w:r>
      <w:proofErr w:type="spellEnd"/>
      <w:r w:rsidRPr="00BA332D">
        <w:rPr>
          <w:rFonts w:ascii="Times New Roman" w:eastAsia="SimSun" w:hAnsi="Times New Roman"/>
          <w:sz w:val="24"/>
          <w:szCs w:val="24"/>
          <w:lang w:val="en-US" w:eastAsia="ru-RU"/>
        </w:rPr>
        <w:t xml:space="preserve"> str., building 2) nastassiabobrova@mail.ru</w:t>
      </w:r>
    </w:p>
    <w:sectPr w:rsidR="00BA332D" w:rsidRPr="00BA3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2045CC" w14:textId="77777777" w:rsidR="00911862" w:rsidRDefault="00911862" w:rsidP="002A5C6B">
      <w:pPr>
        <w:spacing w:after="0" w:line="240" w:lineRule="auto"/>
      </w:pPr>
      <w:r>
        <w:separator/>
      </w:r>
    </w:p>
  </w:endnote>
  <w:endnote w:type="continuationSeparator" w:id="0">
    <w:p w14:paraId="46D4DD59" w14:textId="77777777" w:rsidR="00911862" w:rsidRDefault="00911862" w:rsidP="002A5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090AF4" w14:textId="77777777" w:rsidR="00911862" w:rsidRDefault="00911862" w:rsidP="002A5C6B">
      <w:pPr>
        <w:spacing w:after="0" w:line="240" w:lineRule="auto"/>
      </w:pPr>
      <w:r>
        <w:separator/>
      </w:r>
    </w:p>
  </w:footnote>
  <w:footnote w:type="continuationSeparator" w:id="0">
    <w:p w14:paraId="2CD6F88D" w14:textId="77777777" w:rsidR="00911862" w:rsidRDefault="00911862" w:rsidP="002A5C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042C75"/>
    <w:multiLevelType w:val="hybridMultilevel"/>
    <w:tmpl w:val="898EA54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4E7438"/>
    <w:multiLevelType w:val="hybridMultilevel"/>
    <w:tmpl w:val="C25A91D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7205D"/>
    <w:multiLevelType w:val="hybridMultilevel"/>
    <w:tmpl w:val="88B62AB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B3A7E2C"/>
    <w:multiLevelType w:val="hybridMultilevel"/>
    <w:tmpl w:val="A3BCD32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C6B"/>
    <w:rsid w:val="002A5C6B"/>
    <w:rsid w:val="002E1C8C"/>
    <w:rsid w:val="003354DB"/>
    <w:rsid w:val="005352D8"/>
    <w:rsid w:val="005B2CD8"/>
    <w:rsid w:val="00752356"/>
    <w:rsid w:val="008A1EA2"/>
    <w:rsid w:val="00911862"/>
    <w:rsid w:val="00BA332D"/>
    <w:rsid w:val="00BB60F9"/>
    <w:rsid w:val="00C36326"/>
    <w:rsid w:val="00CD791C"/>
    <w:rsid w:val="00F5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CA52D"/>
  <w15:chartTrackingRefBased/>
  <w15:docId w15:val="{2D5CC0C9-E224-42AB-B86A-C670E78BB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5C6B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5C6B"/>
    <w:rPr>
      <w:color w:val="0563C1" w:themeColor="hyperlink"/>
      <w:u w:val="single"/>
    </w:rPr>
  </w:style>
  <w:style w:type="paragraph" w:styleId="a4">
    <w:name w:val="endnote text"/>
    <w:basedOn w:val="a"/>
    <w:link w:val="a5"/>
    <w:uiPriority w:val="99"/>
    <w:semiHidden/>
    <w:unhideWhenUsed/>
    <w:rsid w:val="002A5C6B"/>
    <w:pPr>
      <w:spacing w:after="0" w:line="240" w:lineRule="auto"/>
    </w:pPr>
    <w:rPr>
      <w:rFonts w:eastAsiaTheme="minorHAnsi" w:cstheme="minorBidi"/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2A5C6B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2A5C6B"/>
    <w:rPr>
      <w:vertAlign w:val="superscript"/>
    </w:rPr>
  </w:style>
  <w:style w:type="paragraph" w:styleId="a7">
    <w:name w:val="List Paragraph"/>
    <w:basedOn w:val="a"/>
    <w:uiPriority w:val="34"/>
    <w:qFormat/>
    <w:rsid w:val="002A5C6B"/>
    <w:pPr>
      <w:ind w:left="720"/>
      <w:contextualSpacing/>
    </w:pPr>
    <w:rPr>
      <w:rFonts w:eastAsiaTheme="minorHAnsi" w:cstheme="minorBidi"/>
    </w:rPr>
  </w:style>
  <w:style w:type="table" w:customStyle="1" w:styleId="7">
    <w:name w:val="Сетка таблицы7"/>
    <w:basedOn w:val="a1"/>
    <w:next w:val="a8"/>
    <w:uiPriority w:val="39"/>
    <w:rsid w:val="002A5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2A5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ece.org/index.php?id=5314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intrud.gov.by/system/extensions/spaw/uploads/flash_files/Strategia-2030-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DA7B6-C39C-4DBC-AE72-E5BEC00A0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2112</Words>
  <Characters>12042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Лейла Натиговна Нацун</cp:lastModifiedBy>
  <cp:revision>8</cp:revision>
  <dcterms:created xsi:type="dcterms:W3CDTF">2023-03-23T12:41:00Z</dcterms:created>
  <dcterms:modified xsi:type="dcterms:W3CDTF">2023-03-24T09:56:00Z</dcterms:modified>
</cp:coreProperties>
</file>