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53FE" w:rsidRPr="00D00EBF" w:rsidRDefault="002F02E1" w:rsidP="00697AE6">
      <w:pPr>
        <w:spacing w:after="0" w:line="360" w:lineRule="auto"/>
        <w:ind w:firstLine="709"/>
        <w:jc w:val="both"/>
        <w:rPr>
          <w:rFonts w:ascii="Times New Roman" w:hAnsi="Times New Roman" w:cs="Times New Roman"/>
          <w:b/>
          <w:sz w:val="24"/>
          <w:szCs w:val="24"/>
        </w:rPr>
      </w:pPr>
      <w:r w:rsidRPr="00D00EBF">
        <w:rPr>
          <w:rFonts w:ascii="Times New Roman" w:hAnsi="Times New Roman" w:cs="Times New Roman"/>
          <w:b/>
          <w:sz w:val="24"/>
          <w:szCs w:val="24"/>
        </w:rPr>
        <w:t xml:space="preserve">УДК 332.3:631.1.016(470.13) </w:t>
      </w:r>
    </w:p>
    <w:p w:rsidR="00D953FE" w:rsidRPr="00D00EBF" w:rsidRDefault="002F02E1" w:rsidP="00697AE6">
      <w:pPr>
        <w:spacing w:after="0" w:line="360" w:lineRule="auto"/>
        <w:ind w:firstLine="709"/>
        <w:jc w:val="both"/>
        <w:rPr>
          <w:rFonts w:ascii="Times New Roman" w:hAnsi="Times New Roman" w:cs="Times New Roman"/>
          <w:b/>
          <w:sz w:val="24"/>
          <w:szCs w:val="24"/>
        </w:rPr>
      </w:pPr>
      <w:r w:rsidRPr="00D00EBF">
        <w:rPr>
          <w:rFonts w:ascii="Times New Roman" w:hAnsi="Times New Roman" w:cs="Times New Roman"/>
          <w:b/>
          <w:sz w:val="24"/>
          <w:szCs w:val="24"/>
        </w:rPr>
        <w:t xml:space="preserve">ББК 65.32-5(2Рос.Ком) </w:t>
      </w:r>
    </w:p>
    <w:p w:rsidR="00D953FE" w:rsidRPr="00D00EBF" w:rsidRDefault="002F02E1" w:rsidP="00D00EBF">
      <w:pPr>
        <w:spacing w:after="0" w:line="360" w:lineRule="auto"/>
        <w:ind w:firstLine="709"/>
        <w:jc w:val="right"/>
        <w:rPr>
          <w:rFonts w:ascii="Times New Roman" w:hAnsi="Times New Roman" w:cs="Times New Roman"/>
          <w:b/>
          <w:sz w:val="24"/>
          <w:szCs w:val="24"/>
        </w:rPr>
      </w:pPr>
      <w:r w:rsidRPr="00D00EBF">
        <w:rPr>
          <w:rFonts w:ascii="Times New Roman" w:hAnsi="Times New Roman" w:cs="Times New Roman"/>
          <w:b/>
          <w:sz w:val="24"/>
          <w:szCs w:val="24"/>
        </w:rPr>
        <w:t xml:space="preserve">Мальцева И. С. </w:t>
      </w:r>
    </w:p>
    <w:p w:rsidR="00A11D36" w:rsidRPr="00A11D36" w:rsidRDefault="00A11D36" w:rsidP="00A11D36">
      <w:pPr>
        <w:spacing w:after="0" w:line="240" w:lineRule="auto"/>
        <w:ind w:firstLine="709"/>
        <w:jc w:val="center"/>
        <w:rPr>
          <w:rFonts w:ascii="Times New Roman" w:eastAsia="Times New Roman" w:hAnsi="Times New Roman" w:cs="Times New Roman"/>
          <w:b/>
          <w:caps/>
          <w:sz w:val="24"/>
          <w:szCs w:val="24"/>
          <w:lang w:eastAsia="ru-RU"/>
        </w:rPr>
      </w:pPr>
      <w:r w:rsidRPr="00A11D36">
        <w:rPr>
          <w:rFonts w:ascii="Times New Roman" w:eastAsia="Times New Roman" w:hAnsi="Times New Roman" w:cs="Times New Roman"/>
          <w:b/>
          <w:caps/>
          <w:sz w:val="24"/>
          <w:szCs w:val="24"/>
          <w:lang w:eastAsia="ru-RU"/>
        </w:rPr>
        <w:t>Направления развития аграрного землепользования в северном регионе</w:t>
      </w:r>
    </w:p>
    <w:p w:rsidR="00A11D36" w:rsidRPr="00A11D36" w:rsidRDefault="00A11D36" w:rsidP="00A11D36">
      <w:pPr>
        <w:spacing w:after="0" w:line="240" w:lineRule="auto"/>
        <w:ind w:firstLine="709"/>
        <w:jc w:val="center"/>
        <w:rPr>
          <w:rFonts w:ascii="Times New Roman" w:hAnsi="Times New Roman" w:cs="Times New Roman"/>
          <w:b/>
          <w:caps/>
          <w:sz w:val="24"/>
          <w:szCs w:val="24"/>
        </w:rPr>
      </w:pPr>
    </w:p>
    <w:p w:rsidR="00D953FE" w:rsidRPr="00D00EBF" w:rsidRDefault="002F02E1" w:rsidP="00A11D36">
      <w:pPr>
        <w:spacing w:after="0" w:line="240" w:lineRule="auto"/>
        <w:ind w:firstLine="709"/>
        <w:jc w:val="both"/>
        <w:rPr>
          <w:rFonts w:ascii="Times New Roman" w:hAnsi="Times New Roman" w:cs="Times New Roman"/>
          <w:i/>
          <w:sz w:val="24"/>
          <w:szCs w:val="24"/>
        </w:rPr>
      </w:pPr>
      <w:r w:rsidRPr="00D00EBF">
        <w:rPr>
          <w:rFonts w:ascii="Times New Roman" w:hAnsi="Times New Roman" w:cs="Times New Roman"/>
          <w:b/>
          <w:sz w:val="24"/>
          <w:szCs w:val="24"/>
        </w:rPr>
        <w:t>Аннотация.</w:t>
      </w:r>
      <w:r w:rsidRPr="00D953FE">
        <w:rPr>
          <w:rFonts w:ascii="Times New Roman" w:hAnsi="Times New Roman" w:cs="Times New Roman"/>
          <w:sz w:val="24"/>
          <w:szCs w:val="24"/>
        </w:rPr>
        <w:t xml:space="preserve"> </w:t>
      </w:r>
      <w:r w:rsidRPr="00D00EBF">
        <w:rPr>
          <w:rFonts w:ascii="Times New Roman" w:hAnsi="Times New Roman" w:cs="Times New Roman"/>
          <w:i/>
          <w:sz w:val="24"/>
          <w:szCs w:val="24"/>
        </w:rPr>
        <w:t xml:space="preserve">В статье </w:t>
      </w:r>
      <w:r w:rsidR="00D953FE" w:rsidRPr="00D00EBF">
        <w:rPr>
          <w:rFonts w:ascii="Times New Roman" w:hAnsi="Times New Roman" w:cs="Times New Roman"/>
          <w:i/>
          <w:sz w:val="24"/>
          <w:szCs w:val="24"/>
        </w:rPr>
        <w:t>дана оценка</w:t>
      </w:r>
      <w:r w:rsidRPr="00D00EBF">
        <w:rPr>
          <w:rFonts w:ascii="Times New Roman" w:hAnsi="Times New Roman" w:cs="Times New Roman"/>
          <w:i/>
          <w:sz w:val="24"/>
          <w:szCs w:val="24"/>
        </w:rPr>
        <w:t xml:space="preserve"> </w:t>
      </w:r>
      <w:r w:rsidR="00D953FE" w:rsidRPr="00D00EBF">
        <w:rPr>
          <w:rFonts w:ascii="Times New Roman" w:hAnsi="Times New Roman" w:cs="Times New Roman"/>
          <w:i/>
          <w:sz w:val="24"/>
          <w:szCs w:val="24"/>
        </w:rPr>
        <w:t>использования сельскохозяйственных угодий</w:t>
      </w:r>
      <w:r w:rsidRPr="00D00EBF">
        <w:rPr>
          <w:rFonts w:ascii="Times New Roman" w:hAnsi="Times New Roman" w:cs="Times New Roman"/>
          <w:i/>
          <w:sz w:val="24"/>
          <w:szCs w:val="24"/>
        </w:rPr>
        <w:t xml:space="preserve"> северного региона. </w:t>
      </w:r>
      <w:r w:rsidR="00D953FE" w:rsidRPr="00D00EBF">
        <w:rPr>
          <w:rFonts w:ascii="Times New Roman" w:hAnsi="Times New Roman" w:cs="Times New Roman"/>
          <w:i/>
          <w:sz w:val="24"/>
          <w:szCs w:val="24"/>
        </w:rPr>
        <w:t>Показана целесообразность использования</w:t>
      </w:r>
      <w:r w:rsidRPr="00D00EBF">
        <w:rPr>
          <w:rFonts w:ascii="Times New Roman" w:hAnsi="Times New Roman" w:cs="Times New Roman"/>
          <w:i/>
          <w:sz w:val="24"/>
          <w:szCs w:val="24"/>
        </w:rPr>
        <w:t xml:space="preserve"> </w:t>
      </w:r>
      <w:r w:rsidR="00D953FE" w:rsidRPr="00D00EBF">
        <w:rPr>
          <w:rFonts w:ascii="Times New Roman" w:hAnsi="Times New Roman" w:cs="Times New Roman"/>
          <w:i/>
          <w:sz w:val="24"/>
          <w:szCs w:val="24"/>
        </w:rPr>
        <w:t>интегрированных систем сельскохозяйственного производства, позволяющих более рационально использовать земельные ресурсы и повышать их плодородие</w:t>
      </w:r>
      <w:r w:rsidRPr="00D00EBF">
        <w:rPr>
          <w:rFonts w:ascii="Times New Roman" w:hAnsi="Times New Roman" w:cs="Times New Roman"/>
          <w:i/>
          <w:sz w:val="24"/>
          <w:szCs w:val="24"/>
        </w:rPr>
        <w:t xml:space="preserve">. </w:t>
      </w:r>
    </w:p>
    <w:p w:rsidR="002F02E1" w:rsidRPr="00D953FE" w:rsidRDefault="002F02E1" w:rsidP="00A11D36">
      <w:pPr>
        <w:spacing w:after="0" w:line="240" w:lineRule="auto"/>
        <w:ind w:firstLine="709"/>
        <w:jc w:val="both"/>
        <w:rPr>
          <w:rFonts w:ascii="Times New Roman" w:eastAsia="Times New Roman" w:hAnsi="Times New Roman" w:cs="Times New Roman"/>
          <w:sz w:val="24"/>
          <w:szCs w:val="24"/>
          <w:lang w:eastAsia="ru-RU"/>
        </w:rPr>
      </w:pPr>
      <w:r w:rsidRPr="00D00EBF">
        <w:rPr>
          <w:rFonts w:ascii="Times New Roman" w:hAnsi="Times New Roman" w:cs="Times New Roman"/>
          <w:b/>
          <w:sz w:val="24"/>
          <w:szCs w:val="24"/>
        </w:rPr>
        <w:t>Ключевые слова:</w:t>
      </w:r>
      <w:r w:rsidRPr="00D953FE">
        <w:rPr>
          <w:rFonts w:ascii="Times New Roman" w:hAnsi="Times New Roman" w:cs="Times New Roman"/>
          <w:sz w:val="24"/>
          <w:szCs w:val="24"/>
        </w:rPr>
        <w:t xml:space="preserve"> </w:t>
      </w:r>
      <w:r w:rsidRPr="00D00EBF">
        <w:rPr>
          <w:rFonts w:ascii="Times New Roman" w:hAnsi="Times New Roman" w:cs="Times New Roman"/>
          <w:i/>
          <w:sz w:val="24"/>
          <w:szCs w:val="24"/>
        </w:rPr>
        <w:t xml:space="preserve">земли сельхозназначения, </w:t>
      </w:r>
      <w:r w:rsidR="008075AE">
        <w:rPr>
          <w:rFonts w:ascii="Times New Roman" w:hAnsi="Times New Roman" w:cs="Times New Roman"/>
          <w:i/>
          <w:sz w:val="24"/>
          <w:szCs w:val="24"/>
        </w:rPr>
        <w:t xml:space="preserve">устойчивое </w:t>
      </w:r>
      <w:r w:rsidRPr="00D00EBF">
        <w:rPr>
          <w:rFonts w:ascii="Times New Roman" w:hAnsi="Times New Roman" w:cs="Times New Roman"/>
          <w:i/>
          <w:sz w:val="24"/>
          <w:szCs w:val="24"/>
        </w:rPr>
        <w:t xml:space="preserve">землепользование, северный регион, деградация, направления рационального использования </w:t>
      </w:r>
      <w:bookmarkStart w:id="0" w:name="_GoBack"/>
      <w:bookmarkEnd w:id="0"/>
      <w:r w:rsidRPr="00D00EBF">
        <w:rPr>
          <w:rFonts w:ascii="Times New Roman" w:hAnsi="Times New Roman" w:cs="Times New Roman"/>
          <w:i/>
          <w:sz w:val="24"/>
          <w:szCs w:val="24"/>
        </w:rPr>
        <w:t>зем</w:t>
      </w:r>
      <w:r w:rsidR="00D953FE" w:rsidRPr="00D00EBF">
        <w:rPr>
          <w:rFonts w:ascii="Times New Roman" w:hAnsi="Times New Roman" w:cs="Times New Roman"/>
          <w:i/>
          <w:sz w:val="24"/>
          <w:szCs w:val="24"/>
        </w:rPr>
        <w:t>ель</w:t>
      </w:r>
      <w:r w:rsidRPr="00D00EBF">
        <w:rPr>
          <w:rFonts w:ascii="Times New Roman" w:hAnsi="Times New Roman" w:cs="Times New Roman"/>
          <w:i/>
          <w:sz w:val="24"/>
          <w:szCs w:val="24"/>
        </w:rPr>
        <w:t>.</w:t>
      </w:r>
    </w:p>
    <w:p w:rsidR="00C220CD" w:rsidRDefault="00C220CD" w:rsidP="00A11D36">
      <w:pPr>
        <w:spacing w:after="0" w:line="240" w:lineRule="auto"/>
        <w:ind w:firstLine="709"/>
        <w:jc w:val="both"/>
        <w:rPr>
          <w:rFonts w:ascii="Times New Roman" w:eastAsia="Times New Roman" w:hAnsi="Times New Roman" w:cs="Times New Roman"/>
          <w:sz w:val="24"/>
          <w:szCs w:val="24"/>
          <w:lang w:eastAsia="ru-RU"/>
        </w:rPr>
      </w:pPr>
    </w:p>
    <w:p w:rsidR="00DF26D2" w:rsidRPr="00DF26D2" w:rsidRDefault="00DF26D2" w:rsidP="00A11D36">
      <w:pPr>
        <w:tabs>
          <w:tab w:val="left" w:pos="0"/>
        </w:tabs>
        <w:spacing w:after="0" w:line="240" w:lineRule="auto"/>
        <w:ind w:firstLine="709"/>
        <w:jc w:val="both"/>
        <w:rPr>
          <w:rFonts w:ascii="Times New Roman" w:hAnsi="Times New Roman" w:cs="Times New Roman"/>
          <w:sz w:val="24"/>
          <w:szCs w:val="24"/>
        </w:rPr>
      </w:pPr>
      <w:r w:rsidRPr="00DF26D2">
        <w:rPr>
          <w:rFonts w:ascii="Times New Roman" w:hAnsi="Times New Roman" w:cs="Times New Roman"/>
          <w:sz w:val="24"/>
          <w:szCs w:val="24"/>
        </w:rPr>
        <w:t xml:space="preserve">Республика Коми является северным регионом, обладающим суровыми биоклиматическими условиями. Четыре муниципальных образования республики входят в состав Арктической зоны. Валовая добавленная стоимость сельского, лесного хозяйства, охоты, рыболовства и рыбоводства и снизилась с 2,9% </w:t>
      </w:r>
      <w:r w:rsidR="00266C1F" w:rsidRPr="00DF26D2">
        <w:rPr>
          <w:rFonts w:ascii="Times New Roman" w:hAnsi="Times New Roman" w:cs="Times New Roman"/>
          <w:sz w:val="24"/>
          <w:szCs w:val="24"/>
        </w:rPr>
        <w:t xml:space="preserve">республиканского валового регионального продукта </w:t>
      </w:r>
      <w:r w:rsidR="00266C1F">
        <w:rPr>
          <w:rFonts w:ascii="Times New Roman" w:hAnsi="Times New Roman" w:cs="Times New Roman"/>
          <w:sz w:val="24"/>
          <w:szCs w:val="24"/>
        </w:rPr>
        <w:t xml:space="preserve">в </w:t>
      </w:r>
      <w:r w:rsidR="00266C1F" w:rsidRPr="00DF26D2">
        <w:rPr>
          <w:rFonts w:ascii="Times New Roman" w:hAnsi="Times New Roman" w:cs="Times New Roman"/>
          <w:sz w:val="24"/>
          <w:szCs w:val="24"/>
        </w:rPr>
        <w:t xml:space="preserve">2005 г. </w:t>
      </w:r>
      <w:r w:rsidRPr="00DF26D2">
        <w:rPr>
          <w:rFonts w:ascii="Times New Roman" w:hAnsi="Times New Roman" w:cs="Times New Roman"/>
          <w:sz w:val="24"/>
          <w:szCs w:val="24"/>
        </w:rPr>
        <w:t>до 1,5% к настоящему времени. Земли сельхозназначения составляют 1855,6 тыс. га (4,5% общего земельного фонда республики). В составе земель республики 9528,3 тыс. га занимают оленьи пастбища, из них 6 011,8 тыс. га предоставлено в пользование сельскохозяйственным предприятиям. Сельхозорганизации, фермерские хозяйства и граждане, занятые сельскохозяйственным производством, по состоянию на 1 января 2020 г. имеют 8007,6 тыс. га земель в пользовании. Площадь сельскохозяйственных угодий составляет 418,1 тыс. га или около 1% ее территории.</w:t>
      </w:r>
    </w:p>
    <w:p w:rsidR="007908AD" w:rsidRPr="007908AD" w:rsidRDefault="00DF26D2" w:rsidP="000A7188">
      <w:pPr>
        <w:tabs>
          <w:tab w:val="left" w:pos="0"/>
        </w:tabs>
        <w:spacing w:after="0" w:line="240" w:lineRule="auto"/>
        <w:ind w:firstLine="709"/>
        <w:jc w:val="both"/>
        <w:rPr>
          <w:rFonts w:ascii="Times New Roman" w:hAnsi="Times New Roman" w:cs="Times New Roman"/>
          <w:sz w:val="24"/>
          <w:szCs w:val="24"/>
        </w:rPr>
      </w:pPr>
      <w:r w:rsidRPr="00DF26D2">
        <w:rPr>
          <w:rFonts w:ascii="Times New Roman" w:hAnsi="Times New Roman" w:cs="Times New Roman"/>
          <w:sz w:val="24"/>
          <w:szCs w:val="24"/>
        </w:rPr>
        <w:t>Результаты Всероссийских сельскохозяйственных переписей 2006 и 2016 гг. показали, что за десятилетие в хозяйствах всех категорий произошло сокращение общей земельной площади на 32%, в том числе сельхозугодий – в 2,2 раза, соответственно в сельхозорганизациях – на 33% и 3 раза. На 01.01 2021 г. в Республике Коми доля неиспользуемых сельскохозяйственных угодий составила 61 %</w:t>
      </w:r>
      <w:r>
        <w:rPr>
          <w:rFonts w:ascii="Times New Roman" w:hAnsi="Times New Roman" w:cs="Times New Roman"/>
          <w:sz w:val="24"/>
          <w:szCs w:val="24"/>
        </w:rPr>
        <w:t xml:space="preserve"> </w:t>
      </w:r>
      <w:r w:rsidRPr="00DF26D2">
        <w:rPr>
          <w:rFonts w:ascii="Times New Roman" w:hAnsi="Times New Roman" w:cs="Times New Roman"/>
          <w:sz w:val="24"/>
          <w:szCs w:val="24"/>
        </w:rPr>
        <w:t xml:space="preserve">– 255,2 тыс. га, сельхозугодья медленно вовлекаются в сельскохозяйственный оборот. </w:t>
      </w:r>
      <w:r w:rsidR="00266C1F">
        <w:rPr>
          <w:rFonts w:ascii="Times New Roman" w:hAnsi="Times New Roman" w:cs="Times New Roman"/>
          <w:sz w:val="24"/>
          <w:szCs w:val="24"/>
        </w:rPr>
        <w:t>В</w:t>
      </w:r>
      <w:r w:rsidRPr="00DF26D2">
        <w:rPr>
          <w:rFonts w:ascii="Times New Roman" w:hAnsi="Times New Roman" w:cs="Times New Roman"/>
          <w:sz w:val="24"/>
          <w:szCs w:val="24"/>
        </w:rPr>
        <w:t xml:space="preserve"> 2018 г. в Республике Коми в оборот было вовлечено 0,8 тыс. га, в 2019 г. – 0,3 тыс. га, в 2020 г. – 1,5 тыс. га, в 2021 г. – 0,2 тыс. га (немногим более 1 % площади выбывших из оборота угодий за 4 года). Крайне низкими темпами проводятся ремонт мелиоративных систем и культуртехнические </w:t>
      </w:r>
      <w:r w:rsidRPr="007908AD">
        <w:rPr>
          <w:rFonts w:ascii="Times New Roman" w:hAnsi="Times New Roman" w:cs="Times New Roman"/>
          <w:sz w:val="24"/>
          <w:szCs w:val="24"/>
        </w:rPr>
        <w:t xml:space="preserve">мероприятия. </w:t>
      </w:r>
      <w:r w:rsidR="00266C1F">
        <w:rPr>
          <w:rFonts w:ascii="Times New Roman" w:hAnsi="Times New Roman" w:cs="Times New Roman"/>
          <w:sz w:val="24"/>
          <w:szCs w:val="24"/>
        </w:rPr>
        <w:t>В недостаточном объеме</w:t>
      </w:r>
      <w:r w:rsidRPr="007908AD">
        <w:rPr>
          <w:rFonts w:ascii="Times New Roman" w:hAnsi="Times New Roman" w:cs="Times New Roman"/>
          <w:sz w:val="24"/>
          <w:szCs w:val="24"/>
        </w:rPr>
        <w:t xml:space="preserve"> выполняются работы, направленные на рост почвенного плодородия. В 1990 г. в среднем по Республике Коми засевалось 97,5% пашни, а в 2021 г. – лишь 31%. </w:t>
      </w:r>
    </w:p>
    <w:p w:rsidR="007908AD" w:rsidRPr="007908AD" w:rsidRDefault="007908AD" w:rsidP="007908AD">
      <w:pPr>
        <w:spacing w:after="0" w:line="240" w:lineRule="auto"/>
        <w:jc w:val="both"/>
        <w:rPr>
          <w:rFonts w:ascii="Times New Roman" w:hAnsi="Times New Roman" w:cs="Times New Roman"/>
          <w:sz w:val="24"/>
          <w:szCs w:val="24"/>
        </w:rPr>
      </w:pPr>
      <w:r w:rsidRPr="007908AD">
        <w:rPr>
          <w:rFonts w:ascii="Times New Roman" w:hAnsi="Times New Roman" w:cs="Times New Roman"/>
          <w:sz w:val="24"/>
          <w:szCs w:val="24"/>
        </w:rPr>
        <w:t xml:space="preserve">Продолжается общее снижение почвенного плодородия земель сельскохозяйственного назначения </w:t>
      </w:r>
      <w:r w:rsidR="00D139DB" w:rsidRPr="00DF26D2">
        <w:rPr>
          <w:rFonts w:ascii="Times New Roman" w:hAnsi="Times New Roman" w:cs="Times New Roman"/>
          <w:sz w:val="24"/>
          <w:szCs w:val="24"/>
        </w:rPr>
        <w:t>[</w:t>
      </w:r>
      <w:r w:rsidR="00D139DB">
        <w:rPr>
          <w:rFonts w:ascii="Times New Roman" w:hAnsi="Times New Roman" w:cs="Times New Roman"/>
          <w:sz w:val="24"/>
          <w:szCs w:val="24"/>
        </w:rPr>
        <w:t>2</w:t>
      </w:r>
      <w:r w:rsidR="00D139DB" w:rsidRPr="00DF26D2">
        <w:rPr>
          <w:rFonts w:ascii="Times New Roman" w:hAnsi="Times New Roman" w:cs="Times New Roman"/>
          <w:sz w:val="24"/>
          <w:szCs w:val="24"/>
        </w:rPr>
        <w:t xml:space="preserve">]. </w:t>
      </w:r>
      <w:r w:rsidRPr="007908AD">
        <w:rPr>
          <w:rFonts w:ascii="Times New Roman" w:hAnsi="Times New Roman" w:cs="Times New Roman"/>
          <w:sz w:val="24"/>
          <w:szCs w:val="24"/>
        </w:rPr>
        <w:t xml:space="preserve">Возрастает площадь почв с повышенной кислотностью, на 01.01.2020 г. доля почв пашни с повышенной кислотностью составила 85,0 %, сельхозугодий – 91,6 %. </w:t>
      </w:r>
    </w:p>
    <w:p w:rsidR="002E11AD" w:rsidRDefault="007908AD" w:rsidP="002E11AD">
      <w:pPr>
        <w:tabs>
          <w:tab w:val="left" w:pos="0"/>
        </w:tabs>
        <w:spacing w:after="0" w:line="240" w:lineRule="auto"/>
        <w:ind w:firstLine="709"/>
        <w:jc w:val="both"/>
        <w:rPr>
          <w:rFonts w:ascii="Times New Roman" w:hAnsi="Times New Roman" w:cs="Times New Roman"/>
          <w:sz w:val="24"/>
          <w:szCs w:val="24"/>
        </w:rPr>
      </w:pPr>
      <w:r w:rsidRPr="007908AD">
        <w:rPr>
          <w:rFonts w:ascii="Times New Roman" w:hAnsi="Times New Roman" w:cs="Times New Roman"/>
          <w:sz w:val="24"/>
          <w:szCs w:val="24"/>
        </w:rPr>
        <w:t xml:space="preserve">Оценка динамики посевных площадей в Республике Коми позволила сделать вывод об агробиоразнообразии сельскохозяйственных культур. На основании данных рис. видно, что в 1950-1970 гг. произошел переход к активному развитию животноводства. Посевы ржи, пшеницы, ячменя, овса, зернобобовых и технических культур (льна) резко сократились, вместе с тем выросли посевы кормовых культур. Вторым этапом сокращения видов и площади посевов сельхозкультур явился период с 1995 г. по настоящее время, когда сократились посевы картофеля, овощей и кормовых культур. Следует отметить, что для повышения продуктивности кормовых угодий в пореформенный период высаживались семена местных диких трав, хорошо адаптированных к сложным природным условиям, развивалось местное семеноводство. К настоящему времени семеноводство диких трав утрачено, а в целом семеноводство развито крайне слабо. </w:t>
      </w:r>
    </w:p>
    <w:p w:rsidR="002E11AD" w:rsidRPr="007908AD" w:rsidRDefault="002E11AD" w:rsidP="002E11AD">
      <w:pPr>
        <w:tabs>
          <w:tab w:val="left" w:pos="0"/>
        </w:tabs>
        <w:spacing w:after="0" w:line="240" w:lineRule="auto"/>
        <w:ind w:firstLine="709"/>
        <w:jc w:val="both"/>
        <w:rPr>
          <w:rFonts w:ascii="Times New Roman" w:eastAsia="Times New Roman" w:hAnsi="Times New Roman" w:cs="Times New Roman"/>
          <w:sz w:val="24"/>
          <w:szCs w:val="24"/>
          <w:lang w:eastAsia="ru-RU"/>
        </w:rPr>
      </w:pPr>
      <w:r w:rsidRPr="007908AD">
        <w:rPr>
          <w:rFonts w:ascii="Times New Roman" w:hAnsi="Times New Roman" w:cs="Times New Roman"/>
          <w:sz w:val="24"/>
          <w:szCs w:val="24"/>
        </w:rPr>
        <w:t>Посевы многолетних трав, площадь которых составляет 73% посевных площадей</w:t>
      </w:r>
      <w:r w:rsidR="002F02E1">
        <w:rPr>
          <w:rFonts w:ascii="Times New Roman" w:hAnsi="Times New Roman" w:cs="Times New Roman"/>
          <w:sz w:val="24"/>
          <w:szCs w:val="24"/>
        </w:rPr>
        <w:t xml:space="preserve"> (рис.)</w:t>
      </w:r>
      <w:r w:rsidRPr="007908AD">
        <w:rPr>
          <w:rFonts w:ascii="Times New Roman" w:hAnsi="Times New Roman" w:cs="Times New Roman"/>
          <w:sz w:val="24"/>
          <w:szCs w:val="24"/>
        </w:rPr>
        <w:t xml:space="preserve">, не обеспечивают животноводство полноценными (богатыми протеином) кормами и </w:t>
      </w:r>
      <w:r w:rsidRPr="007908AD">
        <w:rPr>
          <w:rFonts w:ascii="Times New Roman" w:hAnsi="Times New Roman" w:cs="Times New Roman"/>
          <w:sz w:val="24"/>
          <w:szCs w:val="24"/>
        </w:rPr>
        <w:lastRenderedPageBreak/>
        <w:t xml:space="preserve">повышение плодородие почв, так как </w:t>
      </w:r>
      <w:r w:rsidR="002F02E1">
        <w:rPr>
          <w:rFonts w:ascii="Times New Roman" w:hAnsi="Times New Roman" w:cs="Times New Roman"/>
          <w:sz w:val="24"/>
          <w:szCs w:val="24"/>
        </w:rPr>
        <w:t xml:space="preserve">три четверти </w:t>
      </w:r>
      <w:r w:rsidRPr="007908AD">
        <w:rPr>
          <w:rFonts w:ascii="Times New Roman" w:hAnsi="Times New Roman" w:cs="Times New Roman"/>
          <w:sz w:val="24"/>
          <w:szCs w:val="24"/>
        </w:rPr>
        <w:t>посевов составляют старовозрастные травосмеси с низким содержанием бобовых культур и высоким – сорной растительности. В целях повышения урожайности многолетних трав необходимо ежегодно обновлять 5 тыс. га, а фактически новые посевы ежегодно составляют 0,7- 2,2 тыс. га. Вместе с тем, многолетние травы являются единственной группой сельскохозяйственных культур, способствующей расширенному воспроизводству органического вещества в почве. В современном их состоянии они не справляются и с данной функцией.</w:t>
      </w:r>
    </w:p>
    <w:p w:rsidR="007908AD" w:rsidRPr="007908AD" w:rsidRDefault="007908AD" w:rsidP="007908AD">
      <w:pPr>
        <w:tabs>
          <w:tab w:val="left" w:pos="0"/>
        </w:tabs>
        <w:spacing w:after="0" w:line="240" w:lineRule="auto"/>
        <w:ind w:firstLine="709"/>
        <w:jc w:val="both"/>
        <w:rPr>
          <w:rFonts w:ascii="Times New Roman" w:hAnsi="Times New Roman" w:cs="Times New Roman"/>
          <w:sz w:val="24"/>
          <w:szCs w:val="24"/>
        </w:rPr>
      </w:pPr>
    </w:p>
    <w:p w:rsidR="007908AD" w:rsidRPr="007908AD" w:rsidRDefault="007908AD" w:rsidP="007908AD">
      <w:pPr>
        <w:tabs>
          <w:tab w:val="left" w:pos="0"/>
        </w:tabs>
        <w:spacing w:after="0" w:line="240" w:lineRule="auto"/>
        <w:ind w:firstLine="709"/>
        <w:jc w:val="both"/>
        <w:rPr>
          <w:rFonts w:ascii="Times New Roman" w:hAnsi="Times New Roman" w:cs="Times New Roman"/>
          <w:sz w:val="24"/>
          <w:szCs w:val="24"/>
        </w:rPr>
      </w:pPr>
      <w:r w:rsidRPr="007908AD">
        <w:rPr>
          <w:rFonts w:ascii="Times New Roman" w:hAnsi="Times New Roman" w:cs="Times New Roman"/>
          <w:noProof/>
          <w:sz w:val="24"/>
          <w:szCs w:val="24"/>
          <w:lang w:eastAsia="ru-RU"/>
        </w:rPr>
        <w:drawing>
          <wp:inline distT="0" distB="0" distL="0" distR="0" wp14:anchorId="138D105B" wp14:editId="25B93752">
            <wp:extent cx="4581525" cy="2728912"/>
            <wp:effectExtent l="0" t="0" r="9525" b="1460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908AD" w:rsidRPr="007908AD" w:rsidRDefault="007908AD" w:rsidP="007908AD">
      <w:pPr>
        <w:tabs>
          <w:tab w:val="left" w:pos="0"/>
        </w:tabs>
        <w:spacing w:after="0" w:line="240" w:lineRule="auto"/>
        <w:ind w:left="66" w:firstLine="709"/>
        <w:jc w:val="both"/>
        <w:rPr>
          <w:rFonts w:ascii="Times New Roman" w:hAnsi="Times New Roman" w:cs="Times New Roman"/>
          <w:sz w:val="24"/>
          <w:szCs w:val="24"/>
        </w:rPr>
      </w:pPr>
      <w:r w:rsidRPr="007908AD">
        <w:rPr>
          <w:rFonts w:ascii="Times New Roman" w:hAnsi="Times New Roman" w:cs="Times New Roman"/>
          <w:sz w:val="24"/>
          <w:szCs w:val="24"/>
        </w:rPr>
        <w:t>Рис</w:t>
      </w:r>
      <w:r w:rsidR="002F02E1">
        <w:rPr>
          <w:rFonts w:ascii="Times New Roman" w:hAnsi="Times New Roman" w:cs="Times New Roman"/>
          <w:sz w:val="24"/>
          <w:szCs w:val="24"/>
        </w:rPr>
        <w:t>унок</w:t>
      </w:r>
      <w:r w:rsidRPr="007908AD">
        <w:rPr>
          <w:rFonts w:ascii="Times New Roman" w:hAnsi="Times New Roman" w:cs="Times New Roman"/>
          <w:sz w:val="24"/>
          <w:szCs w:val="24"/>
        </w:rPr>
        <w:t>. Посевные площади сельскохозяйственных культур Республики Коми в 1913 – 2019 гг., тыс. га</w:t>
      </w:r>
    </w:p>
    <w:p w:rsidR="007908AD" w:rsidRPr="007908AD" w:rsidRDefault="007908AD" w:rsidP="007908AD">
      <w:pPr>
        <w:tabs>
          <w:tab w:val="left" w:pos="0"/>
        </w:tabs>
        <w:spacing w:after="0" w:line="240" w:lineRule="auto"/>
        <w:ind w:left="66" w:firstLine="709"/>
        <w:jc w:val="both"/>
        <w:rPr>
          <w:rFonts w:ascii="Times New Roman" w:hAnsi="Times New Roman" w:cs="Times New Roman"/>
          <w:sz w:val="24"/>
          <w:szCs w:val="24"/>
        </w:rPr>
      </w:pPr>
    </w:p>
    <w:p w:rsidR="000A7188" w:rsidRPr="007908AD" w:rsidRDefault="00DF26D2" w:rsidP="000A7188">
      <w:pPr>
        <w:tabs>
          <w:tab w:val="left" w:pos="0"/>
        </w:tabs>
        <w:spacing w:after="0" w:line="240" w:lineRule="auto"/>
        <w:ind w:firstLine="709"/>
        <w:jc w:val="both"/>
        <w:rPr>
          <w:rFonts w:ascii="Times New Roman" w:hAnsi="Times New Roman" w:cs="Times New Roman"/>
          <w:sz w:val="24"/>
          <w:szCs w:val="24"/>
        </w:rPr>
      </w:pPr>
      <w:r w:rsidRPr="007908AD">
        <w:rPr>
          <w:rFonts w:ascii="Times New Roman" w:hAnsi="Times New Roman" w:cs="Times New Roman"/>
          <w:sz w:val="24"/>
          <w:szCs w:val="24"/>
        </w:rPr>
        <w:t xml:space="preserve">Динамика посевных площадей основных сельскохозяйственных культур отрицательная, происходит зарастание земель кустарником и мелколесьем, что свидетельствует о необходимости принятия мер по улучшению качественных характеристик земельных ресурсов и возврату высокопродуктивных сельскохозяйственных угодий в оборот. </w:t>
      </w:r>
      <w:r w:rsidR="000A7188" w:rsidRPr="007908AD">
        <w:rPr>
          <w:rFonts w:ascii="Times New Roman" w:hAnsi="Times New Roman" w:cs="Times New Roman"/>
          <w:sz w:val="24"/>
          <w:szCs w:val="24"/>
        </w:rPr>
        <w:t>По мнению специалистов, заброшенность земель заключается в прогрессирующем сокращении пахотных земель, связанном с внутренней миграцией из сельских районов в города. Как следствие, неуправляемая растительность значительно увеличивается, сделав мозаику окружающей среды более однородной и снизив продуктивность земли, а также защитную функцию почв, увеличивая риск ее эрозии, изменяя водный баланс и увеличивая доступную биомассу. Эти воздействия влияют не только на заброшенный район и его местное население, но и на общество в целом, которое ощущает негативное влияние на производство товаров и услуг на сельскохозяйственных землях</w:t>
      </w:r>
      <w:r w:rsidR="002F02E1">
        <w:rPr>
          <w:rFonts w:ascii="Times New Roman" w:hAnsi="Times New Roman" w:cs="Times New Roman"/>
          <w:sz w:val="24"/>
          <w:szCs w:val="24"/>
        </w:rPr>
        <w:t>.</w:t>
      </w:r>
    </w:p>
    <w:p w:rsidR="002E11AD" w:rsidRDefault="00DF26D2" w:rsidP="007908AD">
      <w:pPr>
        <w:spacing w:after="0" w:line="240" w:lineRule="auto"/>
        <w:ind w:firstLine="709"/>
        <w:jc w:val="both"/>
        <w:rPr>
          <w:rFonts w:ascii="Times New Roman" w:hAnsi="Times New Roman" w:cs="Times New Roman"/>
          <w:sz w:val="24"/>
          <w:szCs w:val="24"/>
        </w:rPr>
      </w:pPr>
      <w:r w:rsidRPr="007908AD">
        <w:rPr>
          <w:rFonts w:ascii="Times New Roman" w:hAnsi="Times New Roman" w:cs="Times New Roman"/>
          <w:sz w:val="24"/>
          <w:szCs w:val="24"/>
        </w:rPr>
        <w:t>Основной причиной такого положения является низкая рентабельность и убыточность сельскохозяйственного производства и недостаточность бюджетного финансирования.</w:t>
      </w:r>
    </w:p>
    <w:p w:rsidR="007908AD" w:rsidRPr="007908AD" w:rsidRDefault="00DF26D2" w:rsidP="007908AD">
      <w:pPr>
        <w:spacing w:after="0" w:line="240" w:lineRule="auto"/>
        <w:ind w:firstLine="709"/>
        <w:jc w:val="both"/>
        <w:rPr>
          <w:rFonts w:ascii="Times New Roman" w:hAnsi="Times New Roman" w:cs="Times New Roman"/>
          <w:sz w:val="24"/>
          <w:szCs w:val="24"/>
        </w:rPr>
      </w:pPr>
      <w:r w:rsidRPr="007908AD">
        <w:rPr>
          <w:rFonts w:ascii="Times New Roman" w:hAnsi="Times New Roman" w:cs="Times New Roman"/>
          <w:sz w:val="24"/>
          <w:szCs w:val="24"/>
        </w:rPr>
        <w:t xml:space="preserve"> Вместе с тем, исследования российских и зарубежных специалистов свидетельствуют, </w:t>
      </w:r>
      <w:r w:rsidR="00266C1F">
        <w:rPr>
          <w:rFonts w:ascii="Times New Roman" w:hAnsi="Times New Roman" w:cs="Times New Roman"/>
          <w:sz w:val="24"/>
          <w:szCs w:val="24"/>
        </w:rPr>
        <w:t xml:space="preserve">что </w:t>
      </w:r>
      <w:r w:rsidRPr="007908AD">
        <w:rPr>
          <w:rFonts w:ascii="Times New Roman" w:hAnsi="Times New Roman" w:cs="Times New Roman"/>
          <w:sz w:val="24"/>
          <w:szCs w:val="24"/>
        </w:rPr>
        <w:t xml:space="preserve">постепенный переход от применения интенсивных технологий </w:t>
      </w:r>
      <w:r w:rsidR="007908AD" w:rsidRPr="007908AD">
        <w:rPr>
          <w:rFonts w:ascii="Times New Roman" w:hAnsi="Times New Roman" w:cs="Times New Roman"/>
          <w:sz w:val="24"/>
          <w:szCs w:val="24"/>
        </w:rPr>
        <w:t>к интегрированным системам растениеводства и животноводства</w:t>
      </w:r>
      <w:r w:rsidRPr="007908AD">
        <w:rPr>
          <w:rFonts w:ascii="Times New Roman" w:hAnsi="Times New Roman" w:cs="Times New Roman"/>
          <w:sz w:val="24"/>
          <w:szCs w:val="24"/>
        </w:rPr>
        <w:t xml:space="preserve"> позволяет более рационально использовать земельные ресурсы и повышать их плодородие.</w:t>
      </w:r>
      <w:r w:rsidR="007908AD" w:rsidRPr="007908AD">
        <w:rPr>
          <w:rFonts w:ascii="Times New Roman" w:hAnsi="Times New Roman" w:cs="Times New Roman"/>
          <w:sz w:val="24"/>
          <w:szCs w:val="24"/>
        </w:rPr>
        <w:t xml:space="preserve"> Производственные системы, которые характеризуются временной и пространственной интеграцией растениеводческ</w:t>
      </w:r>
      <w:r w:rsidR="002F02E1">
        <w:rPr>
          <w:rFonts w:ascii="Times New Roman" w:hAnsi="Times New Roman" w:cs="Times New Roman"/>
          <w:sz w:val="24"/>
          <w:szCs w:val="24"/>
        </w:rPr>
        <w:t>ого</w:t>
      </w:r>
      <w:r w:rsidR="007908AD" w:rsidRPr="007908AD">
        <w:rPr>
          <w:rFonts w:ascii="Times New Roman" w:hAnsi="Times New Roman" w:cs="Times New Roman"/>
          <w:sz w:val="24"/>
          <w:szCs w:val="24"/>
        </w:rPr>
        <w:t xml:space="preserve"> и животноводческ</w:t>
      </w:r>
      <w:r w:rsidR="002F02E1">
        <w:rPr>
          <w:rFonts w:ascii="Times New Roman" w:hAnsi="Times New Roman" w:cs="Times New Roman"/>
          <w:sz w:val="24"/>
          <w:szCs w:val="24"/>
        </w:rPr>
        <w:t>ого</w:t>
      </w:r>
      <w:r w:rsidR="007908AD" w:rsidRPr="007908AD">
        <w:rPr>
          <w:rFonts w:ascii="Times New Roman" w:hAnsi="Times New Roman" w:cs="Times New Roman"/>
          <w:sz w:val="24"/>
          <w:szCs w:val="24"/>
        </w:rPr>
        <w:t xml:space="preserve"> </w:t>
      </w:r>
      <w:r w:rsidR="002F02E1">
        <w:rPr>
          <w:rFonts w:ascii="Times New Roman" w:hAnsi="Times New Roman" w:cs="Times New Roman"/>
          <w:sz w:val="24"/>
          <w:szCs w:val="24"/>
        </w:rPr>
        <w:t>производства</w:t>
      </w:r>
      <w:r w:rsidR="007908AD" w:rsidRPr="007908AD">
        <w:rPr>
          <w:rFonts w:ascii="Times New Roman" w:hAnsi="Times New Roman" w:cs="Times New Roman"/>
          <w:sz w:val="24"/>
          <w:szCs w:val="24"/>
        </w:rPr>
        <w:t>, также известные как интегрированные системы растениеводства и животноводства, могут интенсифицировать производство на обрабатываемых землях и повысить устойчивость к последствиям изменения климата без пропорционального увеличения воздействия на окружающую среду</w:t>
      </w:r>
      <w:r w:rsidR="002F02E1">
        <w:rPr>
          <w:rFonts w:ascii="Times New Roman" w:hAnsi="Times New Roman" w:cs="Times New Roman"/>
          <w:sz w:val="24"/>
          <w:szCs w:val="24"/>
        </w:rPr>
        <w:t>.</w:t>
      </w:r>
      <w:r w:rsidR="002E11AD">
        <w:rPr>
          <w:rFonts w:ascii="Times New Roman" w:hAnsi="Times New Roman" w:cs="Times New Roman"/>
          <w:sz w:val="24"/>
          <w:szCs w:val="24"/>
        </w:rPr>
        <w:t xml:space="preserve"> </w:t>
      </w:r>
    </w:p>
    <w:p w:rsidR="00DF4088" w:rsidRPr="00DF26D2" w:rsidRDefault="006C41B9" w:rsidP="00DF4088">
      <w:pPr>
        <w:spacing w:after="0" w:line="240" w:lineRule="auto"/>
        <w:ind w:firstLine="709"/>
        <w:jc w:val="both"/>
        <w:rPr>
          <w:rFonts w:ascii="Times New Roman" w:hAnsi="Times New Roman" w:cs="Times New Roman"/>
          <w:sz w:val="24"/>
          <w:szCs w:val="24"/>
        </w:rPr>
      </w:pPr>
      <w:r w:rsidRPr="00DF26D2">
        <w:rPr>
          <w:rFonts w:ascii="Times New Roman" w:hAnsi="Times New Roman" w:cs="Times New Roman"/>
          <w:sz w:val="24"/>
          <w:szCs w:val="24"/>
        </w:rPr>
        <w:t xml:space="preserve">Интегрированные системы сельскохозяйственного производства, такие как системы агролесоводства, возникли в сельском хозяйстве как устойчивая альтернатива производству продуктов питания и энергии и сохранению окружающей среды, для которых характерно </w:t>
      </w:r>
      <w:r w:rsidRPr="00DF26D2">
        <w:rPr>
          <w:rFonts w:ascii="Times New Roman" w:hAnsi="Times New Roman" w:cs="Times New Roman"/>
          <w:sz w:val="24"/>
          <w:szCs w:val="24"/>
        </w:rPr>
        <w:lastRenderedPageBreak/>
        <w:t>сосуществование двух или более видов на одной и той же площади возделывания. Эти системы характеризуются оптимизацией землепользования, улучшением структуры почвы и увеличением содержания органического вещества биологической активностью и связывание углерода [</w:t>
      </w:r>
      <w:r w:rsidR="00D139DB">
        <w:rPr>
          <w:rFonts w:ascii="Times New Roman" w:hAnsi="Times New Roman" w:cs="Times New Roman"/>
          <w:sz w:val="24"/>
          <w:szCs w:val="24"/>
        </w:rPr>
        <w:t>7</w:t>
      </w:r>
      <w:r w:rsidRPr="00DF26D2">
        <w:rPr>
          <w:rFonts w:ascii="Times New Roman" w:hAnsi="Times New Roman" w:cs="Times New Roman"/>
          <w:sz w:val="24"/>
          <w:szCs w:val="24"/>
        </w:rPr>
        <w:t>].</w:t>
      </w:r>
      <w:r w:rsidR="00DF4088" w:rsidRPr="00DF4088">
        <w:rPr>
          <w:rFonts w:ascii="Times New Roman" w:hAnsi="Times New Roman" w:cs="Times New Roman"/>
          <w:sz w:val="24"/>
          <w:szCs w:val="24"/>
        </w:rPr>
        <w:t xml:space="preserve"> </w:t>
      </w:r>
    </w:p>
    <w:p w:rsidR="006C41B9" w:rsidRPr="00DF26D2" w:rsidRDefault="006C41B9" w:rsidP="006C41B9">
      <w:pPr>
        <w:spacing w:after="0" w:line="240" w:lineRule="auto"/>
        <w:ind w:firstLine="709"/>
        <w:jc w:val="both"/>
        <w:rPr>
          <w:rFonts w:ascii="Times New Roman" w:hAnsi="Times New Roman" w:cs="Times New Roman"/>
          <w:sz w:val="24"/>
          <w:szCs w:val="24"/>
        </w:rPr>
      </w:pPr>
      <w:r w:rsidRPr="00DF26D2">
        <w:rPr>
          <w:rFonts w:ascii="Times New Roman" w:hAnsi="Times New Roman" w:cs="Times New Roman"/>
          <w:sz w:val="24"/>
          <w:szCs w:val="24"/>
        </w:rPr>
        <w:t>Агролесоводство является практикой землепользования, при которой деревья и сельскохозяйственные культуры или домашний скот объединяются на одном поле. С учетом структуры системы агролесоводства можно разделить на агролесоводческие / лесозаготовительные (культуры и деревья), лесопастбищные (пастбища / животные и деревья) или лесоводческие (посевы и пастбища / животные и деревья) системы</w:t>
      </w:r>
      <w:r w:rsidR="00D139DB">
        <w:rPr>
          <w:rFonts w:ascii="Times New Roman" w:eastAsia="Times New Roman" w:hAnsi="Times New Roman" w:cs="Times New Roman"/>
          <w:sz w:val="24"/>
          <w:szCs w:val="24"/>
          <w:lang w:eastAsia="ru-RU"/>
        </w:rPr>
        <w:t xml:space="preserve"> [</w:t>
      </w:r>
      <w:r w:rsidRPr="00DF26D2">
        <w:rPr>
          <w:rFonts w:ascii="Times New Roman" w:eastAsia="Times New Roman" w:hAnsi="Times New Roman" w:cs="Times New Roman"/>
          <w:sz w:val="24"/>
          <w:szCs w:val="24"/>
          <w:lang w:eastAsia="ru-RU"/>
        </w:rPr>
        <w:t xml:space="preserve">5]. </w:t>
      </w:r>
      <w:r w:rsidRPr="00DF26D2">
        <w:rPr>
          <w:rFonts w:ascii="Times New Roman" w:hAnsi="Times New Roman" w:cs="Times New Roman"/>
          <w:sz w:val="24"/>
          <w:szCs w:val="24"/>
        </w:rPr>
        <w:t>Системы агролесоводства образуют сложную структуру растительности, которая больше похожа на естественные леса, чем на любую другую систему земледелия. Это происходит как на отдельных полях (когда зерновые культуры и тенистые деревья выращиваются вместе), так и на фермах (где деревья обеспечивают убежище, рыночные ресурсы и дополнительный доход), а также в более широком масштабе ландшафта. В этих более широких масштабах ландшафта и сельское хозяйство, и лес вносят свой вклад в предоставление экосистемных услуг [</w:t>
      </w:r>
      <w:r w:rsidRPr="00DF26D2">
        <w:rPr>
          <w:rFonts w:ascii="Times New Roman" w:eastAsia="Times New Roman" w:hAnsi="Times New Roman" w:cs="Times New Roman"/>
          <w:sz w:val="24"/>
          <w:szCs w:val="24"/>
          <w:lang w:eastAsia="ru-RU"/>
        </w:rPr>
        <w:t xml:space="preserve">6]. </w:t>
      </w:r>
      <w:r w:rsidRPr="00DF26D2">
        <w:rPr>
          <w:rFonts w:ascii="Times New Roman" w:hAnsi="Times New Roman" w:cs="Times New Roman"/>
          <w:sz w:val="24"/>
          <w:szCs w:val="24"/>
        </w:rPr>
        <w:t>Лесопастбищное хозяйство представляет интеграцию различных систем управления создает ряд преимуществ для культурных растений и животных. Присутствующие взаимодействия включают аспекты круговорота питательных веществ и воды, микроклимата и биоразнообразия и, следовательно, могут быть обобщены в улучшении экономической отдачи, а также защиты окружающей среды с общими устойчивыми выгодами. При управлении с использованием методов, основанных на биоразнообразии, эти социально-экономические системы могут помочь поддерживать биоразнообразие и обеспечивать связь местообитаний, тем самым дополняя охраняемые районы и обеспечивая большую устойчивость к изменению климата. В то же время использование этих методов управления может способствовать более устойчивому повышению урожайности и рентабельности, повышению уровня жизни и продовольственной безопасности [</w:t>
      </w:r>
      <w:r w:rsidR="00D139DB">
        <w:rPr>
          <w:rFonts w:ascii="Times New Roman" w:hAnsi="Times New Roman" w:cs="Times New Roman"/>
          <w:sz w:val="24"/>
          <w:szCs w:val="24"/>
        </w:rPr>
        <w:t>3</w:t>
      </w:r>
      <w:r w:rsidRPr="00DF26D2">
        <w:rPr>
          <w:rFonts w:ascii="Times New Roman" w:hAnsi="Times New Roman" w:cs="Times New Roman"/>
          <w:sz w:val="24"/>
          <w:szCs w:val="24"/>
        </w:rPr>
        <w:t>].</w:t>
      </w:r>
    </w:p>
    <w:p w:rsidR="00DF4088" w:rsidRDefault="00DF4088" w:rsidP="00DF408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Представляется целесообразным стимулирование развития растениеводства </w:t>
      </w:r>
      <w:r w:rsidR="007A0B5B">
        <w:rPr>
          <w:rFonts w:ascii="Times New Roman" w:hAnsi="Times New Roman" w:cs="Times New Roman"/>
          <w:sz w:val="24"/>
          <w:szCs w:val="24"/>
        </w:rPr>
        <w:t xml:space="preserve">в Республике Коми </w:t>
      </w:r>
      <w:r>
        <w:rPr>
          <w:rFonts w:ascii="Times New Roman" w:hAnsi="Times New Roman" w:cs="Times New Roman"/>
          <w:sz w:val="24"/>
          <w:szCs w:val="24"/>
        </w:rPr>
        <w:t>в части кормопроизводства, картофелеводства и овощеводства открытого грунта для обеспечения большей экологической, экономической и социальной устойчивости.</w:t>
      </w:r>
    </w:p>
    <w:p w:rsidR="00697AE6" w:rsidRPr="00DF26D2" w:rsidRDefault="00697AE6" w:rsidP="00DF26D2">
      <w:pPr>
        <w:spacing w:after="0" w:line="240" w:lineRule="auto"/>
        <w:ind w:firstLine="709"/>
        <w:jc w:val="both"/>
        <w:rPr>
          <w:rFonts w:ascii="Times New Roman" w:eastAsia="Times New Roman" w:hAnsi="Times New Roman" w:cs="Times New Roman"/>
          <w:bCs/>
          <w:spacing w:val="3"/>
          <w:kern w:val="36"/>
          <w:sz w:val="24"/>
          <w:szCs w:val="24"/>
          <w:lang w:eastAsia="ru-RU"/>
        </w:rPr>
      </w:pPr>
      <w:r w:rsidRPr="00DF26D2">
        <w:rPr>
          <w:rFonts w:ascii="Times New Roman" w:eastAsia="Times New Roman" w:hAnsi="Times New Roman" w:cs="Times New Roman"/>
          <w:bCs/>
          <w:spacing w:val="3"/>
          <w:kern w:val="36"/>
          <w:sz w:val="24"/>
          <w:szCs w:val="24"/>
          <w:lang w:eastAsia="ru-RU"/>
        </w:rPr>
        <w:t xml:space="preserve">Перспективным направлением развития землепользования является агролесоводство, законодательную основу для развития которого создало Постановление Правительства Российской Федерации от 21 сентября 2020 г. N 1509 г. «Об особенностях использования, охраны, защиты, воспроизводства лесов, расположенных на землях сельскохозяйственного назначения». Созданы возможности для товарного выращивания лесов на сельхозземлях, использования и продажи древесины, организации систем агролесоводства, что особенно актуально для северных регионов. </w:t>
      </w:r>
    </w:p>
    <w:p w:rsidR="002F02E1" w:rsidRPr="00D00EBF" w:rsidRDefault="002F02E1" w:rsidP="008A6C12">
      <w:pPr>
        <w:spacing w:after="0" w:line="240" w:lineRule="auto"/>
        <w:ind w:firstLine="709"/>
        <w:jc w:val="both"/>
        <w:rPr>
          <w:rFonts w:ascii="Times New Roman" w:eastAsia="Times New Roman" w:hAnsi="Times New Roman" w:cs="Times New Roman"/>
          <w:color w:val="202122"/>
          <w:sz w:val="24"/>
          <w:szCs w:val="24"/>
          <w:lang w:eastAsia="ru-RU"/>
        </w:rPr>
      </w:pPr>
      <w:r>
        <w:rPr>
          <w:rFonts w:ascii="Times New Roman" w:eastAsia="Times New Roman" w:hAnsi="Times New Roman" w:cs="Times New Roman"/>
          <w:sz w:val="24"/>
          <w:szCs w:val="24"/>
          <w:lang w:eastAsia="ru-RU"/>
        </w:rPr>
        <w:t>П</w:t>
      </w:r>
      <w:r w:rsidRPr="00DF26D2">
        <w:rPr>
          <w:rFonts w:ascii="Times New Roman" w:eastAsia="Times New Roman" w:hAnsi="Times New Roman" w:cs="Times New Roman"/>
          <w:sz w:val="24"/>
          <w:szCs w:val="24"/>
          <w:lang w:eastAsia="ru-RU"/>
        </w:rPr>
        <w:t xml:space="preserve">рограмма </w:t>
      </w:r>
      <w:r>
        <w:rPr>
          <w:rFonts w:ascii="Times New Roman" w:eastAsia="Times New Roman" w:hAnsi="Times New Roman" w:cs="Times New Roman"/>
          <w:sz w:val="24"/>
          <w:szCs w:val="24"/>
          <w:lang w:eastAsia="ru-RU"/>
        </w:rPr>
        <w:t xml:space="preserve">мелиорации земель, осуществляемая в республике, </w:t>
      </w:r>
      <w:r w:rsidRPr="00DF26D2">
        <w:rPr>
          <w:rFonts w:ascii="Times New Roman" w:eastAsia="Times New Roman" w:hAnsi="Times New Roman" w:cs="Times New Roman"/>
          <w:sz w:val="24"/>
          <w:szCs w:val="24"/>
          <w:lang w:eastAsia="ru-RU"/>
        </w:rPr>
        <w:t>при всей ее важности</w:t>
      </w:r>
      <w:r>
        <w:rPr>
          <w:rFonts w:ascii="Times New Roman" w:eastAsia="Times New Roman" w:hAnsi="Times New Roman" w:cs="Times New Roman"/>
          <w:sz w:val="24"/>
          <w:szCs w:val="24"/>
          <w:lang w:eastAsia="ru-RU"/>
        </w:rPr>
        <w:t xml:space="preserve">, </w:t>
      </w:r>
      <w:r w:rsidR="00D00EBF">
        <w:rPr>
          <w:rFonts w:ascii="Times New Roman" w:eastAsia="Times New Roman" w:hAnsi="Times New Roman" w:cs="Times New Roman"/>
          <w:sz w:val="24"/>
          <w:szCs w:val="24"/>
          <w:lang w:eastAsia="ru-RU"/>
        </w:rPr>
        <w:t xml:space="preserve">не имеет </w:t>
      </w:r>
      <w:r>
        <w:rPr>
          <w:rFonts w:ascii="Times New Roman" w:eastAsia="Times New Roman" w:hAnsi="Times New Roman" w:cs="Times New Roman"/>
          <w:sz w:val="24"/>
          <w:szCs w:val="24"/>
          <w:lang w:eastAsia="ru-RU"/>
        </w:rPr>
        <w:t>достаточного финансирования,</w:t>
      </w:r>
      <w:r w:rsidRPr="00DF26D2">
        <w:rPr>
          <w:rFonts w:ascii="Times New Roman" w:eastAsia="Times New Roman" w:hAnsi="Times New Roman" w:cs="Times New Roman"/>
          <w:sz w:val="24"/>
          <w:szCs w:val="24"/>
          <w:lang w:eastAsia="ru-RU"/>
        </w:rPr>
        <w:t xml:space="preserve"> </w:t>
      </w:r>
      <w:r w:rsidR="00D00EBF">
        <w:rPr>
          <w:rFonts w:ascii="Times New Roman" w:eastAsia="Times New Roman" w:hAnsi="Times New Roman" w:cs="Times New Roman"/>
          <w:sz w:val="24"/>
          <w:szCs w:val="24"/>
          <w:lang w:eastAsia="ru-RU"/>
        </w:rPr>
        <w:t xml:space="preserve">а также </w:t>
      </w:r>
      <w:r w:rsidRPr="00DF26D2">
        <w:rPr>
          <w:rFonts w:ascii="Times New Roman" w:eastAsia="Times New Roman" w:hAnsi="Times New Roman" w:cs="Times New Roman"/>
          <w:sz w:val="24"/>
          <w:szCs w:val="24"/>
          <w:lang w:eastAsia="ru-RU"/>
        </w:rPr>
        <w:t>не содержит элементов ландшафтной и агролесомелиорации.</w:t>
      </w:r>
      <w:r w:rsidRPr="00DF26D2">
        <w:rPr>
          <w:rFonts w:ascii="Times New Roman" w:hAnsi="Times New Roman" w:cs="Times New Roman"/>
          <w:sz w:val="24"/>
          <w:szCs w:val="24"/>
        </w:rPr>
        <w:t xml:space="preserve"> Ландшафтная мелиорация – это улучшение ландшафтов при сельскохозяйственном использовании с целью оптимизации функционального взаимодействия природно-территориальных комплексов и технических (инженерно- и агромелиоративных) систем. Мелиоративные системы должны быть строго дифференцированными и </w:t>
      </w:r>
      <w:r w:rsidRPr="00D00EBF">
        <w:rPr>
          <w:rFonts w:ascii="Times New Roman" w:hAnsi="Times New Roman" w:cs="Times New Roman"/>
          <w:sz w:val="24"/>
          <w:szCs w:val="24"/>
        </w:rPr>
        <w:t>адаптированными к геоморфологическим, геохимическим, геофизическим и другим природным условиям с учетом функционирования бассейновых экосистем в целом и межбассейнового энерго- и массообмена [</w:t>
      </w:r>
      <w:r w:rsidR="00D139DB" w:rsidRPr="00D00EBF">
        <w:rPr>
          <w:rFonts w:ascii="Times New Roman" w:hAnsi="Times New Roman" w:cs="Times New Roman"/>
          <w:sz w:val="24"/>
          <w:szCs w:val="24"/>
        </w:rPr>
        <w:t>1</w:t>
      </w:r>
      <w:r w:rsidRPr="00D00EBF">
        <w:rPr>
          <w:rFonts w:ascii="Times New Roman" w:hAnsi="Times New Roman" w:cs="Times New Roman"/>
          <w:sz w:val="24"/>
          <w:szCs w:val="24"/>
        </w:rPr>
        <w:t xml:space="preserve">]. Агролесомелиорация представляет собой </w:t>
      </w:r>
      <w:r w:rsidRPr="00D00EBF">
        <w:rPr>
          <w:rFonts w:ascii="Times New Roman" w:eastAsia="Times New Roman" w:hAnsi="Times New Roman" w:cs="Times New Roman"/>
          <w:sz w:val="24"/>
          <w:szCs w:val="24"/>
          <w:lang w:eastAsia="ru-RU"/>
        </w:rPr>
        <w:t xml:space="preserve">совокупность лесохозяйственных мероприятий, направленных на улучшение почвенно-гидрологических и климатических условий местности, делающих её более благоприятной для ведения </w:t>
      </w:r>
      <w:hyperlink r:id="rId9" w:history="1">
        <w:r w:rsidRPr="00D00EBF">
          <w:rPr>
            <w:rFonts w:ascii="Times New Roman" w:eastAsia="Times New Roman" w:hAnsi="Times New Roman" w:cs="Times New Roman"/>
            <w:sz w:val="24"/>
            <w:szCs w:val="24"/>
            <w:lang w:eastAsia="ru-RU"/>
          </w:rPr>
          <w:t>сельского хозяйства</w:t>
        </w:r>
      </w:hyperlink>
      <w:r w:rsidRPr="00D00EBF">
        <w:rPr>
          <w:rFonts w:ascii="Times New Roman" w:eastAsia="Times New Roman" w:hAnsi="Times New Roman" w:cs="Times New Roman"/>
          <w:sz w:val="24"/>
          <w:szCs w:val="24"/>
          <w:lang w:eastAsia="ru-RU"/>
        </w:rPr>
        <w:t xml:space="preserve">. Основана на создании полезащитных </w:t>
      </w:r>
      <w:hyperlink r:id="rId10" w:history="1">
        <w:r w:rsidRPr="00D00EBF">
          <w:rPr>
            <w:rFonts w:ascii="Times New Roman" w:eastAsia="Times New Roman" w:hAnsi="Times New Roman" w:cs="Times New Roman"/>
            <w:sz w:val="24"/>
            <w:szCs w:val="24"/>
            <w:lang w:eastAsia="ru-RU"/>
          </w:rPr>
          <w:t>лесных полос</w:t>
        </w:r>
      </w:hyperlink>
      <w:r w:rsidRPr="00D00EBF">
        <w:rPr>
          <w:rFonts w:ascii="Times New Roman" w:eastAsia="Times New Roman" w:hAnsi="Times New Roman" w:cs="Times New Roman"/>
          <w:sz w:val="24"/>
          <w:szCs w:val="24"/>
          <w:lang w:eastAsia="ru-RU"/>
        </w:rPr>
        <w:t xml:space="preserve">, облесении </w:t>
      </w:r>
      <w:hyperlink r:id="rId11" w:history="1">
        <w:r w:rsidRPr="00D00EBF">
          <w:rPr>
            <w:rFonts w:ascii="Times New Roman" w:eastAsia="Times New Roman" w:hAnsi="Times New Roman" w:cs="Times New Roman"/>
            <w:sz w:val="24"/>
            <w:szCs w:val="24"/>
            <w:lang w:eastAsia="ru-RU"/>
          </w:rPr>
          <w:t>оврагов</w:t>
        </w:r>
      </w:hyperlink>
      <w:r w:rsidRPr="00D00EBF">
        <w:rPr>
          <w:rFonts w:ascii="Times New Roman" w:eastAsia="Times New Roman" w:hAnsi="Times New Roman" w:cs="Times New Roman"/>
          <w:sz w:val="24"/>
          <w:szCs w:val="24"/>
          <w:lang w:eastAsia="ru-RU"/>
        </w:rPr>
        <w:t xml:space="preserve">, крутых </w:t>
      </w:r>
      <w:hyperlink r:id="rId12" w:history="1">
        <w:r w:rsidRPr="00D00EBF">
          <w:rPr>
            <w:rFonts w:ascii="Times New Roman" w:eastAsia="Times New Roman" w:hAnsi="Times New Roman" w:cs="Times New Roman"/>
            <w:sz w:val="24"/>
            <w:szCs w:val="24"/>
            <w:lang w:eastAsia="ru-RU"/>
          </w:rPr>
          <w:t>склонов</w:t>
        </w:r>
      </w:hyperlink>
      <w:r w:rsidRPr="00D00EBF">
        <w:rPr>
          <w:rFonts w:ascii="Times New Roman" w:eastAsia="Times New Roman" w:hAnsi="Times New Roman" w:cs="Times New Roman"/>
          <w:sz w:val="24"/>
          <w:szCs w:val="24"/>
          <w:lang w:eastAsia="ru-RU"/>
        </w:rPr>
        <w:t xml:space="preserve"> и </w:t>
      </w:r>
      <w:hyperlink r:id="rId13" w:history="1">
        <w:r w:rsidRPr="00D00EBF">
          <w:rPr>
            <w:rFonts w:ascii="Times New Roman" w:eastAsia="Times New Roman" w:hAnsi="Times New Roman" w:cs="Times New Roman"/>
            <w:sz w:val="24"/>
            <w:szCs w:val="24"/>
            <w:lang w:eastAsia="ru-RU"/>
          </w:rPr>
          <w:t>песков</w:t>
        </w:r>
      </w:hyperlink>
      <w:r w:rsidRPr="00D00EBF">
        <w:rPr>
          <w:rFonts w:ascii="Times New Roman" w:eastAsia="Times New Roman" w:hAnsi="Times New Roman" w:cs="Times New Roman"/>
          <w:sz w:val="24"/>
          <w:szCs w:val="24"/>
          <w:lang w:eastAsia="ru-RU"/>
        </w:rPr>
        <w:t>. Её эффективность зависит от степени соответствия планировки полос условиям местности и от характера самих полос (их высоты, продуваемости и т. п.).</w:t>
      </w:r>
    </w:p>
    <w:p w:rsidR="002F02E1" w:rsidRPr="00D00EBF" w:rsidRDefault="002F02E1" w:rsidP="002F02E1">
      <w:pPr>
        <w:spacing w:after="0" w:line="240" w:lineRule="auto"/>
        <w:ind w:firstLine="709"/>
        <w:jc w:val="both"/>
        <w:rPr>
          <w:rFonts w:ascii="Times New Roman" w:hAnsi="Times New Roman" w:cs="Times New Roman"/>
          <w:sz w:val="24"/>
          <w:szCs w:val="24"/>
        </w:rPr>
      </w:pPr>
      <w:r w:rsidRPr="00D00EBF">
        <w:rPr>
          <w:rFonts w:ascii="Times New Roman" w:hAnsi="Times New Roman" w:cs="Times New Roman"/>
          <w:sz w:val="24"/>
          <w:szCs w:val="24"/>
        </w:rPr>
        <w:lastRenderedPageBreak/>
        <w:t>Агролесомелиорация занимает почти 20 миллионов гектаров в Европе, наиболее широко распространенными являются практики лесоводства и сельских домохозяйств, которые имеют государственную поддержку. При этом специалисты подчеркивают, что для более эффективного контроля за их осуществлением, а также для оценки и разработки будущей политики, целесообразна дальнейшая классификация и оценка масштабов агролесомелиоративных практик, а также необходимо упрощение ряда мер по их поощрению. Огромные потенциальные варианты смягчения последствий изменения климата должны быть сосредоточены на использовании лесопастбищ на лесных землях для уменьшения лесных пожаров и увеличения присутствия древесного компонента на пахотных землях, а также на поощрении лесного хозяйства и домохозяев как форм расширения использования коротких цепочек поставок продукции и расширения связи городских, пригородных и сельских районов в рамках биоэкономики и циркулярной экономики [</w:t>
      </w:r>
      <w:r w:rsidR="00D139DB" w:rsidRPr="00D00EBF">
        <w:rPr>
          <w:rFonts w:ascii="Times New Roman" w:hAnsi="Times New Roman" w:cs="Times New Roman"/>
          <w:sz w:val="24"/>
          <w:szCs w:val="24"/>
        </w:rPr>
        <w:t>4</w:t>
      </w:r>
      <w:r w:rsidRPr="00D00EBF">
        <w:rPr>
          <w:rFonts w:ascii="Times New Roman" w:hAnsi="Times New Roman" w:cs="Times New Roman"/>
          <w:sz w:val="24"/>
          <w:szCs w:val="24"/>
        </w:rPr>
        <w:t>].</w:t>
      </w:r>
    </w:p>
    <w:p w:rsidR="002E11AD" w:rsidRPr="00D00EBF" w:rsidRDefault="002E11AD" w:rsidP="002E11AD">
      <w:pPr>
        <w:tabs>
          <w:tab w:val="left" w:pos="0"/>
        </w:tabs>
        <w:spacing w:after="0" w:line="240" w:lineRule="auto"/>
        <w:ind w:firstLine="709"/>
        <w:jc w:val="both"/>
        <w:rPr>
          <w:rFonts w:ascii="Times New Roman" w:hAnsi="Times New Roman" w:cs="Times New Roman"/>
          <w:color w:val="000000"/>
          <w:sz w:val="24"/>
          <w:szCs w:val="24"/>
        </w:rPr>
      </w:pPr>
      <w:r w:rsidRPr="00D00EBF">
        <w:rPr>
          <w:rFonts w:ascii="Times New Roman" w:hAnsi="Times New Roman" w:cs="Times New Roman"/>
          <w:sz w:val="24"/>
          <w:szCs w:val="24"/>
        </w:rPr>
        <w:t xml:space="preserve">Важным является реализация мероприятий, направленных на </w:t>
      </w:r>
      <w:r w:rsidRPr="00D00EBF">
        <w:rPr>
          <w:rFonts w:ascii="Times New Roman" w:hAnsi="Times New Roman" w:cs="Times New Roman"/>
          <w:color w:val="000000"/>
          <w:sz w:val="24"/>
          <w:szCs w:val="24"/>
        </w:rPr>
        <w:t>возращения заброшенных земель в производство. Причем, учитывая северную специфику сельскохозяйственного производства, следует очень четко определить целесообразность вовлечения земель именно в сельскохозяйственный оборот. В случае отсутствия такой целесообразности, земельные участки могут быть использованы для лесовыращивания.</w:t>
      </w:r>
    </w:p>
    <w:p w:rsidR="00D139DB" w:rsidRPr="00D00EBF" w:rsidRDefault="00D139DB" w:rsidP="00D139DB">
      <w:pPr>
        <w:tabs>
          <w:tab w:val="left" w:pos="0"/>
        </w:tabs>
        <w:spacing w:after="0" w:line="240" w:lineRule="auto"/>
        <w:ind w:firstLine="709"/>
        <w:jc w:val="both"/>
        <w:rPr>
          <w:rFonts w:ascii="Times New Roman" w:hAnsi="Times New Roman" w:cs="Times New Roman"/>
          <w:sz w:val="24"/>
          <w:szCs w:val="24"/>
        </w:rPr>
      </w:pPr>
      <w:r w:rsidRPr="00D00EBF">
        <w:rPr>
          <w:rFonts w:ascii="Times New Roman" w:hAnsi="Times New Roman" w:cs="Times New Roman"/>
          <w:sz w:val="24"/>
          <w:szCs w:val="24"/>
        </w:rPr>
        <w:t xml:space="preserve">Актуальным является использование агроэкологических систем ведения сельского хозяйства, в частности: диверсификация; смешанное выращивание; скрещивание культур; смеси сортов; методы управления средой обитания для биоразнообразия, связанного с сельскохозяйственными культурами; биологическая борьба с вредителями; улучшение структуры и здоровья почвы; биологическая фиксация азота; и переработка питательных веществ, энергии и отходов. </w:t>
      </w:r>
      <w:r w:rsidR="00A11D36" w:rsidRPr="00D00EBF">
        <w:rPr>
          <w:rFonts w:ascii="Times New Roman" w:hAnsi="Times New Roman" w:cs="Times New Roman"/>
          <w:sz w:val="24"/>
          <w:szCs w:val="24"/>
        </w:rPr>
        <w:t>Целесообразно</w:t>
      </w:r>
      <w:r w:rsidR="00974ED0" w:rsidRPr="00D00EBF">
        <w:rPr>
          <w:rFonts w:ascii="Times New Roman" w:hAnsi="Times New Roman" w:cs="Times New Roman"/>
          <w:sz w:val="24"/>
          <w:szCs w:val="24"/>
        </w:rPr>
        <w:t xml:space="preserve"> расширить спектр и усовершенствовать механизм предоставления государственной поддержки по следующим направлениям: </w:t>
      </w:r>
      <w:r w:rsidRPr="00D00EBF">
        <w:rPr>
          <w:rFonts w:ascii="Times New Roman" w:hAnsi="Times New Roman" w:cs="Times New Roman"/>
          <w:sz w:val="24"/>
          <w:szCs w:val="24"/>
        </w:rPr>
        <w:t>развити</w:t>
      </w:r>
      <w:r w:rsidR="008A6C12">
        <w:rPr>
          <w:rFonts w:ascii="Times New Roman" w:hAnsi="Times New Roman" w:cs="Times New Roman"/>
          <w:sz w:val="24"/>
          <w:szCs w:val="24"/>
        </w:rPr>
        <w:t>е агробиологии</w:t>
      </w:r>
      <w:r w:rsidRPr="00D00EBF">
        <w:rPr>
          <w:rFonts w:ascii="Times New Roman" w:hAnsi="Times New Roman" w:cs="Times New Roman"/>
          <w:sz w:val="24"/>
          <w:szCs w:val="24"/>
        </w:rPr>
        <w:t xml:space="preserve">; предоставление субсидий на семена многолетних трав (особенно бобовых), сидеральных культур и медоносов; субсидий на семена местных диких трав, а также субсидий на возмещение затрат на органические удобрения, их изготовление и транспортировку. </w:t>
      </w:r>
      <w:r w:rsidR="00974ED0" w:rsidRPr="00D00EBF">
        <w:rPr>
          <w:rFonts w:ascii="Times New Roman" w:hAnsi="Times New Roman" w:cs="Times New Roman"/>
          <w:sz w:val="24"/>
          <w:szCs w:val="24"/>
        </w:rPr>
        <w:t xml:space="preserve">Субсидии на минеральные удобрения целесообразно пересмотреть с точки зрения их экологичности. </w:t>
      </w:r>
      <w:r w:rsidRPr="00D00EBF">
        <w:rPr>
          <w:rFonts w:ascii="Times New Roman" w:hAnsi="Times New Roman" w:cs="Times New Roman"/>
          <w:sz w:val="24"/>
          <w:szCs w:val="24"/>
        </w:rPr>
        <w:t xml:space="preserve">Целесообразно стимулирование внедрения современных севооборотов и прогрессивных методов обработки почвы. Прогрессивными механизмами устойчивого землепользования является перевод сельскохозяйственного производства на адаптивно-ландшафтную основу и развитие систем агролесоводства. </w:t>
      </w:r>
      <w:r w:rsidR="00D00EBF" w:rsidRPr="00D00EBF">
        <w:rPr>
          <w:rFonts w:ascii="Times New Roman" w:hAnsi="Times New Roman" w:cs="Times New Roman"/>
          <w:sz w:val="24"/>
          <w:szCs w:val="24"/>
        </w:rPr>
        <w:t>Целесообразно стимулирование внедрения современных севооборотов и прогрессивных методов обработки почвы на основе снижения налога за землю и арендной платы (в случае аренды земли).</w:t>
      </w:r>
    </w:p>
    <w:p w:rsidR="00A11D36" w:rsidRPr="00D00EBF" w:rsidRDefault="00A11D36" w:rsidP="00A11D36">
      <w:pPr>
        <w:tabs>
          <w:tab w:val="left" w:pos="0"/>
        </w:tabs>
        <w:spacing w:after="0" w:line="240" w:lineRule="auto"/>
        <w:ind w:firstLine="709"/>
        <w:jc w:val="both"/>
        <w:rPr>
          <w:rFonts w:ascii="Times New Roman" w:hAnsi="Times New Roman" w:cs="Times New Roman"/>
          <w:sz w:val="24"/>
          <w:szCs w:val="24"/>
        </w:rPr>
      </w:pPr>
      <w:r w:rsidRPr="00D00EBF">
        <w:rPr>
          <w:rFonts w:ascii="Times New Roman" w:hAnsi="Times New Roman" w:cs="Times New Roman"/>
          <w:b/>
          <w:sz w:val="24"/>
          <w:szCs w:val="24"/>
        </w:rPr>
        <w:t>Cведения об источнике финансирования.</w:t>
      </w:r>
      <w:r w:rsidRPr="00D00EBF">
        <w:rPr>
          <w:rFonts w:ascii="Times New Roman" w:hAnsi="Times New Roman" w:cs="Times New Roman"/>
          <w:sz w:val="24"/>
          <w:szCs w:val="24"/>
        </w:rPr>
        <w:t xml:space="preserve"> Работа выполнена по теме НИР «Устойчивое ресурсопользование северного региона: факторы и модели» (Номер Государственного учета № 121021800128-8).</w:t>
      </w:r>
    </w:p>
    <w:p w:rsidR="00D00EBF" w:rsidRPr="00D00EBF" w:rsidRDefault="00D00EBF" w:rsidP="00DF26D2">
      <w:pPr>
        <w:spacing w:after="0" w:line="240" w:lineRule="auto"/>
        <w:ind w:firstLine="709"/>
        <w:jc w:val="both"/>
        <w:rPr>
          <w:rFonts w:ascii="Times New Roman" w:hAnsi="Times New Roman" w:cs="Times New Roman"/>
          <w:b/>
          <w:sz w:val="24"/>
          <w:szCs w:val="24"/>
        </w:rPr>
      </w:pPr>
    </w:p>
    <w:p w:rsidR="00974ED0" w:rsidRPr="00D00EBF" w:rsidRDefault="00A11D36" w:rsidP="008A6C12">
      <w:pPr>
        <w:spacing w:after="0" w:line="240" w:lineRule="auto"/>
        <w:ind w:firstLine="709"/>
        <w:jc w:val="center"/>
        <w:rPr>
          <w:rFonts w:ascii="Times New Roman" w:hAnsi="Times New Roman" w:cs="Times New Roman"/>
          <w:b/>
          <w:sz w:val="24"/>
          <w:szCs w:val="24"/>
        </w:rPr>
      </w:pPr>
      <w:r w:rsidRPr="00D00EBF">
        <w:rPr>
          <w:rFonts w:ascii="Times New Roman" w:hAnsi="Times New Roman" w:cs="Times New Roman"/>
          <w:b/>
          <w:sz w:val="24"/>
          <w:szCs w:val="24"/>
        </w:rPr>
        <w:t>Библиографический список</w:t>
      </w:r>
    </w:p>
    <w:p w:rsidR="00697AE6" w:rsidRPr="007A0B5B" w:rsidRDefault="007A0B5B" w:rsidP="007A0B5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r w:rsidR="00697AE6" w:rsidRPr="007A0B5B">
        <w:rPr>
          <w:rFonts w:ascii="Times New Roman" w:hAnsi="Times New Roman" w:cs="Times New Roman"/>
          <w:sz w:val="24"/>
          <w:szCs w:val="24"/>
        </w:rPr>
        <w:t>Кирюшин В.И. Теория адаптивно-ландшафтного земледелия и проектирование агроландшафтов. - М.: КолосС, 2013. - 739с.</w:t>
      </w:r>
    </w:p>
    <w:p w:rsidR="00D00EBF" w:rsidRPr="007A0B5B" w:rsidRDefault="007A0B5B" w:rsidP="007A0B5B">
      <w:pPr>
        <w:tabs>
          <w:tab w:val="left" w:pos="0"/>
        </w:tabs>
        <w:spacing w:after="0" w:line="240" w:lineRule="auto"/>
        <w:jc w:val="both"/>
        <w:rPr>
          <w:rFonts w:ascii="Times New Roman" w:eastAsia="Times New Roman" w:hAnsi="Times New Roman" w:cs="Times New Roman"/>
          <w:sz w:val="24"/>
          <w:szCs w:val="24"/>
          <w:lang w:val="en-US" w:eastAsia="ru-RU"/>
        </w:rPr>
      </w:pPr>
      <w:r>
        <w:rPr>
          <w:rFonts w:ascii="Times New Roman" w:hAnsi="Times New Roman" w:cs="Times New Roman"/>
          <w:sz w:val="24"/>
          <w:szCs w:val="24"/>
        </w:rPr>
        <w:t>2.</w:t>
      </w:r>
      <w:r w:rsidR="00D00EBF" w:rsidRPr="007A0B5B">
        <w:rPr>
          <w:rFonts w:ascii="Times New Roman" w:hAnsi="Times New Roman" w:cs="Times New Roman"/>
          <w:sz w:val="24"/>
          <w:szCs w:val="24"/>
        </w:rPr>
        <w:t xml:space="preserve">Мальцева И.С. «Зеленая» модернизация системы земледелия северного региона // Север и рынок: формирование экономического порядка. </w:t>
      </w:r>
      <w:r w:rsidR="00D00EBF" w:rsidRPr="007A0B5B">
        <w:rPr>
          <w:rFonts w:ascii="Times New Roman" w:hAnsi="Times New Roman" w:cs="Times New Roman"/>
          <w:sz w:val="24"/>
          <w:szCs w:val="24"/>
          <w:lang w:val="en-US"/>
        </w:rPr>
        <w:t xml:space="preserve">2018. № 2. </w:t>
      </w:r>
      <w:r w:rsidR="00D00EBF" w:rsidRPr="007A0B5B">
        <w:rPr>
          <w:rFonts w:ascii="Times New Roman" w:hAnsi="Times New Roman" w:cs="Times New Roman"/>
          <w:sz w:val="24"/>
          <w:szCs w:val="24"/>
        </w:rPr>
        <w:t>С</w:t>
      </w:r>
      <w:r w:rsidR="00D00EBF" w:rsidRPr="007A0B5B">
        <w:rPr>
          <w:rFonts w:ascii="Times New Roman" w:hAnsi="Times New Roman" w:cs="Times New Roman"/>
          <w:sz w:val="24"/>
          <w:szCs w:val="24"/>
          <w:lang w:val="en-US"/>
        </w:rPr>
        <w:t xml:space="preserve">.113-125. </w:t>
      </w:r>
      <w:r w:rsidR="00D00EBF" w:rsidRPr="007A0B5B">
        <w:rPr>
          <w:rFonts w:ascii="Times New Roman" w:eastAsia="Times New Roman" w:hAnsi="Times New Roman" w:cs="Times New Roman"/>
          <w:sz w:val="24"/>
          <w:szCs w:val="24"/>
          <w:lang w:val="en-US" w:eastAsia="ru-RU"/>
        </w:rPr>
        <w:t>DOI: 10.25702/KSC.2220-802X-2-2018-58-113-125.</w:t>
      </w:r>
    </w:p>
    <w:p w:rsidR="00D00EBF" w:rsidRPr="007A0B5B" w:rsidRDefault="007A0B5B" w:rsidP="007A0B5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3.</w:t>
      </w:r>
      <w:r w:rsidR="00D00EBF" w:rsidRPr="007A0B5B">
        <w:rPr>
          <w:rFonts w:ascii="Times New Roman" w:hAnsi="Times New Roman" w:cs="Times New Roman"/>
          <w:sz w:val="24"/>
          <w:szCs w:val="24"/>
          <w:lang w:val="en-US"/>
        </w:rPr>
        <w:t>Kremen C., Merenlender A. M. Landscapes that work for biodiversity and people // Science - 2018. - Vol. 362. Is. 6412</w:t>
      </w:r>
      <w:r w:rsidR="00CD1CEC" w:rsidRPr="007A0B5B">
        <w:rPr>
          <w:rFonts w:ascii="Times New Roman" w:hAnsi="Times New Roman" w:cs="Times New Roman"/>
          <w:sz w:val="24"/>
          <w:szCs w:val="24"/>
          <w:lang w:val="en-US"/>
        </w:rPr>
        <w:t>.</w:t>
      </w:r>
      <w:r w:rsidR="00D00EBF" w:rsidRPr="007A0B5B">
        <w:rPr>
          <w:rFonts w:ascii="Times New Roman" w:hAnsi="Times New Roman" w:cs="Times New Roman"/>
          <w:sz w:val="24"/>
          <w:szCs w:val="24"/>
          <w:lang w:val="en-US"/>
        </w:rPr>
        <w:t xml:space="preserve"> </w:t>
      </w:r>
      <w:r w:rsidR="00346FBB">
        <w:rPr>
          <w:rFonts w:ascii="Times New Roman" w:hAnsi="Times New Roman" w:cs="Times New Roman"/>
          <w:sz w:val="24"/>
          <w:szCs w:val="24"/>
          <w:lang w:val="en-US"/>
        </w:rPr>
        <w:t xml:space="preserve">URL: </w:t>
      </w:r>
      <w:r w:rsidR="00CD1CEC" w:rsidRPr="007A0B5B">
        <w:rPr>
          <w:rFonts w:ascii="Times New Roman" w:hAnsi="Times New Roman" w:cs="Times New Roman"/>
          <w:sz w:val="24"/>
          <w:szCs w:val="24"/>
          <w:lang w:val="en-US"/>
        </w:rPr>
        <w:t xml:space="preserve">https:// </w:t>
      </w:r>
      <w:hyperlink r:id="rId14" w:history="1">
        <w:r w:rsidR="00CD1CEC" w:rsidRPr="007A0B5B">
          <w:rPr>
            <w:rStyle w:val="a9"/>
            <w:rFonts w:ascii="Times New Roman" w:hAnsi="Times New Roman" w:cs="Times New Roman"/>
            <w:color w:val="595959"/>
            <w:sz w:val="24"/>
            <w:szCs w:val="24"/>
            <w:u w:val="none"/>
            <w:shd w:val="clear" w:color="auto" w:fill="FFFFFF"/>
            <w:lang w:val="en-US"/>
          </w:rPr>
          <w:t>DOI: 10.1126/science.aau6020</w:t>
        </w:r>
      </w:hyperlink>
      <w:r w:rsidR="00CD1CEC" w:rsidRPr="007A0B5B">
        <w:rPr>
          <w:rFonts w:ascii="Times New Roman" w:hAnsi="Times New Roman" w:cs="Times New Roman"/>
          <w:sz w:val="24"/>
          <w:szCs w:val="24"/>
          <w:lang w:val="en-US"/>
        </w:rPr>
        <w:t>.</w:t>
      </w:r>
    </w:p>
    <w:p w:rsidR="00697AE6" w:rsidRPr="007A0B5B" w:rsidRDefault="007A0B5B" w:rsidP="007A0B5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4.</w:t>
      </w:r>
      <w:r w:rsidR="00697AE6" w:rsidRPr="007A0B5B">
        <w:rPr>
          <w:rFonts w:ascii="Times New Roman" w:hAnsi="Times New Roman" w:cs="Times New Roman"/>
          <w:sz w:val="24"/>
          <w:szCs w:val="24"/>
          <w:lang w:val="en-US"/>
        </w:rPr>
        <w:t xml:space="preserve">Mosquera-Losada M. R., Santiago-Freijanes J. J., Rois-Díaz M., Moreno G., Herder M. den, Aldrey-Vázquez J. A., Ferreiro-Domínguez, N., Pantera, A., Pisanelli A., Rigueiro-Rodríguez A. Agroforestry in Europe: a land management policy tool to combat climate change // Land Use Policy - 2018. - Vol.78. P. 603 - 613. </w:t>
      </w:r>
      <w:r w:rsidR="00346FBB">
        <w:rPr>
          <w:rFonts w:ascii="Times New Roman" w:hAnsi="Times New Roman" w:cs="Times New Roman"/>
          <w:sz w:val="24"/>
          <w:szCs w:val="24"/>
          <w:lang w:val="en-US"/>
        </w:rPr>
        <w:t xml:space="preserve">URL: </w:t>
      </w:r>
      <w:r w:rsidR="00CC2740" w:rsidRPr="007A0B5B">
        <w:rPr>
          <w:rFonts w:ascii="Times New Roman" w:hAnsi="Times New Roman" w:cs="Times New Roman"/>
          <w:sz w:val="24"/>
          <w:szCs w:val="24"/>
          <w:lang w:val="en-US"/>
        </w:rPr>
        <w:t>https://www.researchgate.net/publication/327057437_Agroforestry_in_Europe_a_land_management_policy_tool_to_combat_climate_change</w:t>
      </w:r>
      <w:r w:rsidR="00CD1CEC" w:rsidRPr="007A0B5B">
        <w:rPr>
          <w:rFonts w:ascii="Times New Roman" w:hAnsi="Times New Roman" w:cs="Times New Roman"/>
          <w:sz w:val="24"/>
          <w:szCs w:val="24"/>
          <w:lang w:val="en-US"/>
        </w:rPr>
        <w:t>.</w:t>
      </w:r>
    </w:p>
    <w:p w:rsidR="00D00EBF" w:rsidRPr="007A0B5B" w:rsidRDefault="007A0B5B" w:rsidP="007A0B5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lastRenderedPageBreak/>
        <w:t>5.</w:t>
      </w:r>
      <w:r w:rsidR="00D00EBF" w:rsidRPr="007A0B5B">
        <w:rPr>
          <w:rFonts w:ascii="Times New Roman" w:hAnsi="Times New Roman" w:cs="Times New Roman"/>
          <w:sz w:val="24"/>
          <w:szCs w:val="24"/>
          <w:lang w:val="en-US"/>
        </w:rPr>
        <w:t>Nair P.K.R. Classification of agroforestry systems // Agroforestry systems - 1985. - Vol. 3. P. 97 - 128.</w:t>
      </w:r>
      <w:r w:rsidR="00346FBB" w:rsidRPr="00346FBB">
        <w:rPr>
          <w:rFonts w:ascii="Times New Roman" w:hAnsi="Times New Roman" w:cs="Times New Roman"/>
          <w:sz w:val="24"/>
          <w:szCs w:val="24"/>
          <w:lang w:val="en-US"/>
        </w:rPr>
        <w:t xml:space="preserve"> </w:t>
      </w:r>
      <w:r w:rsidR="00346FBB">
        <w:rPr>
          <w:rFonts w:ascii="Times New Roman" w:hAnsi="Times New Roman" w:cs="Times New Roman"/>
          <w:sz w:val="24"/>
          <w:szCs w:val="24"/>
          <w:lang w:val="en-US"/>
        </w:rPr>
        <w:t xml:space="preserve">URL: </w:t>
      </w:r>
      <w:r w:rsidR="00D00EBF" w:rsidRPr="007A0B5B">
        <w:rPr>
          <w:rFonts w:ascii="Times New Roman" w:hAnsi="Times New Roman" w:cs="Times New Roman"/>
          <w:sz w:val="24"/>
          <w:szCs w:val="24"/>
          <w:lang w:val="en-US"/>
        </w:rPr>
        <w:t xml:space="preserve"> https://link.springer.com/article/10.1007/BF00122638</w:t>
      </w:r>
      <w:r w:rsidR="00CD1CEC" w:rsidRPr="007A0B5B">
        <w:rPr>
          <w:rFonts w:ascii="Times New Roman" w:hAnsi="Times New Roman" w:cs="Times New Roman"/>
          <w:sz w:val="24"/>
          <w:szCs w:val="24"/>
          <w:lang w:val="en-US"/>
        </w:rPr>
        <w:t>.</w:t>
      </w:r>
    </w:p>
    <w:p w:rsidR="00CC2740" w:rsidRPr="007A0B5B" w:rsidRDefault="007A0B5B" w:rsidP="007A0B5B">
      <w:pPr>
        <w:spacing w:after="0" w:line="240" w:lineRule="auto"/>
        <w:jc w:val="both"/>
        <w:rPr>
          <w:rFonts w:ascii="Times New Roman" w:eastAsia="Times New Roman" w:hAnsi="Times New Roman" w:cs="Times New Roman"/>
          <w:color w:val="2E2E2E"/>
          <w:sz w:val="24"/>
          <w:szCs w:val="24"/>
          <w:lang w:val="en-US" w:eastAsia="ru-RU"/>
        </w:rPr>
      </w:pPr>
      <w:r w:rsidRPr="007A0B5B">
        <w:rPr>
          <w:rFonts w:ascii="Times New Roman" w:hAnsi="Times New Roman" w:cs="Times New Roman"/>
          <w:sz w:val="24"/>
          <w:szCs w:val="24"/>
          <w:lang w:val="en-US"/>
        </w:rPr>
        <w:t>6.</w:t>
      </w:r>
      <w:r w:rsidR="00D00EBF" w:rsidRPr="007A0B5B">
        <w:rPr>
          <w:rFonts w:ascii="Times New Roman" w:hAnsi="Times New Roman" w:cs="Times New Roman"/>
          <w:sz w:val="24"/>
          <w:szCs w:val="24"/>
          <w:lang w:val="en-US"/>
        </w:rPr>
        <w:t>Quinkenstein A., Wöllecke J., Böhm C., Holger Grünewald H., Freese D., Bernd Uwe Schneider B.U., Hüttl R.F. Ecological benefits of the alley cropping  agroforestry system in sensitive regions of Europe // Environmental Science &amp; policy - 2009. - Vol. 12. Is. 8. P. 1112 - 1121.</w:t>
      </w:r>
      <w:r w:rsidR="00CC2740" w:rsidRPr="007A0B5B">
        <w:rPr>
          <w:rFonts w:ascii="Arial" w:hAnsi="Arial" w:cs="Arial"/>
          <w:color w:val="555555"/>
          <w:sz w:val="21"/>
          <w:szCs w:val="21"/>
          <w:shd w:val="clear" w:color="auto" w:fill="FFFFFF"/>
          <w:lang w:val="en-US"/>
        </w:rPr>
        <w:t xml:space="preserve"> </w:t>
      </w:r>
      <w:r w:rsidR="00346FBB">
        <w:rPr>
          <w:rFonts w:ascii="Times New Roman" w:hAnsi="Times New Roman" w:cs="Times New Roman"/>
          <w:sz w:val="24"/>
          <w:szCs w:val="24"/>
          <w:lang w:val="en-US"/>
        </w:rPr>
        <w:t xml:space="preserve">URL: </w:t>
      </w:r>
      <w:r w:rsidR="00CC2740" w:rsidRPr="007A0B5B">
        <w:rPr>
          <w:rFonts w:ascii="Times New Roman" w:hAnsi="Times New Roman" w:cs="Times New Roman"/>
          <w:color w:val="555555"/>
          <w:sz w:val="24"/>
          <w:szCs w:val="24"/>
          <w:shd w:val="clear" w:color="auto" w:fill="FFFFFF"/>
          <w:lang w:val="en-US"/>
        </w:rPr>
        <w:t>https://</w:t>
      </w:r>
      <w:r w:rsidR="00CC2740" w:rsidRPr="007A0B5B">
        <w:rPr>
          <w:rFonts w:ascii="Arial" w:hAnsi="Arial" w:cs="Arial"/>
          <w:color w:val="555555"/>
          <w:sz w:val="21"/>
          <w:szCs w:val="21"/>
          <w:shd w:val="clear" w:color="auto" w:fill="FFFFFF"/>
          <w:lang w:val="en-US"/>
        </w:rPr>
        <w:t xml:space="preserve"> </w:t>
      </w:r>
      <w:r w:rsidR="00CC2740" w:rsidRPr="007A0B5B">
        <w:rPr>
          <w:rFonts w:ascii="Times New Roman" w:hAnsi="Times New Roman" w:cs="Times New Roman"/>
          <w:sz w:val="24"/>
          <w:szCs w:val="24"/>
          <w:shd w:val="clear" w:color="auto" w:fill="FFFFFF"/>
          <w:lang w:val="en-US"/>
        </w:rPr>
        <w:t>DOI:</w:t>
      </w:r>
      <w:hyperlink r:id="rId15" w:tgtFrame="_blank" w:history="1">
        <w:r w:rsidR="00CC2740" w:rsidRPr="007A0B5B">
          <w:rPr>
            <w:rStyle w:val="a9"/>
            <w:rFonts w:ascii="Times New Roman" w:hAnsi="Times New Roman" w:cs="Times New Roman"/>
            <w:color w:val="auto"/>
            <w:sz w:val="24"/>
            <w:szCs w:val="24"/>
            <w:bdr w:val="none" w:sz="0" w:space="0" w:color="auto" w:frame="1"/>
            <w:shd w:val="clear" w:color="auto" w:fill="FFFFFF"/>
            <w:lang w:val="en-US"/>
          </w:rPr>
          <w:t>10.1007/s10457-012-9494-8</w:t>
        </w:r>
      </w:hyperlink>
      <w:r w:rsidR="00CD1CEC" w:rsidRPr="007A0B5B">
        <w:rPr>
          <w:rFonts w:ascii="Times New Roman" w:hAnsi="Times New Roman" w:cs="Times New Roman"/>
          <w:sz w:val="24"/>
          <w:szCs w:val="24"/>
          <w:lang w:val="en-US"/>
        </w:rPr>
        <w:t>.</w:t>
      </w:r>
    </w:p>
    <w:p w:rsidR="00697AE6" w:rsidRPr="007A0B5B" w:rsidRDefault="007A0B5B" w:rsidP="007A0B5B">
      <w:pPr>
        <w:spacing w:after="0" w:line="240" w:lineRule="auto"/>
        <w:jc w:val="both"/>
        <w:rPr>
          <w:rFonts w:ascii="Times New Roman" w:hAnsi="Times New Roman" w:cs="Times New Roman"/>
          <w:sz w:val="24"/>
          <w:szCs w:val="24"/>
        </w:rPr>
      </w:pPr>
      <w:r w:rsidRPr="007A0B5B">
        <w:rPr>
          <w:rFonts w:ascii="Times New Roman" w:hAnsi="Times New Roman" w:cs="Times New Roman"/>
          <w:sz w:val="24"/>
          <w:szCs w:val="24"/>
          <w:lang w:val="en-US"/>
        </w:rPr>
        <w:t>7.</w:t>
      </w:r>
      <w:r w:rsidR="00697AE6" w:rsidRPr="007A0B5B">
        <w:rPr>
          <w:rFonts w:ascii="Times New Roman" w:hAnsi="Times New Roman" w:cs="Times New Roman"/>
          <w:sz w:val="24"/>
          <w:szCs w:val="24"/>
          <w:lang w:val="en-US"/>
        </w:rPr>
        <w:t>Sgarbossa J., Elli E.F., Schwerz F., Nardini C., Cristo E., Oliveira D., Caron B.O.  Morphology, growth and yield of black oats cultivated in agroforestry systems in southern Brazil // Agricultural Systems - 2020. - Vol. 184. 102911.</w:t>
      </w:r>
      <w:r w:rsidR="00CC2740" w:rsidRPr="007A0B5B">
        <w:rPr>
          <w:rFonts w:ascii="Arial" w:eastAsia="Times New Roman" w:hAnsi="Arial" w:cs="Arial"/>
          <w:color w:val="2E2E2E"/>
          <w:sz w:val="24"/>
          <w:szCs w:val="24"/>
          <w:lang w:eastAsia="ru-RU"/>
        </w:rPr>
        <w:t xml:space="preserve"> </w:t>
      </w:r>
      <w:r w:rsidR="00346FBB">
        <w:rPr>
          <w:rFonts w:ascii="Times New Roman" w:hAnsi="Times New Roman" w:cs="Times New Roman"/>
          <w:sz w:val="24"/>
          <w:szCs w:val="24"/>
          <w:lang w:val="en-US"/>
        </w:rPr>
        <w:t xml:space="preserve">URL: </w:t>
      </w:r>
      <w:hyperlink r:id="rId16" w:tgtFrame="_blank" w:tooltip="Persistent link using digital object identifier" w:history="1">
        <w:r w:rsidR="00CC2740" w:rsidRPr="007A0B5B">
          <w:rPr>
            <w:rFonts w:ascii="Times New Roman" w:eastAsia="Times New Roman" w:hAnsi="Times New Roman" w:cs="Times New Roman"/>
            <w:color w:val="2E2E2E"/>
            <w:sz w:val="24"/>
            <w:szCs w:val="24"/>
            <w:lang w:eastAsia="ru-RU"/>
          </w:rPr>
          <w:t>https://doi.org/10.1016/j.agsy.2020.102911</w:t>
        </w:r>
      </w:hyperlink>
      <w:r w:rsidR="00CD1CEC" w:rsidRPr="007A0B5B">
        <w:rPr>
          <w:rFonts w:ascii="Times New Roman" w:eastAsia="Times New Roman" w:hAnsi="Times New Roman" w:cs="Times New Roman"/>
          <w:color w:val="2E2E2E"/>
          <w:sz w:val="24"/>
          <w:szCs w:val="24"/>
          <w:lang w:eastAsia="ru-RU"/>
        </w:rPr>
        <w:t>.</w:t>
      </w:r>
    </w:p>
    <w:p w:rsidR="00697AE6" w:rsidRPr="007A0B5B" w:rsidRDefault="00697AE6" w:rsidP="00D00EBF">
      <w:pPr>
        <w:spacing w:after="0" w:line="240" w:lineRule="auto"/>
        <w:ind w:firstLine="709"/>
        <w:rPr>
          <w:rFonts w:ascii="Times New Roman" w:hAnsi="Times New Roman" w:cs="Times New Roman"/>
          <w:sz w:val="24"/>
          <w:szCs w:val="24"/>
        </w:rPr>
      </w:pPr>
    </w:p>
    <w:p w:rsidR="00D00EBF" w:rsidRPr="007A0B5B" w:rsidRDefault="00D00EBF" w:rsidP="00D00EBF">
      <w:pPr>
        <w:spacing w:after="0" w:line="240" w:lineRule="auto"/>
        <w:jc w:val="center"/>
        <w:rPr>
          <w:rFonts w:ascii="Times New Roman" w:hAnsi="Times New Roman" w:cs="Times New Roman"/>
          <w:b/>
          <w:sz w:val="24"/>
          <w:szCs w:val="24"/>
        </w:rPr>
      </w:pPr>
      <w:r w:rsidRPr="00D00EBF">
        <w:rPr>
          <w:rFonts w:ascii="Times New Roman" w:hAnsi="Times New Roman" w:cs="Times New Roman"/>
          <w:b/>
          <w:sz w:val="24"/>
          <w:szCs w:val="24"/>
        </w:rPr>
        <w:t>Информация об авторе</w:t>
      </w:r>
    </w:p>
    <w:p w:rsidR="00CD1CEC" w:rsidRDefault="00CD1CEC" w:rsidP="00CD1CEC">
      <w:pPr>
        <w:spacing w:after="0" w:line="240" w:lineRule="auto"/>
        <w:jc w:val="both"/>
        <w:rPr>
          <w:rFonts w:ascii="Times New Roman" w:hAnsi="Times New Roman" w:cs="Times New Roman"/>
          <w:sz w:val="24"/>
          <w:szCs w:val="24"/>
        </w:rPr>
      </w:pPr>
      <w:r w:rsidRPr="00D953FE">
        <w:rPr>
          <w:rFonts w:ascii="Times New Roman" w:hAnsi="Times New Roman" w:cs="Times New Roman"/>
          <w:sz w:val="24"/>
          <w:szCs w:val="24"/>
        </w:rPr>
        <w:t>Мальцева Ирина Станиславовна</w:t>
      </w:r>
      <w:r w:rsidRPr="00CD1CEC">
        <w:rPr>
          <w:rFonts w:ascii="Times New Roman" w:hAnsi="Times New Roman" w:cs="Times New Roman"/>
          <w:sz w:val="24"/>
          <w:szCs w:val="24"/>
        </w:rPr>
        <w:t xml:space="preserve"> </w:t>
      </w:r>
      <w:r w:rsidR="007A0B5B">
        <w:rPr>
          <w:rFonts w:ascii="Times New Roman" w:hAnsi="Times New Roman" w:cs="Times New Roman"/>
          <w:sz w:val="24"/>
          <w:szCs w:val="24"/>
        </w:rPr>
        <w:t>(</w:t>
      </w:r>
      <w:r>
        <w:rPr>
          <w:rFonts w:ascii="Times New Roman" w:hAnsi="Times New Roman" w:cs="Times New Roman"/>
          <w:sz w:val="24"/>
          <w:szCs w:val="24"/>
        </w:rPr>
        <w:t>Россия, Сыктывкар)</w:t>
      </w:r>
      <w:r w:rsidRPr="00D953FE">
        <w:rPr>
          <w:rFonts w:ascii="Times New Roman" w:hAnsi="Times New Roman" w:cs="Times New Roman"/>
          <w:sz w:val="24"/>
          <w:szCs w:val="24"/>
        </w:rPr>
        <w:t xml:space="preserve"> </w:t>
      </w:r>
      <w:r w:rsidRPr="00CD1CEC">
        <w:rPr>
          <w:rFonts w:ascii="Times New Roman" w:hAnsi="Times New Roman" w:cs="Times New Roman"/>
          <w:sz w:val="24"/>
          <w:szCs w:val="24"/>
        </w:rPr>
        <w:t xml:space="preserve">– </w:t>
      </w:r>
      <w:r w:rsidRPr="00D953FE">
        <w:rPr>
          <w:rFonts w:ascii="Times New Roman" w:hAnsi="Times New Roman" w:cs="Times New Roman"/>
          <w:sz w:val="24"/>
          <w:szCs w:val="24"/>
        </w:rPr>
        <w:t xml:space="preserve">кандидат экономических наук, старший научный сотрудник. Институт социально-экономических и энергетических проблем Севера </w:t>
      </w:r>
      <w:r w:rsidR="007A0B5B">
        <w:rPr>
          <w:rFonts w:ascii="Times New Roman" w:hAnsi="Times New Roman" w:cs="Times New Roman"/>
          <w:sz w:val="24"/>
          <w:szCs w:val="24"/>
        </w:rPr>
        <w:t>ФИЦ</w:t>
      </w:r>
      <w:r w:rsidRPr="00D953FE">
        <w:rPr>
          <w:rFonts w:ascii="Times New Roman" w:hAnsi="Times New Roman" w:cs="Times New Roman"/>
          <w:sz w:val="24"/>
          <w:szCs w:val="24"/>
        </w:rPr>
        <w:t xml:space="preserve"> Коми научного центра </w:t>
      </w:r>
      <w:r w:rsidR="007A0B5B">
        <w:rPr>
          <w:rFonts w:ascii="Times New Roman" w:hAnsi="Times New Roman" w:cs="Times New Roman"/>
          <w:sz w:val="24"/>
          <w:szCs w:val="24"/>
        </w:rPr>
        <w:t>РАН</w:t>
      </w:r>
      <w:r w:rsidRPr="00D953FE">
        <w:rPr>
          <w:rFonts w:ascii="Times New Roman" w:hAnsi="Times New Roman" w:cs="Times New Roman"/>
          <w:sz w:val="24"/>
          <w:szCs w:val="24"/>
        </w:rPr>
        <w:t>, 167000, Республика Коми, г. Сыктывкар, ул. Коммунистическая, д.26</w:t>
      </w:r>
      <w:r>
        <w:rPr>
          <w:rFonts w:ascii="Times New Roman" w:hAnsi="Times New Roman" w:cs="Times New Roman"/>
          <w:sz w:val="24"/>
          <w:szCs w:val="24"/>
        </w:rPr>
        <w:t xml:space="preserve">, </w:t>
      </w:r>
      <w:r w:rsidRPr="00D953FE">
        <w:rPr>
          <w:rFonts w:ascii="Times New Roman" w:hAnsi="Times New Roman" w:cs="Times New Roman"/>
          <w:sz w:val="24"/>
          <w:szCs w:val="24"/>
        </w:rPr>
        <w:t xml:space="preserve">e-mail: </w:t>
      </w:r>
      <w:hyperlink r:id="rId17" w:history="1">
        <w:r w:rsidR="008A6C12" w:rsidRPr="001A65DD">
          <w:rPr>
            <w:rStyle w:val="a9"/>
            <w:rFonts w:ascii="Times New Roman" w:hAnsi="Times New Roman" w:cs="Times New Roman"/>
            <w:sz w:val="24"/>
            <w:szCs w:val="24"/>
          </w:rPr>
          <w:t>maltseva@iespn.komisc.ru</w:t>
        </w:r>
      </w:hyperlink>
    </w:p>
    <w:p w:rsidR="008A6C12" w:rsidRDefault="008A6C12" w:rsidP="00CD1CEC">
      <w:pPr>
        <w:spacing w:after="0" w:line="240" w:lineRule="auto"/>
        <w:jc w:val="both"/>
      </w:pPr>
    </w:p>
    <w:p w:rsidR="00D00EBF" w:rsidRPr="00346FBB" w:rsidRDefault="007A0B5B" w:rsidP="007A0B5B">
      <w:pPr>
        <w:spacing w:after="0" w:line="240" w:lineRule="auto"/>
        <w:jc w:val="right"/>
        <w:rPr>
          <w:rFonts w:ascii="Times New Roman" w:hAnsi="Times New Roman" w:cs="Times New Roman"/>
          <w:b/>
          <w:sz w:val="24"/>
          <w:szCs w:val="24"/>
          <w:lang w:val="en-US"/>
        </w:rPr>
      </w:pPr>
      <w:r w:rsidRPr="008A6C12">
        <w:rPr>
          <w:rFonts w:ascii="Times New Roman" w:hAnsi="Times New Roman" w:cs="Times New Roman"/>
          <w:b/>
          <w:sz w:val="24"/>
          <w:szCs w:val="24"/>
          <w:lang w:val="en-US"/>
        </w:rPr>
        <w:t>Maltseva I.S.</w:t>
      </w:r>
    </w:p>
    <w:p w:rsidR="00DF4088" w:rsidRPr="00CD1CEC" w:rsidRDefault="00A11D36" w:rsidP="007A0B5B">
      <w:pPr>
        <w:spacing w:after="0" w:line="240" w:lineRule="auto"/>
        <w:jc w:val="center"/>
        <w:rPr>
          <w:rFonts w:ascii="Times New Roman" w:hAnsi="Times New Roman" w:cs="Times New Roman"/>
          <w:b/>
          <w:sz w:val="24"/>
          <w:szCs w:val="24"/>
          <w:lang w:val="en-US"/>
        </w:rPr>
      </w:pPr>
      <w:r w:rsidRPr="00CD1CEC">
        <w:rPr>
          <w:rFonts w:ascii="Times New Roman" w:hAnsi="Times New Roman" w:cs="Times New Roman"/>
          <w:b/>
          <w:sz w:val="24"/>
          <w:szCs w:val="24"/>
          <w:lang w:val="en-US"/>
        </w:rPr>
        <w:t>DIRECTIONS OF DEVELOPMENT OF AGRICULTURAL LAND USE IN THE NORTHERN REGION</w:t>
      </w:r>
    </w:p>
    <w:p w:rsidR="00CD1CEC" w:rsidRDefault="00D953FE" w:rsidP="00A11D36">
      <w:pPr>
        <w:spacing w:after="0" w:line="240" w:lineRule="auto"/>
        <w:jc w:val="both"/>
        <w:rPr>
          <w:rFonts w:ascii="Times New Roman" w:hAnsi="Times New Roman" w:cs="Times New Roman"/>
          <w:sz w:val="24"/>
          <w:szCs w:val="24"/>
          <w:lang w:val="en-US"/>
        </w:rPr>
      </w:pPr>
      <w:r w:rsidRPr="00CD1CEC">
        <w:rPr>
          <w:rFonts w:ascii="Times New Roman" w:hAnsi="Times New Roman" w:cs="Times New Roman"/>
          <w:b/>
          <w:sz w:val="24"/>
          <w:szCs w:val="24"/>
          <w:lang w:val="en-US"/>
        </w:rPr>
        <w:t>Abstrac</w:t>
      </w:r>
      <w:r w:rsidRPr="007A0B5B">
        <w:rPr>
          <w:rFonts w:ascii="Times New Roman" w:hAnsi="Times New Roman" w:cs="Times New Roman"/>
          <w:sz w:val="24"/>
          <w:szCs w:val="24"/>
          <w:lang w:val="en-US"/>
        </w:rPr>
        <w:t>t</w:t>
      </w:r>
      <w:r w:rsidR="007A0B5B" w:rsidRPr="007A0B5B">
        <w:rPr>
          <w:rFonts w:ascii="Times New Roman" w:hAnsi="Times New Roman" w:cs="Times New Roman"/>
          <w:sz w:val="24"/>
          <w:szCs w:val="24"/>
          <w:lang w:val="en-US"/>
        </w:rPr>
        <w:t>.</w:t>
      </w:r>
      <w:r w:rsidRPr="00D953FE">
        <w:rPr>
          <w:rFonts w:ascii="Times New Roman" w:hAnsi="Times New Roman" w:cs="Times New Roman"/>
          <w:sz w:val="24"/>
          <w:szCs w:val="24"/>
          <w:lang w:val="en-US"/>
        </w:rPr>
        <w:t xml:space="preserve"> </w:t>
      </w:r>
      <w:r w:rsidR="00DF4088" w:rsidRPr="007A0B5B">
        <w:rPr>
          <w:rFonts w:ascii="Times New Roman" w:hAnsi="Times New Roman" w:cs="Times New Roman"/>
          <w:i/>
          <w:sz w:val="24"/>
          <w:szCs w:val="24"/>
          <w:lang w:val="en-US"/>
        </w:rPr>
        <w:t>The article assesses the use of agricultural land in the northern region. The expediency of using integrated agricultural production systems that allow more rational use of land resources and increase their fertility is shown</w:t>
      </w:r>
      <w:r w:rsidR="00DF4088" w:rsidRPr="00DF4088">
        <w:rPr>
          <w:rFonts w:ascii="Times New Roman" w:hAnsi="Times New Roman" w:cs="Times New Roman"/>
          <w:sz w:val="24"/>
          <w:szCs w:val="24"/>
          <w:lang w:val="en-US"/>
        </w:rPr>
        <w:t>.</w:t>
      </w:r>
    </w:p>
    <w:p w:rsidR="00A11D36" w:rsidRDefault="00D953FE" w:rsidP="00A11D36">
      <w:pPr>
        <w:spacing w:after="0" w:line="240" w:lineRule="auto"/>
        <w:jc w:val="both"/>
        <w:rPr>
          <w:rFonts w:ascii="Times New Roman" w:hAnsi="Times New Roman" w:cs="Times New Roman"/>
          <w:sz w:val="24"/>
          <w:szCs w:val="24"/>
          <w:lang w:val="en-US"/>
        </w:rPr>
      </w:pPr>
      <w:r w:rsidRPr="00D953FE">
        <w:rPr>
          <w:rFonts w:ascii="Times New Roman" w:hAnsi="Times New Roman" w:cs="Times New Roman"/>
          <w:sz w:val="24"/>
          <w:szCs w:val="24"/>
          <w:lang w:val="en-US"/>
        </w:rPr>
        <w:t xml:space="preserve"> </w:t>
      </w:r>
      <w:r w:rsidRPr="00CD1CEC">
        <w:rPr>
          <w:rFonts w:ascii="Times New Roman" w:hAnsi="Times New Roman" w:cs="Times New Roman"/>
          <w:b/>
          <w:sz w:val="24"/>
          <w:szCs w:val="24"/>
          <w:lang w:val="en-US"/>
        </w:rPr>
        <w:t>Keywords:</w:t>
      </w:r>
      <w:r w:rsidRPr="00D953FE">
        <w:rPr>
          <w:rFonts w:ascii="Times New Roman" w:hAnsi="Times New Roman" w:cs="Times New Roman"/>
          <w:sz w:val="24"/>
          <w:szCs w:val="24"/>
          <w:lang w:val="en-US"/>
        </w:rPr>
        <w:t xml:space="preserve"> </w:t>
      </w:r>
      <w:r w:rsidRPr="00CD1CEC">
        <w:rPr>
          <w:rFonts w:ascii="Times New Roman" w:hAnsi="Times New Roman" w:cs="Times New Roman"/>
          <w:i/>
          <w:sz w:val="24"/>
          <w:szCs w:val="24"/>
          <w:lang w:val="en-US"/>
        </w:rPr>
        <w:t>agricultural land, sustainable land use, Northern region, degradation, directions of rational land use.</w:t>
      </w:r>
      <w:r w:rsidRPr="00D953FE">
        <w:rPr>
          <w:rFonts w:ascii="Times New Roman" w:hAnsi="Times New Roman" w:cs="Times New Roman"/>
          <w:sz w:val="24"/>
          <w:szCs w:val="24"/>
          <w:lang w:val="en-US"/>
        </w:rPr>
        <w:t xml:space="preserve"> </w:t>
      </w:r>
    </w:p>
    <w:p w:rsidR="00CD1CEC" w:rsidRDefault="00CD1CEC" w:rsidP="00A11D36">
      <w:pPr>
        <w:spacing w:after="0" w:line="240" w:lineRule="auto"/>
        <w:jc w:val="both"/>
        <w:rPr>
          <w:rFonts w:ascii="Times New Roman" w:hAnsi="Times New Roman" w:cs="Times New Roman"/>
          <w:sz w:val="24"/>
          <w:szCs w:val="24"/>
          <w:lang w:val="en-US"/>
        </w:rPr>
      </w:pPr>
    </w:p>
    <w:p w:rsidR="00CD1CEC" w:rsidRDefault="00CD1CEC" w:rsidP="00CD1CEC">
      <w:pPr>
        <w:spacing w:after="0" w:line="240" w:lineRule="auto"/>
        <w:jc w:val="both"/>
        <w:rPr>
          <w:rFonts w:ascii="Times New Roman" w:hAnsi="Times New Roman" w:cs="Times New Roman"/>
          <w:sz w:val="24"/>
          <w:szCs w:val="24"/>
          <w:lang w:val="en-US"/>
        </w:rPr>
      </w:pPr>
      <w:r w:rsidRPr="00D953FE">
        <w:rPr>
          <w:rFonts w:ascii="Times New Roman" w:hAnsi="Times New Roman" w:cs="Times New Roman"/>
          <w:sz w:val="24"/>
          <w:szCs w:val="24"/>
          <w:lang w:val="en-US"/>
        </w:rPr>
        <w:t>Maltseva</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Irina</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Stanislavovna</w:t>
      </w:r>
      <w:r w:rsidRPr="00CD1CEC">
        <w:rPr>
          <w:rFonts w:ascii="Times New Roman" w:hAnsi="Times New Roman" w:cs="Times New Roman"/>
          <w:sz w:val="24"/>
          <w:szCs w:val="24"/>
          <w:lang w:val="en-US"/>
        </w:rPr>
        <w:t xml:space="preserve"> (</w:t>
      </w:r>
      <w:r>
        <w:rPr>
          <w:rFonts w:ascii="Times New Roman" w:hAnsi="Times New Roman" w:cs="Times New Roman"/>
          <w:sz w:val="24"/>
          <w:szCs w:val="24"/>
          <w:lang w:val="en-US"/>
        </w:rPr>
        <w:t>Russia</w:t>
      </w:r>
      <w:r w:rsidRPr="00CD1CEC">
        <w:rPr>
          <w:rFonts w:ascii="Times New Roman" w:hAnsi="Times New Roman" w:cs="Times New Roman"/>
          <w:sz w:val="24"/>
          <w:szCs w:val="24"/>
          <w:lang w:val="en-US"/>
        </w:rPr>
        <w:t xml:space="preserve">, </w:t>
      </w:r>
      <w:r>
        <w:rPr>
          <w:rFonts w:ascii="Times New Roman" w:hAnsi="Times New Roman" w:cs="Times New Roman"/>
          <w:sz w:val="24"/>
          <w:szCs w:val="24"/>
          <w:lang w:val="en-US"/>
        </w:rPr>
        <w:t>Syktyvkar</w:t>
      </w:r>
      <w:r w:rsidRPr="00CD1CEC">
        <w:rPr>
          <w:rFonts w:ascii="Times New Roman" w:hAnsi="Times New Roman" w:cs="Times New Roman"/>
          <w:sz w:val="24"/>
          <w:szCs w:val="24"/>
          <w:lang w:val="en-US"/>
        </w:rPr>
        <w:t xml:space="preserve">) – </w:t>
      </w:r>
      <w:r w:rsidRPr="00D953FE">
        <w:rPr>
          <w:rFonts w:ascii="Times New Roman" w:hAnsi="Times New Roman" w:cs="Times New Roman"/>
          <w:sz w:val="24"/>
          <w:szCs w:val="24"/>
          <w:lang w:val="en-US"/>
        </w:rPr>
        <w:t>PhD</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in</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economics</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senior</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researcher</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Institute of socio-economic and energy problems of the North Federal research center Komi scientific centre of Ural branch of Russian Academy of Sciences. 26 Kommunisticheskaya str., S</w:t>
      </w:r>
      <w:r>
        <w:rPr>
          <w:rFonts w:ascii="Times New Roman" w:hAnsi="Times New Roman" w:cs="Times New Roman"/>
          <w:sz w:val="24"/>
          <w:szCs w:val="24"/>
          <w:lang w:val="en-US"/>
        </w:rPr>
        <w:t>yktyvkar, Komi Republic, 167000.</w:t>
      </w:r>
      <w:r w:rsidRPr="00D953FE">
        <w:rPr>
          <w:rFonts w:ascii="Times New Roman" w:hAnsi="Times New Roman" w:cs="Times New Roman"/>
          <w:sz w:val="24"/>
          <w:szCs w:val="24"/>
          <w:lang w:val="en-US"/>
        </w:rPr>
        <w:t xml:space="preserve"> e</w:t>
      </w:r>
      <w:r w:rsidRPr="00CD1CEC">
        <w:rPr>
          <w:rFonts w:ascii="Times New Roman" w:hAnsi="Times New Roman" w:cs="Times New Roman"/>
          <w:sz w:val="24"/>
          <w:szCs w:val="24"/>
          <w:lang w:val="en-US"/>
        </w:rPr>
        <w:t>-</w:t>
      </w:r>
      <w:r w:rsidRPr="00D953FE">
        <w:rPr>
          <w:rFonts w:ascii="Times New Roman" w:hAnsi="Times New Roman" w:cs="Times New Roman"/>
          <w:sz w:val="24"/>
          <w:szCs w:val="24"/>
          <w:lang w:val="en-US"/>
        </w:rPr>
        <w:t>mail</w:t>
      </w:r>
      <w:r w:rsidRPr="00CD1CEC">
        <w:rPr>
          <w:rFonts w:ascii="Times New Roman" w:hAnsi="Times New Roman" w:cs="Times New Roman"/>
          <w:sz w:val="24"/>
          <w:szCs w:val="24"/>
          <w:lang w:val="en-US"/>
        </w:rPr>
        <w:t xml:space="preserve">: </w:t>
      </w:r>
      <w:r w:rsidRPr="00D953FE">
        <w:rPr>
          <w:rFonts w:ascii="Times New Roman" w:hAnsi="Times New Roman" w:cs="Times New Roman"/>
          <w:sz w:val="24"/>
          <w:szCs w:val="24"/>
          <w:lang w:val="en-US"/>
        </w:rPr>
        <w:t>maltseva</w:t>
      </w:r>
      <w:r w:rsidRPr="00CD1CEC">
        <w:rPr>
          <w:rFonts w:ascii="Times New Roman" w:hAnsi="Times New Roman" w:cs="Times New Roman"/>
          <w:sz w:val="24"/>
          <w:szCs w:val="24"/>
          <w:lang w:val="en-US"/>
        </w:rPr>
        <w:t>@</w:t>
      </w:r>
      <w:r w:rsidRPr="00D953FE">
        <w:rPr>
          <w:rFonts w:ascii="Times New Roman" w:hAnsi="Times New Roman" w:cs="Times New Roman"/>
          <w:sz w:val="24"/>
          <w:szCs w:val="24"/>
          <w:lang w:val="en-US"/>
        </w:rPr>
        <w:t>iespn</w:t>
      </w:r>
      <w:r w:rsidRPr="00CD1CEC">
        <w:rPr>
          <w:rFonts w:ascii="Times New Roman" w:hAnsi="Times New Roman" w:cs="Times New Roman"/>
          <w:sz w:val="24"/>
          <w:szCs w:val="24"/>
          <w:lang w:val="en-US"/>
        </w:rPr>
        <w:t>.</w:t>
      </w:r>
      <w:r w:rsidRPr="00D953FE">
        <w:rPr>
          <w:rFonts w:ascii="Times New Roman" w:hAnsi="Times New Roman" w:cs="Times New Roman"/>
          <w:sz w:val="24"/>
          <w:szCs w:val="24"/>
          <w:lang w:val="en-US"/>
        </w:rPr>
        <w:t>komisc</w:t>
      </w:r>
      <w:r w:rsidRPr="00CD1CEC">
        <w:rPr>
          <w:rFonts w:ascii="Times New Roman" w:hAnsi="Times New Roman" w:cs="Times New Roman"/>
          <w:sz w:val="24"/>
          <w:szCs w:val="24"/>
          <w:lang w:val="en-US"/>
        </w:rPr>
        <w:t>.</w:t>
      </w:r>
      <w:r w:rsidRPr="00D953FE">
        <w:rPr>
          <w:rFonts w:ascii="Times New Roman" w:hAnsi="Times New Roman" w:cs="Times New Roman"/>
          <w:sz w:val="24"/>
          <w:szCs w:val="24"/>
          <w:lang w:val="en-US"/>
        </w:rPr>
        <w:t>ru</w:t>
      </w:r>
    </w:p>
    <w:p w:rsidR="00CD1CEC" w:rsidRDefault="00CD1CEC">
      <w:pPr>
        <w:spacing w:after="0" w:line="240" w:lineRule="auto"/>
        <w:jc w:val="both"/>
        <w:rPr>
          <w:lang w:val="en-US"/>
        </w:rPr>
      </w:pPr>
    </w:p>
    <w:p w:rsidR="007A0B5B" w:rsidRPr="007A0B5B" w:rsidRDefault="007A0B5B" w:rsidP="007A0B5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 xml:space="preserve">1. Kiryushin V.I. Theory of adaptive landscape farming and design of agricultural landscapes. - M.: KolosS, 2013. </w:t>
      </w:r>
      <w:r>
        <w:rPr>
          <w:rFonts w:ascii="Times New Roman" w:hAnsi="Times New Roman" w:cs="Times New Roman"/>
          <w:sz w:val="24"/>
          <w:szCs w:val="24"/>
          <w:lang w:val="en-US"/>
        </w:rPr>
        <w:t>–</w:t>
      </w:r>
      <w:r w:rsidRPr="007A0B5B">
        <w:rPr>
          <w:rFonts w:ascii="Times New Roman" w:hAnsi="Times New Roman" w:cs="Times New Roman"/>
          <w:sz w:val="24"/>
          <w:szCs w:val="24"/>
          <w:lang w:val="en-US"/>
        </w:rPr>
        <w:t xml:space="preserve"> 739</w:t>
      </w:r>
      <w:r>
        <w:rPr>
          <w:rFonts w:ascii="Times New Roman" w:hAnsi="Times New Roman" w:cs="Times New Roman"/>
          <w:sz w:val="24"/>
          <w:szCs w:val="24"/>
          <w:lang w:val="en-US"/>
        </w:rPr>
        <w:t>p</w:t>
      </w:r>
      <w:r w:rsidRPr="007A0B5B">
        <w:rPr>
          <w:rFonts w:ascii="Times New Roman" w:hAnsi="Times New Roman" w:cs="Times New Roman"/>
          <w:sz w:val="24"/>
          <w:szCs w:val="24"/>
          <w:lang w:val="en-US"/>
        </w:rPr>
        <w:t>.</w:t>
      </w:r>
    </w:p>
    <w:p w:rsidR="007A0B5B" w:rsidRPr="007A0B5B" w:rsidRDefault="007A0B5B" w:rsidP="007A0B5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 xml:space="preserve">2. Maltseva I.S. "Green" modernization of the farming system of the northern region // The North and the market: the formation of an economic order. 2018. No. 2. </w:t>
      </w:r>
      <w:r>
        <w:rPr>
          <w:rFonts w:ascii="Times New Roman" w:hAnsi="Times New Roman" w:cs="Times New Roman"/>
          <w:sz w:val="24"/>
          <w:szCs w:val="24"/>
          <w:lang w:val="en-US"/>
        </w:rPr>
        <w:t>P</w:t>
      </w:r>
      <w:r w:rsidRPr="007A0B5B">
        <w:rPr>
          <w:rFonts w:ascii="Times New Roman" w:hAnsi="Times New Roman" w:cs="Times New Roman"/>
          <w:sz w:val="24"/>
          <w:szCs w:val="24"/>
          <w:lang w:val="en-US"/>
        </w:rPr>
        <w:t>.113-125.</w:t>
      </w:r>
    </w:p>
    <w:p w:rsidR="00346FBB" w:rsidRPr="007A0B5B" w:rsidRDefault="00346FBB" w:rsidP="00346FB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 xml:space="preserve">3.Kremen C., Merenlender A. M. Landscapes that work for biodiversity and people // Science - 2018. - Vol. 362. Is. 6412. </w:t>
      </w:r>
      <w:r>
        <w:rPr>
          <w:rFonts w:ascii="Times New Roman" w:hAnsi="Times New Roman" w:cs="Times New Roman"/>
          <w:sz w:val="24"/>
          <w:szCs w:val="24"/>
          <w:lang w:val="en-US"/>
        </w:rPr>
        <w:t xml:space="preserve">URL: </w:t>
      </w:r>
      <w:r w:rsidRPr="007A0B5B">
        <w:rPr>
          <w:rFonts w:ascii="Times New Roman" w:hAnsi="Times New Roman" w:cs="Times New Roman"/>
          <w:sz w:val="24"/>
          <w:szCs w:val="24"/>
          <w:lang w:val="en-US"/>
        </w:rPr>
        <w:t xml:space="preserve">https:// </w:t>
      </w:r>
      <w:hyperlink r:id="rId18" w:history="1">
        <w:r w:rsidRPr="007A0B5B">
          <w:rPr>
            <w:rStyle w:val="a9"/>
            <w:rFonts w:ascii="Times New Roman" w:hAnsi="Times New Roman" w:cs="Times New Roman"/>
            <w:color w:val="595959"/>
            <w:sz w:val="24"/>
            <w:szCs w:val="24"/>
            <w:u w:val="none"/>
            <w:shd w:val="clear" w:color="auto" w:fill="FFFFFF"/>
            <w:lang w:val="en-US"/>
          </w:rPr>
          <w:t>DOI: 10.1126/science.aau6020</w:t>
        </w:r>
      </w:hyperlink>
      <w:r w:rsidRPr="007A0B5B">
        <w:rPr>
          <w:rFonts w:ascii="Times New Roman" w:hAnsi="Times New Roman" w:cs="Times New Roman"/>
          <w:sz w:val="24"/>
          <w:szCs w:val="24"/>
          <w:lang w:val="en-US"/>
        </w:rPr>
        <w:t>.</w:t>
      </w:r>
    </w:p>
    <w:p w:rsidR="00346FBB" w:rsidRPr="007A0B5B" w:rsidRDefault="00346FBB" w:rsidP="00346FB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 xml:space="preserve">4.Mosquera-Losada M. R., Santiago-Freijanes J. J., Rois-Díaz M., Moreno G., Herder M. den, Aldrey-Vázquez J. A., Ferreiro-Domínguez, N., Pantera, A., Pisanelli A., Rigueiro-Rodríguez A. Agroforestry in Europe: a land management policy tool to combat climate change // Land Use Policy - 2018. - Vol.78. P. 603 - 613. </w:t>
      </w:r>
      <w:r>
        <w:rPr>
          <w:rFonts w:ascii="Times New Roman" w:hAnsi="Times New Roman" w:cs="Times New Roman"/>
          <w:sz w:val="24"/>
          <w:szCs w:val="24"/>
          <w:lang w:val="en-US"/>
        </w:rPr>
        <w:t xml:space="preserve">URL: </w:t>
      </w:r>
      <w:r w:rsidRPr="007A0B5B">
        <w:rPr>
          <w:rFonts w:ascii="Times New Roman" w:hAnsi="Times New Roman" w:cs="Times New Roman"/>
          <w:sz w:val="24"/>
          <w:szCs w:val="24"/>
          <w:lang w:val="en-US"/>
        </w:rPr>
        <w:t>https://www.researchgate.net/publication/327057437_Agroforestry_in_Europe_a_land_management_policy_tool_to_combat_climate_change.</w:t>
      </w:r>
    </w:p>
    <w:p w:rsidR="00346FBB" w:rsidRPr="007A0B5B" w:rsidRDefault="00346FBB" w:rsidP="00346FBB">
      <w:pPr>
        <w:spacing w:after="0" w:line="240" w:lineRule="auto"/>
        <w:jc w:val="both"/>
        <w:rPr>
          <w:rFonts w:ascii="Times New Roman" w:hAnsi="Times New Roman" w:cs="Times New Roman"/>
          <w:sz w:val="24"/>
          <w:szCs w:val="24"/>
          <w:lang w:val="en-US"/>
        </w:rPr>
      </w:pPr>
      <w:r w:rsidRPr="007A0B5B">
        <w:rPr>
          <w:rFonts w:ascii="Times New Roman" w:hAnsi="Times New Roman" w:cs="Times New Roman"/>
          <w:sz w:val="24"/>
          <w:szCs w:val="24"/>
          <w:lang w:val="en-US"/>
        </w:rPr>
        <w:t>5.Nair P.K.R. Classification of agroforestry systems // Agroforestry systems - 1985. - Vol. 3. P. 97 - 128.</w:t>
      </w:r>
      <w:r w:rsidRPr="00346FB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URL: </w:t>
      </w:r>
      <w:r w:rsidRPr="007A0B5B">
        <w:rPr>
          <w:rFonts w:ascii="Times New Roman" w:hAnsi="Times New Roman" w:cs="Times New Roman"/>
          <w:sz w:val="24"/>
          <w:szCs w:val="24"/>
          <w:lang w:val="en-US"/>
        </w:rPr>
        <w:t xml:space="preserve"> https://link.springer.com/article/10.1007/BF00122638.</w:t>
      </w:r>
    </w:p>
    <w:p w:rsidR="00346FBB" w:rsidRPr="007A0B5B" w:rsidRDefault="00346FBB" w:rsidP="00346FBB">
      <w:pPr>
        <w:spacing w:after="0" w:line="240" w:lineRule="auto"/>
        <w:jc w:val="both"/>
        <w:rPr>
          <w:rFonts w:ascii="Times New Roman" w:eastAsia="Times New Roman" w:hAnsi="Times New Roman" w:cs="Times New Roman"/>
          <w:color w:val="2E2E2E"/>
          <w:sz w:val="24"/>
          <w:szCs w:val="24"/>
          <w:lang w:val="en-US" w:eastAsia="ru-RU"/>
        </w:rPr>
      </w:pPr>
      <w:r w:rsidRPr="007A0B5B">
        <w:rPr>
          <w:rFonts w:ascii="Times New Roman" w:hAnsi="Times New Roman" w:cs="Times New Roman"/>
          <w:sz w:val="24"/>
          <w:szCs w:val="24"/>
          <w:lang w:val="en-US"/>
        </w:rPr>
        <w:t>6.Quinkenstein A., Wöllecke J., Böhm C., Holger Grünewald H., Freese D., Bernd Uwe Schneider B.U., Hüttl R.F. Ecological benefits of the alley cropping  agroforestry system in sensitive regions of Europe // Environmental Science &amp; policy - 2009. - Vol. 12. Is. 8. P. 1112 - 1121.</w:t>
      </w:r>
      <w:r w:rsidRPr="007A0B5B">
        <w:rPr>
          <w:rFonts w:ascii="Arial" w:hAnsi="Arial" w:cs="Arial"/>
          <w:color w:val="555555"/>
          <w:sz w:val="21"/>
          <w:szCs w:val="21"/>
          <w:shd w:val="clear" w:color="auto" w:fill="FFFFFF"/>
          <w:lang w:val="en-US"/>
        </w:rPr>
        <w:t xml:space="preserve"> </w:t>
      </w:r>
      <w:r>
        <w:rPr>
          <w:rFonts w:ascii="Times New Roman" w:hAnsi="Times New Roman" w:cs="Times New Roman"/>
          <w:sz w:val="24"/>
          <w:szCs w:val="24"/>
          <w:lang w:val="en-US"/>
        </w:rPr>
        <w:t xml:space="preserve">URL: </w:t>
      </w:r>
      <w:r w:rsidRPr="007A0B5B">
        <w:rPr>
          <w:rFonts w:ascii="Times New Roman" w:hAnsi="Times New Roman" w:cs="Times New Roman"/>
          <w:color w:val="555555"/>
          <w:sz w:val="24"/>
          <w:szCs w:val="24"/>
          <w:shd w:val="clear" w:color="auto" w:fill="FFFFFF"/>
          <w:lang w:val="en-US"/>
        </w:rPr>
        <w:t>https://</w:t>
      </w:r>
      <w:r w:rsidRPr="007A0B5B">
        <w:rPr>
          <w:rFonts w:ascii="Arial" w:hAnsi="Arial" w:cs="Arial"/>
          <w:color w:val="555555"/>
          <w:sz w:val="21"/>
          <w:szCs w:val="21"/>
          <w:shd w:val="clear" w:color="auto" w:fill="FFFFFF"/>
          <w:lang w:val="en-US"/>
        </w:rPr>
        <w:t xml:space="preserve"> </w:t>
      </w:r>
      <w:r w:rsidRPr="007A0B5B">
        <w:rPr>
          <w:rFonts w:ascii="Times New Roman" w:hAnsi="Times New Roman" w:cs="Times New Roman"/>
          <w:sz w:val="24"/>
          <w:szCs w:val="24"/>
          <w:shd w:val="clear" w:color="auto" w:fill="FFFFFF"/>
          <w:lang w:val="en-US"/>
        </w:rPr>
        <w:t>DOI:</w:t>
      </w:r>
      <w:hyperlink r:id="rId19" w:tgtFrame="_blank" w:history="1">
        <w:r w:rsidRPr="007A0B5B">
          <w:rPr>
            <w:rStyle w:val="a9"/>
            <w:rFonts w:ascii="Times New Roman" w:hAnsi="Times New Roman" w:cs="Times New Roman"/>
            <w:color w:val="auto"/>
            <w:sz w:val="24"/>
            <w:szCs w:val="24"/>
            <w:bdr w:val="none" w:sz="0" w:space="0" w:color="auto" w:frame="1"/>
            <w:shd w:val="clear" w:color="auto" w:fill="FFFFFF"/>
            <w:lang w:val="en-US"/>
          </w:rPr>
          <w:t>10.1007/s10457-012-9494-8</w:t>
        </w:r>
      </w:hyperlink>
      <w:r w:rsidRPr="007A0B5B">
        <w:rPr>
          <w:rFonts w:ascii="Times New Roman" w:hAnsi="Times New Roman" w:cs="Times New Roman"/>
          <w:sz w:val="24"/>
          <w:szCs w:val="24"/>
          <w:lang w:val="en-US"/>
        </w:rPr>
        <w:t>.</w:t>
      </w:r>
    </w:p>
    <w:p w:rsidR="00346FBB" w:rsidRPr="007A0B5B" w:rsidRDefault="00346FBB" w:rsidP="00346FBB">
      <w:pPr>
        <w:spacing w:after="0" w:line="240" w:lineRule="auto"/>
        <w:jc w:val="both"/>
        <w:rPr>
          <w:rFonts w:ascii="Times New Roman" w:hAnsi="Times New Roman" w:cs="Times New Roman"/>
          <w:sz w:val="24"/>
          <w:szCs w:val="24"/>
        </w:rPr>
      </w:pPr>
      <w:r w:rsidRPr="007A0B5B">
        <w:rPr>
          <w:rFonts w:ascii="Times New Roman" w:hAnsi="Times New Roman" w:cs="Times New Roman"/>
          <w:sz w:val="24"/>
          <w:szCs w:val="24"/>
          <w:lang w:val="en-US"/>
        </w:rPr>
        <w:t>7.Sgarbossa J., Elli E.F., Schwerz F., Nardini C., Cristo E., Oliveira D., Caron B.O.  Morphology, growth and yield of black oats cultivated in agroforestry systems in southern Brazil // Agricultural Systems - 2020. - Vol. 184. 102911.</w:t>
      </w:r>
      <w:r w:rsidRPr="007A0B5B">
        <w:rPr>
          <w:rFonts w:ascii="Arial" w:eastAsia="Times New Roman" w:hAnsi="Arial" w:cs="Arial"/>
          <w:color w:val="2E2E2E"/>
          <w:sz w:val="24"/>
          <w:szCs w:val="24"/>
          <w:lang w:eastAsia="ru-RU"/>
        </w:rPr>
        <w:t xml:space="preserve"> </w:t>
      </w:r>
      <w:r>
        <w:rPr>
          <w:rFonts w:ascii="Times New Roman" w:hAnsi="Times New Roman" w:cs="Times New Roman"/>
          <w:sz w:val="24"/>
          <w:szCs w:val="24"/>
          <w:lang w:val="en-US"/>
        </w:rPr>
        <w:t xml:space="preserve">URL: </w:t>
      </w:r>
      <w:hyperlink r:id="rId20" w:tgtFrame="_blank" w:tooltip="Persistent link using digital object identifier" w:history="1">
        <w:r w:rsidRPr="007A0B5B">
          <w:rPr>
            <w:rFonts w:ascii="Times New Roman" w:eastAsia="Times New Roman" w:hAnsi="Times New Roman" w:cs="Times New Roman"/>
            <w:color w:val="2E2E2E"/>
            <w:sz w:val="24"/>
            <w:szCs w:val="24"/>
            <w:lang w:eastAsia="ru-RU"/>
          </w:rPr>
          <w:t>https://doi.org/10.1016/j.agsy.2020.102911</w:t>
        </w:r>
      </w:hyperlink>
      <w:r w:rsidRPr="007A0B5B">
        <w:rPr>
          <w:rFonts w:ascii="Times New Roman" w:eastAsia="Times New Roman" w:hAnsi="Times New Roman" w:cs="Times New Roman"/>
          <w:color w:val="2E2E2E"/>
          <w:sz w:val="24"/>
          <w:szCs w:val="24"/>
          <w:lang w:eastAsia="ru-RU"/>
        </w:rPr>
        <w:t>.</w:t>
      </w:r>
    </w:p>
    <w:p w:rsidR="007A0B5B" w:rsidRPr="00346FBB" w:rsidRDefault="007A0B5B" w:rsidP="00346FBB">
      <w:pPr>
        <w:spacing w:after="0" w:line="240" w:lineRule="auto"/>
        <w:jc w:val="both"/>
      </w:pPr>
    </w:p>
    <w:sectPr w:rsidR="007A0B5B" w:rsidRPr="00346FBB" w:rsidSect="00DF26D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5297" w:rsidRDefault="00725297" w:rsidP="00DF26D2">
      <w:pPr>
        <w:spacing w:after="0" w:line="240" w:lineRule="auto"/>
      </w:pPr>
      <w:r>
        <w:separator/>
      </w:r>
    </w:p>
  </w:endnote>
  <w:endnote w:type="continuationSeparator" w:id="0">
    <w:p w:rsidR="00725297" w:rsidRDefault="00725297" w:rsidP="00DF26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5297" w:rsidRDefault="00725297" w:rsidP="00DF26D2">
      <w:pPr>
        <w:spacing w:after="0" w:line="240" w:lineRule="auto"/>
      </w:pPr>
      <w:r>
        <w:separator/>
      </w:r>
    </w:p>
  </w:footnote>
  <w:footnote w:type="continuationSeparator" w:id="0">
    <w:p w:rsidR="00725297" w:rsidRDefault="00725297" w:rsidP="00DF26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3D3F95"/>
    <w:multiLevelType w:val="hybridMultilevel"/>
    <w:tmpl w:val="CB1C6A4C"/>
    <w:lvl w:ilvl="0" w:tplc="0419000F">
      <w:start w:val="1"/>
      <w:numFmt w:val="decimal"/>
      <w:lvlText w:val="%1."/>
      <w:lvlJc w:val="left"/>
      <w:pPr>
        <w:ind w:left="1211"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4326B9E"/>
    <w:multiLevelType w:val="hybridMultilevel"/>
    <w:tmpl w:val="42FE85F0"/>
    <w:lvl w:ilvl="0" w:tplc="E550E358">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AE6"/>
    <w:rsid w:val="00031163"/>
    <w:rsid w:val="0009180B"/>
    <w:rsid w:val="000A7188"/>
    <w:rsid w:val="00251A6C"/>
    <w:rsid w:val="00266C1F"/>
    <w:rsid w:val="002E11AD"/>
    <w:rsid w:val="002F02E1"/>
    <w:rsid w:val="0034040C"/>
    <w:rsid w:val="00346FBB"/>
    <w:rsid w:val="00697AE6"/>
    <w:rsid w:val="006C41B9"/>
    <w:rsid w:val="00725297"/>
    <w:rsid w:val="007908AD"/>
    <w:rsid w:val="007A0B5B"/>
    <w:rsid w:val="008075AE"/>
    <w:rsid w:val="008768ED"/>
    <w:rsid w:val="008A6C12"/>
    <w:rsid w:val="00974ED0"/>
    <w:rsid w:val="00A11D36"/>
    <w:rsid w:val="00A50B03"/>
    <w:rsid w:val="00AA3529"/>
    <w:rsid w:val="00AF72BB"/>
    <w:rsid w:val="00B12FEF"/>
    <w:rsid w:val="00C220CD"/>
    <w:rsid w:val="00CC2740"/>
    <w:rsid w:val="00CD0468"/>
    <w:rsid w:val="00CD1CEC"/>
    <w:rsid w:val="00D00EBF"/>
    <w:rsid w:val="00D139DB"/>
    <w:rsid w:val="00D953FE"/>
    <w:rsid w:val="00DF26D2"/>
    <w:rsid w:val="00DF4088"/>
    <w:rsid w:val="00E92989"/>
    <w:rsid w:val="00ED21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F8E8DA-A8B1-461D-A3C0-52E57EC33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Знак Знак Знак,Знак Знак Знак Знак Знак Знак,Знак Знак Знак Знак Знак,Знак Знак Знак Знак1 Знак,Знак Знак,Знак Знак Знак Знак Знак1,Знак Знак1,Знак Знак Знак Знак1,Знак,Текст сноски Знак Знак Знак Зн,Текст сноски-FN"/>
    <w:basedOn w:val="a"/>
    <w:link w:val="a4"/>
    <w:uiPriority w:val="99"/>
    <w:unhideWhenUsed/>
    <w:rsid w:val="00DF26D2"/>
    <w:pPr>
      <w:spacing w:after="0" w:line="240" w:lineRule="auto"/>
    </w:pPr>
    <w:rPr>
      <w:sz w:val="20"/>
      <w:szCs w:val="20"/>
    </w:rPr>
  </w:style>
  <w:style w:type="character" w:customStyle="1" w:styleId="a4">
    <w:name w:val="Текст сноски Знак"/>
    <w:aliases w:val="Текст сноски Знак Знак Знак,Знак Знак Знак Знак,Знак Знак Знак Знак Знак Знак Знак,Знак Знак Знак Знак Знак Знак1,Знак Знак Знак Знак1 Знак Знак,Знак Знак Знак1,Знак Знак Знак Знак Знак1 Знак,Знак Знак1 Знак,Знак Знак Знак Знак1 Знак1"/>
    <w:basedOn w:val="a0"/>
    <w:link w:val="a3"/>
    <w:uiPriority w:val="99"/>
    <w:rsid w:val="00DF26D2"/>
    <w:rPr>
      <w:sz w:val="20"/>
      <w:szCs w:val="20"/>
    </w:rPr>
  </w:style>
  <w:style w:type="character" w:styleId="a5">
    <w:name w:val="footnote reference"/>
    <w:basedOn w:val="a0"/>
    <w:uiPriority w:val="99"/>
    <w:semiHidden/>
    <w:unhideWhenUsed/>
    <w:rsid w:val="00DF26D2"/>
    <w:rPr>
      <w:vertAlign w:val="superscript"/>
    </w:rPr>
  </w:style>
  <w:style w:type="paragraph" w:styleId="a6">
    <w:name w:val="Balloon Text"/>
    <w:basedOn w:val="a"/>
    <w:link w:val="a7"/>
    <w:uiPriority w:val="99"/>
    <w:semiHidden/>
    <w:unhideWhenUsed/>
    <w:rsid w:val="007908AD"/>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7908AD"/>
    <w:rPr>
      <w:rFonts w:ascii="Segoe UI" w:hAnsi="Segoe UI" w:cs="Segoe UI"/>
      <w:sz w:val="18"/>
      <w:szCs w:val="18"/>
    </w:rPr>
  </w:style>
  <w:style w:type="paragraph" w:styleId="a8">
    <w:name w:val="List Paragraph"/>
    <w:basedOn w:val="a"/>
    <w:uiPriority w:val="34"/>
    <w:qFormat/>
    <w:rsid w:val="00D139DB"/>
    <w:pPr>
      <w:ind w:left="720"/>
      <w:contextualSpacing/>
    </w:pPr>
  </w:style>
  <w:style w:type="character" w:styleId="a9">
    <w:name w:val="Hyperlink"/>
    <w:basedOn w:val="a0"/>
    <w:uiPriority w:val="99"/>
    <w:unhideWhenUsed/>
    <w:rsid w:val="00CC274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666570">
      <w:bodyDiv w:val="1"/>
      <w:marLeft w:val="0"/>
      <w:marRight w:val="0"/>
      <w:marTop w:val="0"/>
      <w:marBottom w:val="0"/>
      <w:divBdr>
        <w:top w:val="none" w:sz="0" w:space="0" w:color="auto"/>
        <w:left w:val="none" w:sz="0" w:space="0" w:color="auto"/>
        <w:bottom w:val="none" w:sz="0" w:space="0" w:color="auto"/>
        <w:right w:val="none" w:sz="0" w:space="0" w:color="auto"/>
      </w:divBdr>
      <w:divsChild>
        <w:div w:id="17566342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ru.wikipedia.org/wiki/%D0%9F%D0%B5%D1%81%D0%BE%D0%BA" TargetMode="External"/><Relationship Id="rId18" Type="http://schemas.openxmlformats.org/officeDocument/2006/relationships/hyperlink" Target="https://doi.org/10.1126/science.aau602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ru.wikipedia.org/wiki/%D0%A1%D0%BA%D0%BB%D0%BE%D0%BD" TargetMode="External"/><Relationship Id="rId17" Type="http://schemas.openxmlformats.org/officeDocument/2006/relationships/hyperlink" Target="mailto:maltseva@iespn.komisc.ru" TargetMode="External"/><Relationship Id="rId2" Type="http://schemas.openxmlformats.org/officeDocument/2006/relationships/numbering" Target="numbering.xml"/><Relationship Id="rId16" Type="http://schemas.openxmlformats.org/officeDocument/2006/relationships/hyperlink" Target="https://doi.org/10.1016/j.agsy.2020.102911" TargetMode="External"/><Relationship Id="rId20" Type="http://schemas.openxmlformats.org/officeDocument/2006/relationships/hyperlink" Target="https://doi.org/10.1016/j.agsy.2020.1029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E%D0%B2%D1%80%D0%B0%D0%B3" TargetMode="External"/><Relationship Id="rId5" Type="http://schemas.openxmlformats.org/officeDocument/2006/relationships/webSettings" Target="webSettings.xml"/><Relationship Id="rId15" Type="http://schemas.openxmlformats.org/officeDocument/2006/relationships/hyperlink" Target="http://dx.doi.org/10.1007/s10457-012-9494-8" TargetMode="External"/><Relationship Id="rId10" Type="http://schemas.openxmlformats.org/officeDocument/2006/relationships/hyperlink" Target="https://ru.wikipedia.org/wiki/%D0%9B%D0%B5%D1%81%D0%BD%D0%B0%D1%8F_%D0%BF%D0%BE%D0%BB%D0%BE%D1%81%D0%B0" TargetMode="External"/><Relationship Id="rId19" Type="http://schemas.openxmlformats.org/officeDocument/2006/relationships/hyperlink" Target="http://dx.doi.org/10.1007/s10457-012-9494-8" TargetMode="External"/><Relationship Id="rId4" Type="http://schemas.openxmlformats.org/officeDocument/2006/relationships/settings" Target="settings.xml"/><Relationship Id="rId9" Type="http://schemas.openxmlformats.org/officeDocument/2006/relationships/hyperlink" Target="https://ru.wikipedia.org/wiki/%D0%A1%D0%B5%D0%BB%D1%8C%D1%81%D0%BA%D0%BE%D0%B5_%D1%85%D0%BE%D0%B7%D1%8F%D0%B9%D1%81%D1%82%D0%B2%D0%BE" TargetMode="External"/><Relationship Id="rId14" Type="http://schemas.openxmlformats.org/officeDocument/2006/relationships/hyperlink" Target="https://doi.org/10.1126/science.aau6020"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Лист6!$L$36</c:f>
              <c:strCache>
                <c:ptCount val="1"/>
                <c:pt idx="0">
                  <c:v>Зерновые</c:v>
                </c:pt>
              </c:strCache>
            </c:strRef>
          </c:tx>
          <c:spPr>
            <a:ln w="28575" cap="rnd">
              <a:solidFill>
                <a:schemeClr val="accent1"/>
              </a:solidFill>
              <a:round/>
            </a:ln>
            <a:effectLst/>
          </c:spPr>
          <c:marker>
            <c:symbol val="none"/>
          </c:marker>
          <c:cat>
            <c:numRef>
              <c:f>Лист6!$K$37:$K$60</c:f>
              <c:numCache>
                <c:formatCode>General</c:formatCode>
                <c:ptCount val="24"/>
                <c:pt idx="1">
                  <c:v>1913</c:v>
                </c:pt>
                <c:pt idx="2">
                  <c:v>1917</c:v>
                </c:pt>
                <c:pt idx="3">
                  <c:v>1922</c:v>
                </c:pt>
                <c:pt idx="4">
                  <c:v>1928</c:v>
                </c:pt>
                <c:pt idx="5">
                  <c:v>1932</c:v>
                </c:pt>
                <c:pt idx="6">
                  <c:v>1936</c:v>
                </c:pt>
                <c:pt idx="7">
                  <c:v>1940</c:v>
                </c:pt>
                <c:pt idx="8">
                  <c:v>1945</c:v>
                </c:pt>
                <c:pt idx="9">
                  <c:v>1950</c:v>
                </c:pt>
                <c:pt idx="10">
                  <c:v>1955</c:v>
                </c:pt>
                <c:pt idx="11">
                  <c:v>1960</c:v>
                </c:pt>
                <c:pt idx="12">
                  <c:v>1965</c:v>
                </c:pt>
                <c:pt idx="13">
                  <c:v>1970</c:v>
                </c:pt>
                <c:pt idx="14">
                  <c:v>1975</c:v>
                </c:pt>
                <c:pt idx="15">
                  <c:v>1980</c:v>
                </c:pt>
                <c:pt idx="16">
                  <c:v>1985</c:v>
                </c:pt>
                <c:pt idx="17">
                  <c:v>1990</c:v>
                </c:pt>
                <c:pt idx="18">
                  <c:v>1995</c:v>
                </c:pt>
                <c:pt idx="19">
                  <c:v>2000</c:v>
                </c:pt>
                <c:pt idx="20">
                  <c:v>2005</c:v>
                </c:pt>
                <c:pt idx="21">
                  <c:v>2010</c:v>
                </c:pt>
                <c:pt idx="22">
                  <c:v>2015</c:v>
                </c:pt>
                <c:pt idx="23">
                  <c:v>2019</c:v>
                </c:pt>
              </c:numCache>
            </c:numRef>
          </c:cat>
          <c:val>
            <c:numRef>
              <c:f>Лист6!$L$37:$L$60</c:f>
              <c:numCache>
                <c:formatCode>General</c:formatCode>
                <c:ptCount val="24"/>
                <c:pt idx="1">
                  <c:v>25.4</c:v>
                </c:pt>
                <c:pt idx="2">
                  <c:v>29.2</c:v>
                </c:pt>
                <c:pt idx="3">
                  <c:v>24.2</c:v>
                </c:pt>
                <c:pt idx="4">
                  <c:v>38.1</c:v>
                </c:pt>
                <c:pt idx="5">
                  <c:v>42.6</c:v>
                </c:pt>
                <c:pt idx="6">
                  <c:v>57.7</c:v>
                </c:pt>
                <c:pt idx="7">
                  <c:v>57</c:v>
                </c:pt>
                <c:pt idx="8">
                  <c:v>71.400000000000006</c:v>
                </c:pt>
                <c:pt idx="9">
                  <c:v>63.8</c:v>
                </c:pt>
                <c:pt idx="10">
                  <c:v>48</c:v>
                </c:pt>
                <c:pt idx="11">
                  <c:v>25.3</c:v>
                </c:pt>
                <c:pt idx="12">
                  <c:v>14.4</c:v>
                </c:pt>
                <c:pt idx="13">
                  <c:v>9.6</c:v>
                </c:pt>
                <c:pt idx="14">
                  <c:v>6.3</c:v>
                </c:pt>
                <c:pt idx="15">
                  <c:v>1</c:v>
                </c:pt>
                <c:pt idx="16">
                  <c:v>0.4</c:v>
                </c:pt>
                <c:pt idx="17">
                  <c:v>0.6</c:v>
                </c:pt>
                <c:pt idx="18">
                  <c:v>2.5</c:v>
                </c:pt>
                <c:pt idx="19">
                  <c:v>0.5</c:v>
                </c:pt>
                <c:pt idx="20">
                  <c:v>0.5</c:v>
                </c:pt>
                <c:pt idx="21">
                  <c:v>0.02</c:v>
                </c:pt>
                <c:pt idx="22">
                  <c:v>0</c:v>
                </c:pt>
                <c:pt idx="23">
                  <c:v>0</c:v>
                </c:pt>
              </c:numCache>
            </c:numRef>
          </c:val>
          <c:smooth val="0"/>
        </c:ser>
        <c:ser>
          <c:idx val="1"/>
          <c:order val="1"/>
          <c:tx>
            <c:strRef>
              <c:f>Лист6!$M$36</c:f>
              <c:strCache>
                <c:ptCount val="1"/>
                <c:pt idx="0">
                  <c:v>Технические культуры</c:v>
                </c:pt>
              </c:strCache>
            </c:strRef>
          </c:tx>
          <c:spPr>
            <a:ln w="28575" cap="rnd">
              <a:solidFill>
                <a:schemeClr val="accent2"/>
              </a:solidFill>
              <a:round/>
            </a:ln>
            <a:effectLst/>
          </c:spPr>
          <c:marker>
            <c:symbol val="none"/>
          </c:marker>
          <c:cat>
            <c:numRef>
              <c:f>Лист6!$K$37:$K$60</c:f>
              <c:numCache>
                <c:formatCode>General</c:formatCode>
                <c:ptCount val="24"/>
                <c:pt idx="1">
                  <c:v>1913</c:v>
                </c:pt>
                <c:pt idx="2">
                  <c:v>1917</c:v>
                </c:pt>
                <c:pt idx="3">
                  <c:v>1922</c:v>
                </c:pt>
                <c:pt idx="4">
                  <c:v>1928</c:v>
                </c:pt>
                <c:pt idx="5">
                  <c:v>1932</c:v>
                </c:pt>
                <c:pt idx="6">
                  <c:v>1936</c:v>
                </c:pt>
                <c:pt idx="7">
                  <c:v>1940</c:v>
                </c:pt>
                <c:pt idx="8">
                  <c:v>1945</c:v>
                </c:pt>
                <c:pt idx="9">
                  <c:v>1950</c:v>
                </c:pt>
                <c:pt idx="10">
                  <c:v>1955</c:v>
                </c:pt>
                <c:pt idx="11">
                  <c:v>1960</c:v>
                </c:pt>
                <c:pt idx="12">
                  <c:v>1965</c:v>
                </c:pt>
                <c:pt idx="13">
                  <c:v>1970</c:v>
                </c:pt>
                <c:pt idx="14">
                  <c:v>1975</c:v>
                </c:pt>
                <c:pt idx="15">
                  <c:v>1980</c:v>
                </c:pt>
                <c:pt idx="16">
                  <c:v>1985</c:v>
                </c:pt>
                <c:pt idx="17">
                  <c:v>1990</c:v>
                </c:pt>
                <c:pt idx="18">
                  <c:v>1995</c:v>
                </c:pt>
                <c:pt idx="19">
                  <c:v>2000</c:v>
                </c:pt>
                <c:pt idx="20">
                  <c:v>2005</c:v>
                </c:pt>
                <c:pt idx="21">
                  <c:v>2010</c:v>
                </c:pt>
                <c:pt idx="22">
                  <c:v>2015</c:v>
                </c:pt>
                <c:pt idx="23">
                  <c:v>2019</c:v>
                </c:pt>
              </c:numCache>
            </c:numRef>
          </c:cat>
          <c:val>
            <c:numRef>
              <c:f>Лист6!$M$37:$M$60</c:f>
              <c:numCache>
                <c:formatCode>General</c:formatCode>
                <c:ptCount val="24"/>
                <c:pt idx="1">
                  <c:v>2.1</c:v>
                </c:pt>
                <c:pt idx="2">
                  <c:v>2.9</c:v>
                </c:pt>
                <c:pt idx="3">
                  <c:v>1.4</c:v>
                </c:pt>
                <c:pt idx="4">
                  <c:v>4.0999999999999996</c:v>
                </c:pt>
                <c:pt idx="5">
                  <c:v>5</c:v>
                </c:pt>
                <c:pt idx="6">
                  <c:v>5.2</c:v>
                </c:pt>
                <c:pt idx="7">
                  <c:v>6</c:v>
                </c:pt>
                <c:pt idx="8">
                  <c:v>1</c:v>
                </c:pt>
                <c:pt idx="9">
                  <c:v>1.7</c:v>
                </c:pt>
                <c:pt idx="10">
                  <c:v>0.4</c:v>
                </c:pt>
                <c:pt idx="11">
                  <c:v>0.2</c:v>
                </c:pt>
                <c:pt idx="12">
                  <c:v>0</c:v>
                </c:pt>
                <c:pt idx="13">
                  <c:v>0</c:v>
                </c:pt>
                <c:pt idx="14">
                  <c:v>0</c:v>
                </c:pt>
                <c:pt idx="15">
                  <c:v>0</c:v>
                </c:pt>
                <c:pt idx="16">
                  <c:v>0</c:v>
                </c:pt>
                <c:pt idx="17">
                  <c:v>0</c:v>
                </c:pt>
                <c:pt idx="18">
                  <c:v>0</c:v>
                </c:pt>
                <c:pt idx="19">
                  <c:v>0</c:v>
                </c:pt>
                <c:pt idx="20">
                  <c:v>0</c:v>
                </c:pt>
                <c:pt idx="21">
                  <c:v>0</c:v>
                </c:pt>
                <c:pt idx="22">
                  <c:v>0</c:v>
                </c:pt>
                <c:pt idx="23">
                  <c:v>0</c:v>
                </c:pt>
              </c:numCache>
            </c:numRef>
          </c:val>
          <c:smooth val="0"/>
        </c:ser>
        <c:ser>
          <c:idx val="2"/>
          <c:order val="2"/>
          <c:tx>
            <c:strRef>
              <c:f>Лист6!$N$36</c:f>
              <c:strCache>
                <c:ptCount val="1"/>
                <c:pt idx="0">
                  <c:v>Картофель</c:v>
                </c:pt>
              </c:strCache>
            </c:strRef>
          </c:tx>
          <c:spPr>
            <a:ln w="28575" cap="rnd">
              <a:solidFill>
                <a:schemeClr val="accent3"/>
              </a:solidFill>
              <a:round/>
            </a:ln>
            <a:effectLst/>
          </c:spPr>
          <c:marker>
            <c:symbol val="none"/>
          </c:marker>
          <c:cat>
            <c:numRef>
              <c:f>Лист6!$K$37:$K$60</c:f>
              <c:numCache>
                <c:formatCode>General</c:formatCode>
                <c:ptCount val="24"/>
                <c:pt idx="1">
                  <c:v>1913</c:v>
                </c:pt>
                <c:pt idx="2">
                  <c:v>1917</c:v>
                </c:pt>
                <c:pt idx="3">
                  <c:v>1922</c:v>
                </c:pt>
                <c:pt idx="4">
                  <c:v>1928</c:v>
                </c:pt>
                <c:pt idx="5">
                  <c:v>1932</c:v>
                </c:pt>
                <c:pt idx="6">
                  <c:v>1936</c:v>
                </c:pt>
                <c:pt idx="7">
                  <c:v>1940</c:v>
                </c:pt>
                <c:pt idx="8">
                  <c:v>1945</c:v>
                </c:pt>
                <c:pt idx="9">
                  <c:v>1950</c:v>
                </c:pt>
                <c:pt idx="10">
                  <c:v>1955</c:v>
                </c:pt>
                <c:pt idx="11">
                  <c:v>1960</c:v>
                </c:pt>
                <c:pt idx="12">
                  <c:v>1965</c:v>
                </c:pt>
                <c:pt idx="13">
                  <c:v>1970</c:v>
                </c:pt>
                <c:pt idx="14">
                  <c:v>1975</c:v>
                </c:pt>
                <c:pt idx="15">
                  <c:v>1980</c:v>
                </c:pt>
                <c:pt idx="16">
                  <c:v>1985</c:v>
                </c:pt>
                <c:pt idx="17">
                  <c:v>1990</c:v>
                </c:pt>
                <c:pt idx="18">
                  <c:v>1995</c:v>
                </c:pt>
                <c:pt idx="19">
                  <c:v>2000</c:v>
                </c:pt>
                <c:pt idx="20">
                  <c:v>2005</c:v>
                </c:pt>
                <c:pt idx="21">
                  <c:v>2010</c:v>
                </c:pt>
                <c:pt idx="22">
                  <c:v>2015</c:v>
                </c:pt>
                <c:pt idx="23">
                  <c:v>2019</c:v>
                </c:pt>
              </c:numCache>
            </c:numRef>
          </c:cat>
          <c:val>
            <c:numRef>
              <c:f>Лист6!$N$37:$N$60</c:f>
              <c:numCache>
                <c:formatCode>General</c:formatCode>
                <c:ptCount val="24"/>
                <c:pt idx="1">
                  <c:v>1.4</c:v>
                </c:pt>
                <c:pt idx="2">
                  <c:v>1.5</c:v>
                </c:pt>
                <c:pt idx="3">
                  <c:v>1.5</c:v>
                </c:pt>
                <c:pt idx="4">
                  <c:v>4</c:v>
                </c:pt>
                <c:pt idx="5">
                  <c:v>5</c:v>
                </c:pt>
                <c:pt idx="6">
                  <c:v>12.8</c:v>
                </c:pt>
                <c:pt idx="7">
                  <c:v>12.4</c:v>
                </c:pt>
                <c:pt idx="8">
                  <c:v>18.2</c:v>
                </c:pt>
                <c:pt idx="9">
                  <c:v>12.4</c:v>
                </c:pt>
                <c:pt idx="10">
                  <c:v>11.8</c:v>
                </c:pt>
                <c:pt idx="11">
                  <c:v>13.2</c:v>
                </c:pt>
                <c:pt idx="12">
                  <c:v>14.8</c:v>
                </c:pt>
                <c:pt idx="13">
                  <c:v>12.7</c:v>
                </c:pt>
                <c:pt idx="14">
                  <c:v>12.6</c:v>
                </c:pt>
                <c:pt idx="15">
                  <c:v>12.8</c:v>
                </c:pt>
                <c:pt idx="16">
                  <c:v>14.4</c:v>
                </c:pt>
                <c:pt idx="17">
                  <c:v>12.1</c:v>
                </c:pt>
                <c:pt idx="18">
                  <c:v>15.1</c:v>
                </c:pt>
                <c:pt idx="19">
                  <c:v>14.8</c:v>
                </c:pt>
                <c:pt idx="20">
                  <c:v>14.1</c:v>
                </c:pt>
                <c:pt idx="21">
                  <c:v>7.6</c:v>
                </c:pt>
                <c:pt idx="22">
                  <c:v>4.9000000000000004</c:v>
                </c:pt>
                <c:pt idx="23">
                  <c:v>3.5</c:v>
                </c:pt>
              </c:numCache>
            </c:numRef>
          </c:val>
          <c:smooth val="0"/>
        </c:ser>
        <c:ser>
          <c:idx val="3"/>
          <c:order val="3"/>
          <c:tx>
            <c:strRef>
              <c:f>Лист6!$O$36</c:f>
              <c:strCache>
                <c:ptCount val="1"/>
                <c:pt idx="0">
                  <c:v>Овощи открытого грунта</c:v>
                </c:pt>
              </c:strCache>
            </c:strRef>
          </c:tx>
          <c:spPr>
            <a:ln w="28575" cap="rnd">
              <a:solidFill>
                <a:schemeClr val="accent4"/>
              </a:solidFill>
              <a:round/>
            </a:ln>
            <a:effectLst/>
          </c:spPr>
          <c:marker>
            <c:symbol val="none"/>
          </c:marker>
          <c:cat>
            <c:numRef>
              <c:f>Лист6!$K$37:$K$60</c:f>
              <c:numCache>
                <c:formatCode>General</c:formatCode>
                <c:ptCount val="24"/>
                <c:pt idx="1">
                  <c:v>1913</c:v>
                </c:pt>
                <c:pt idx="2">
                  <c:v>1917</c:v>
                </c:pt>
                <c:pt idx="3">
                  <c:v>1922</c:v>
                </c:pt>
                <c:pt idx="4">
                  <c:v>1928</c:v>
                </c:pt>
                <c:pt idx="5">
                  <c:v>1932</c:v>
                </c:pt>
                <c:pt idx="6">
                  <c:v>1936</c:v>
                </c:pt>
                <c:pt idx="7">
                  <c:v>1940</c:v>
                </c:pt>
                <c:pt idx="8">
                  <c:v>1945</c:v>
                </c:pt>
                <c:pt idx="9">
                  <c:v>1950</c:v>
                </c:pt>
                <c:pt idx="10">
                  <c:v>1955</c:v>
                </c:pt>
                <c:pt idx="11">
                  <c:v>1960</c:v>
                </c:pt>
                <c:pt idx="12">
                  <c:v>1965</c:v>
                </c:pt>
                <c:pt idx="13">
                  <c:v>1970</c:v>
                </c:pt>
                <c:pt idx="14">
                  <c:v>1975</c:v>
                </c:pt>
                <c:pt idx="15">
                  <c:v>1980</c:v>
                </c:pt>
                <c:pt idx="16">
                  <c:v>1985</c:v>
                </c:pt>
                <c:pt idx="17">
                  <c:v>1990</c:v>
                </c:pt>
                <c:pt idx="18">
                  <c:v>1995</c:v>
                </c:pt>
                <c:pt idx="19">
                  <c:v>2000</c:v>
                </c:pt>
                <c:pt idx="20">
                  <c:v>2005</c:v>
                </c:pt>
                <c:pt idx="21">
                  <c:v>2010</c:v>
                </c:pt>
                <c:pt idx="22">
                  <c:v>2015</c:v>
                </c:pt>
                <c:pt idx="23">
                  <c:v>2019</c:v>
                </c:pt>
              </c:numCache>
            </c:numRef>
          </c:cat>
          <c:val>
            <c:numRef>
              <c:f>Лист6!$O$37:$O$60</c:f>
              <c:numCache>
                <c:formatCode>General</c:formatCode>
                <c:ptCount val="24"/>
                <c:pt idx="1">
                  <c:v>0.2</c:v>
                </c:pt>
                <c:pt idx="2">
                  <c:v>0.1</c:v>
                </c:pt>
                <c:pt idx="3">
                  <c:v>0.1</c:v>
                </c:pt>
                <c:pt idx="4">
                  <c:v>0.5</c:v>
                </c:pt>
                <c:pt idx="5">
                  <c:v>1.2</c:v>
                </c:pt>
                <c:pt idx="6">
                  <c:v>2.5</c:v>
                </c:pt>
                <c:pt idx="7">
                  <c:v>1.9</c:v>
                </c:pt>
                <c:pt idx="8">
                  <c:v>6.9</c:v>
                </c:pt>
                <c:pt idx="9">
                  <c:v>3.7</c:v>
                </c:pt>
                <c:pt idx="10">
                  <c:v>2.4</c:v>
                </c:pt>
                <c:pt idx="11">
                  <c:v>1.6</c:v>
                </c:pt>
                <c:pt idx="12">
                  <c:v>1.5</c:v>
                </c:pt>
                <c:pt idx="13">
                  <c:v>1.3</c:v>
                </c:pt>
                <c:pt idx="14">
                  <c:v>1.4</c:v>
                </c:pt>
                <c:pt idx="15">
                  <c:v>1.2</c:v>
                </c:pt>
                <c:pt idx="16">
                  <c:v>1.3</c:v>
                </c:pt>
                <c:pt idx="17">
                  <c:v>1</c:v>
                </c:pt>
                <c:pt idx="18">
                  <c:v>1.3</c:v>
                </c:pt>
                <c:pt idx="19">
                  <c:v>1.3</c:v>
                </c:pt>
                <c:pt idx="20">
                  <c:v>1.1000000000000001</c:v>
                </c:pt>
                <c:pt idx="21">
                  <c:v>0.6</c:v>
                </c:pt>
                <c:pt idx="22">
                  <c:v>0.6</c:v>
                </c:pt>
                <c:pt idx="23">
                  <c:v>0.6</c:v>
                </c:pt>
              </c:numCache>
            </c:numRef>
          </c:val>
          <c:smooth val="0"/>
        </c:ser>
        <c:ser>
          <c:idx val="4"/>
          <c:order val="4"/>
          <c:tx>
            <c:strRef>
              <c:f>Лист6!$P$36</c:f>
              <c:strCache>
                <c:ptCount val="1"/>
                <c:pt idx="0">
                  <c:v>Кормовые культуры</c:v>
                </c:pt>
              </c:strCache>
            </c:strRef>
          </c:tx>
          <c:spPr>
            <a:ln w="28575" cap="rnd">
              <a:solidFill>
                <a:schemeClr val="accent5"/>
              </a:solidFill>
              <a:round/>
            </a:ln>
            <a:effectLst/>
          </c:spPr>
          <c:marker>
            <c:symbol val="none"/>
          </c:marker>
          <c:cat>
            <c:numRef>
              <c:f>Лист6!$K$37:$K$60</c:f>
              <c:numCache>
                <c:formatCode>General</c:formatCode>
                <c:ptCount val="24"/>
                <c:pt idx="1">
                  <c:v>1913</c:v>
                </c:pt>
                <c:pt idx="2">
                  <c:v>1917</c:v>
                </c:pt>
                <c:pt idx="3">
                  <c:v>1922</c:v>
                </c:pt>
                <c:pt idx="4">
                  <c:v>1928</c:v>
                </c:pt>
                <c:pt idx="5">
                  <c:v>1932</c:v>
                </c:pt>
                <c:pt idx="6">
                  <c:v>1936</c:v>
                </c:pt>
                <c:pt idx="7">
                  <c:v>1940</c:v>
                </c:pt>
                <c:pt idx="8">
                  <c:v>1945</c:v>
                </c:pt>
                <c:pt idx="9">
                  <c:v>1950</c:v>
                </c:pt>
                <c:pt idx="10">
                  <c:v>1955</c:v>
                </c:pt>
                <c:pt idx="11">
                  <c:v>1960</c:v>
                </c:pt>
                <c:pt idx="12">
                  <c:v>1965</c:v>
                </c:pt>
                <c:pt idx="13">
                  <c:v>1970</c:v>
                </c:pt>
                <c:pt idx="14">
                  <c:v>1975</c:v>
                </c:pt>
                <c:pt idx="15">
                  <c:v>1980</c:v>
                </c:pt>
                <c:pt idx="16">
                  <c:v>1985</c:v>
                </c:pt>
                <c:pt idx="17">
                  <c:v>1990</c:v>
                </c:pt>
                <c:pt idx="18">
                  <c:v>1995</c:v>
                </c:pt>
                <c:pt idx="19">
                  <c:v>2000</c:v>
                </c:pt>
                <c:pt idx="20">
                  <c:v>2005</c:v>
                </c:pt>
                <c:pt idx="21">
                  <c:v>2010</c:v>
                </c:pt>
                <c:pt idx="22">
                  <c:v>2015</c:v>
                </c:pt>
                <c:pt idx="23">
                  <c:v>2019</c:v>
                </c:pt>
              </c:numCache>
            </c:numRef>
          </c:cat>
          <c:val>
            <c:numRef>
              <c:f>Лист6!$P$37:$P$60</c:f>
              <c:numCache>
                <c:formatCode>General</c:formatCode>
                <c:ptCount val="24"/>
                <c:pt idx="1">
                  <c:v>0.3</c:v>
                </c:pt>
                <c:pt idx="2">
                  <c:v>0</c:v>
                </c:pt>
                <c:pt idx="3">
                  <c:v>0</c:v>
                </c:pt>
                <c:pt idx="4">
                  <c:v>1.1000000000000001</c:v>
                </c:pt>
                <c:pt idx="5">
                  <c:v>3.4</c:v>
                </c:pt>
                <c:pt idx="6">
                  <c:v>6.9</c:v>
                </c:pt>
                <c:pt idx="7">
                  <c:v>12.8</c:v>
                </c:pt>
                <c:pt idx="8">
                  <c:v>11.8</c:v>
                </c:pt>
                <c:pt idx="9">
                  <c:v>15.1</c:v>
                </c:pt>
                <c:pt idx="10">
                  <c:v>28.1</c:v>
                </c:pt>
                <c:pt idx="11">
                  <c:v>48.7</c:v>
                </c:pt>
                <c:pt idx="12">
                  <c:v>52.7</c:v>
                </c:pt>
                <c:pt idx="13">
                  <c:v>60.4</c:v>
                </c:pt>
                <c:pt idx="14">
                  <c:v>71.5</c:v>
                </c:pt>
                <c:pt idx="15">
                  <c:v>78.7</c:v>
                </c:pt>
                <c:pt idx="16">
                  <c:v>84.2</c:v>
                </c:pt>
                <c:pt idx="17">
                  <c:v>86.8</c:v>
                </c:pt>
                <c:pt idx="18">
                  <c:v>80.7</c:v>
                </c:pt>
                <c:pt idx="19">
                  <c:v>66.599999999999994</c:v>
                </c:pt>
                <c:pt idx="20">
                  <c:v>43.4</c:v>
                </c:pt>
                <c:pt idx="21">
                  <c:v>32.299999999999997</c:v>
                </c:pt>
                <c:pt idx="22">
                  <c:v>33</c:v>
                </c:pt>
                <c:pt idx="23">
                  <c:v>33</c:v>
                </c:pt>
              </c:numCache>
            </c:numRef>
          </c:val>
          <c:smooth val="0"/>
        </c:ser>
        <c:dLbls>
          <c:showLegendKey val="0"/>
          <c:showVal val="0"/>
          <c:showCatName val="0"/>
          <c:showSerName val="0"/>
          <c:showPercent val="0"/>
          <c:showBubbleSize val="0"/>
        </c:dLbls>
        <c:smooth val="0"/>
        <c:axId val="316974136"/>
        <c:axId val="326786176"/>
      </c:lineChart>
      <c:catAx>
        <c:axId val="316974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26786176"/>
        <c:crosses val="autoZero"/>
        <c:auto val="1"/>
        <c:lblAlgn val="ctr"/>
        <c:lblOffset val="100"/>
        <c:noMultiLvlLbl val="0"/>
      </c:catAx>
      <c:valAx>
        <c:axId val="326786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6974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BE20F8-E70E-4F20-A19E-5D3C30178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2264</Words>
  <Characters>16555</Characters>
  <Application>Microsoft Office Word</Application>
  <DocSecurity>0</DocSecurity>
  <Lines>254</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Maltseva</dc:creator>
  <cp:keywords/>
  <dc:description/>
  <cp:lastModifiedBy>Maltseva</cp:lastModifiedBy>
  <cp:revision>2</cp:revision>
  <cp:lastPrinted>2023-03-24T16:06:00Z</cp:lastPrinted>
  <dcterms:created xsi:type="dcterms:W3CDTF">2023-03-24T17:32:00Z</dcterms:created>
  <dcterms:modified xsi:type="dcterms:W3CDTF">2023-03-24T17:32:00Z</dcterms:modified>
</cp:coreProperties>
</file>