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2BEA8" w14:textId="5322C7CC" w:rsidR="00827E82" w:rsidRPr="001B5953" w:rsidRDefault="0019611F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Новиков С.В.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0C56E75A" w:rsidR="00827E82" w:rsidRPr="001B5953" w:rsidRDefault="0019611F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Состав ведущих образовательных организаций высшей школы</w:t>
      </w:r>
    </w:p>
    <w:p w14:paraId="2EE1AAFB" w14:textId="12C3BE72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19611F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="0019611F">
        <w:rPr>
          <w:rFonts w:ascii="Times New Roman" w:hAnsi="Times New Roman" w:cs="Times New Roman"/>
          <w:i/>
          <w:sz w:val="24"/>
          <w:szCs w:val="24"/>
        </w:rPr>
        <w:t xml:space="preserve"> статье представлены данные о количественном составе ведущих образовательных организаций</w:t>
      </w:r>
      <w:r w:rsidR="009A658D">
        <w:rPr>
          <w:rFonts w:ascii="Times New Roman" w:hAnsi="Times New Roman" w:cs="Times New Roman"/>
          <w:i/>
          <w:sz w:val="24"/>
          <w:szCs w:val="24"/>
        </w:rPr>
        <w:t xml:space="preserve"> системы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 высшего образования, представлены характеристики </w:t>
      </w:r>
      <w:r w:rsidR="009A658D">
        <w:rPr>
          <w:rFonts w:ascii="Times New Roman" w:hAnsi="Times New Roman" w:cs="Times New Roman"/>
          <w:i/>
          <w:sz w:val="24"/>
          <w:szCs w:val="24"/>
        </w:rPr>
        <w:t>определяемые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 нормативно правовой баз</w:t>
      </w:r>
      <w:r w:rsidR="009A658D">
        <w:rPr>
          <w:rFonts w:ascii="Times New Roman" w:hAnsi="Times New Roman" w:cs="Times New Roman"/>
          <w:i/>
          <w:sz w:val="24"/>
          <w:szCs w:val="24"/>
        </w:rPr>
        <w:t>ой,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A658D">
        <w:rPr>
          <w:rFonts w:ascii="Times New Roman" w:hAnsi="Times New Roman" w:cs="Times New Roman"/>
          <w:i/>
          <w:sz w:val="24"/>
          <w:szCs w:val="24"/>
        </w:rPr>
        <w:t>формирующей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A658D">
        <w:rPr>
          <w:rFonts w:ascii="Times New Roman" w:hAnsi="Times New Roman" w:cs="Times New Roman"/>
          <w:i/>
          <w:sz w:val="24"/>
          <w:szCs w:val="24"/>
        </w:rPr>
        <w:t>особый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 статус данных организаций. </w:t>
      </w:r>
    </w:p>
    <w:p w14:paraId="44AAF154" w14:textId="1374BA0D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A658D">
        <w:rPr>
          <w:rFonts w:ascii="Times New Roman" w:hAnsi="Times New Roman" w:cs="Times New Roman"/>
          <w:i/>
          <w:sz w:val="24"/>
          <w:szCs w:val="24"/>
        </w:rPr>
        <w:t>система высшего образования, образовательная организация, национальные исследовательские университеты, опорные вузы</w:t>
      </w:r>
      <w:r w:rsidRPr="001B5953">
        <w:rPr>
          <w:rFonts w:ascii="Times New Roman" w:hAnsi="Times New Roman" w:cs="Times New Roman"/>
          <w:i/>
          <w:sz w:val="24"/>
          <w:szCs w:val="24"/>
        </w:rPr>
        <w:t>.</w:t>
      </w:r>
    </w:p>
    <w:p w14:paraId="38E86A69" w14:textId="77777777" w:rsid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8DB8A85" w14:textId="59C6C109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Количественный состав </w:t>
      </w:r>
      <w:r w:rsidRPr="0019611F">
        <w:rPr>
          <w:rFonts w:ascii="Times New Roman" w:hAnsi="Times New Roman" w:cs="Times New Roman"/>
          <w:sz w:val="24"/>
          <w:szCs w:val="24"/>
        </w:rPr>
        <w:t>сети образоват</w:t>
      </w:r>
      <w:r>
        <w:rPr>
          <w:rFonts w:ascii="Times New Roman" w:hAnsi="Times New Roman" w:cs="Times New Roman"/>
          <w:sz w:val="24"/>
          <w:szCs w:val="24"/>
        </w:rPr>
        <w:t>ельных организаций высшей школы включает 698 образовательных организаций, подавляющее большинство из которых находится в собственности РФ.</w:t>
      </w:r>
      <w:r w:rsidRPr="0019611F">
        <w:rPr>
          <w:rFonts w:ascii="Times New Roman" w:hAnsi="Times New Roman" w:cs="Times New Roman"/>
          <w:sz w:val="24"/>
          <w:szCs w:val="24"/>
        </w:rPr>
        <w:t xml:space="preserve"> На рисунке 1 представлено число организаций, реализующих образовательные программы </w:t>
      </w:r>
      <w:proofErr w:type="spellStart"/>
      <w:r w:rsidRPr="0019611F"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 w:rsidRPr="001961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611F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Pr="0019611F">
        <w:rPr>
          <w:rFonts w:ascii="Times New Roman" w:hAnsi="Times New Roman" w:cs="Times New Roman"/>
          <w:sz w:val="24"/>
          <w:szCs w:val="24"/>
        </w:rPr>
        <w:t>, магистратуры.</w:t>
      </w:r>
    </w:p>
    <w:p w14:paraId="495E1264" w14:textId="77777777" w:rsidR="0019611F" w:rsidRPr="00913DD6" w:rsidRDefault="0019611F" w:rsidP="001961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8F46CC1" w14:textId="77777777" w:rsidR="0019611F" w:rsidRDefault="0019611F" w:rsidP="0019611F">
      <w:pPr>
        <w:jc w:val="center"/>
      </w:pPr>
      <w:r>
        <w:rPr>
          <w:noProof/>
          <w:lang w:eastAsia="ru-RU"/>
        </w:rPr>
        <w:drawing>
          <wp:inline distT="0" distB="0" distL="0" distR="0" wp14:anchorId="4A0B6520" wp14:editId="323363F4">
            <wp:extent cx="5779008" cy="3423513"/>
            <wp:effectExtent l="0" t="0" r="12700" b="571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06C6828" w14:textId="2F6D9764" w:rsidR="0019611F" w:rsidRPr="00287F75" w:rsidRDefault="0019611F" w:rsidP="0019611F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19611F">
        <w:rPr>
          <w:rFonts w:ascii="Times New Roman" w:hAnsi="Times New Roman" w:cs="Times New Roman"/>
          <w:b/>
          <w:sz w:val="24"/>
          <w:szCs w:val="24"/>
        </w:rPr>
        <w:t xml:space="preserve">Число организаций, реализующих образовательные программы </w:t>
      </w:r>
      <w:proofErr w:type="spellStart"/>
      <w:r w:rsidRPr="0019611F">
        <w:rPr>
          <w:rFonts w:ascii="Times New Roman" w:hAnsi="Times New Roman" w:cs="Times New Roman"/>
          <w:b/>
          <w:sz w:val="24"/>
          <w:szCs w:val="24"/>
        </w:rPr>
        <w:t>бакалавриата</w:t>
      </w:r>
      <w:proofErr w:type="spellEnd"/>
      <w:r w:rsidRPr="0019611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19611F">
        <w:rPr>
          <w:rFonts w:ascii="Times New Roman" w:hAnsi="Times New Roman" w:cs="Times New Roman"/>
          <w:b/>
          <w:sz w:val="24"/>
          <w:szCs w:val="24"/>
        </w:rPr>
        <w:t>специалитета</w:t>
      </w:r>
      <w:proofErr w:type="spellEnd"/>
      <w:r w:rsidRPr="0019611F">
        <w:rPr>
          <w:rFonts w:ascii="Times New Roman" w:hAnsi="Times New Roman" w:cs="Times New Roman"/>
          <w:b/>
          <w:sz w:val="24"/>
          <w:szCs w:val="24"/>
        </w:rPr>
        <w:t>, магистратуры, 2000-2021 гг., ед.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[1]</w:t>
      </w:r>
      <w:r w:rsidRPr="0019611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1CCF5A45" w14:textId="77777777" w:rsid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9A5681" w14:textId="05800F15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 xml:space="preserve">На рисунке видна тенденция сокращения количества организаций высшего образования, которая на протяжении ряда лет обусловлена продолжающейся оптимизацией сети высших учебных заведений. Среди основных методов оптимизации можно выделить объединение вузов, находящихся в государственной собственности, отказ в государственной аккредитации вузам, реализация основных образовательных программ которых не соответствует требованиям образовательных стандартов. </w:t>
      </w:r>
    </w:p>
    <w:p w14:paraId="6EF574CB" w14:textId="128DFCC3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 xml:space="preserve">За последние 10 лет в Российской Федерации была сформирована сеть ведущих университетов, в которую вошли национальные исследовательские университеты, </w:t>
      </w:r>
      <w:r w:rsidRPr="0019611F">
        <w:rPr>
          <w:rFonts w:ascii="Times New Roman" w:hAnsi="Times New Roman" w:cs="Times New Roman"/>
          <w:sz w:val="24"/>
          <w:szCs w:val="24"/>
        </w:rPr>
        <w:lastRenderedPageBreak/>
        <w:t>федеральные университеты, ведущие классические университеты и опорные вузы. На рисунке 2 представлены количественные характеристики упомянутых групп.</w:t>
      </w:r>
    </w:p>
    <w:p w14:paraId="598E7918" w14:textId="77777777" w:rsidR="0019611F" w:rsidRPr="00210A7F" w:rsidRDefault="0019611F" w:rsidP="0019611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9C8768B" w14:textId="77777777" w:rsidR="0019611F" w:rsidRDefault="0019611F" w:rsidP="0019611F">
      <w:pPr>
        <w:jc w:val="center"/>
      </w:pPr>
      <w:r>
        <w:rPr>
          <w:noProof/>
          <w:lang w:eastAsia="ru-RU"/>
        </w:rPr>
        <w:drawing>
          <wp:inline distT="0" distB="0" distL="0" distR="0" wp14:anchorId="788E5C02" wp14:editId="086CA6CD">
            <wp:extent cx="5530291" cy="4176979"/>
            <wp:effectExtent l="0" t="0" r="13335" b="14605"/>
            <wp:docPr id="534" name="Диаграмма 5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E562948" w14:textId="6FB56FD7" w:rsidR="0019611F" w:rsidRPr="00505A2E" w:rsidRDefault="0019611F" w:rsidP="0019611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19611F">
        <w:rPr>
          <w:rFonts w:ascii="Times New Roman" w:hAnsi="Times New Roman" w:cs="Times New Roman"/>
          <w:b/>
          <w:sz w:val="24"/>
          <w:szCs w:val="24"/>
        </w:rPr>
        <w:t>Состав ведущих университетов РФ, 2021 г., ед.</w:t>
      </w:r>
      <w:r w:rsidRPr="0019611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7A7AA1F1" w14:textId="287482BA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>Список национальных исследовательских университетов утвержден Постановлением правительства РФ от 20 мая 2010 г. N 812-р</w:t>
      </w:r>
      <w:r w:rsidRPr="0019611F">
        <w:rPr>
          <w:rFonts w:ascii="Times New Roman" w:hAnsi="Times New Roman" w:cs="Times New Roman"/>
          <w:sz w:val="24"/>
          <w:szCs w:val="24"/>
        </w:rPr>
        <w:t xml:space="preserve"> [2]</w:t>
      </w:r>
      <w:r w:rsidRPr="0019611F">
        <w:rPr>
          <w:rFonts w:ascii="Times New Roman" w:hAnsi="Times New Roman" w:cs="Times New Roman"/>
          <w:sz w:val="24"/>
          <w:szCs w:val="24"/>
        </w:rPr>
        <w:t>. Данные образовательные организации (29 вузов) прошли отбор в соответствии с Положением о конкурсном отборе программ развития университетов, в отношении которых устанавливается категория "национальный исследовательский университет"</w:t>
      </w:r>
      <w:r w:rsidRPr="0019611F">
        <w:rPr>
          <w:rFonts w:ascii="Times New Roman" w:hAnsi="Times New Roman" w:cs="Times New Roman"/>
          <w:sz w:val="24"/>
          <w:szCs w:val="24"/>
        </w:rPr>
        <w:t xml:space="preserve"> [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9611F">
        <w:rPr>
          <w:rFonts w:ascii="Times New Roman" w:hAnsi="Times New Roman" w:cs="Times New Roman"/>
          <w:sz w:val="24"/>
          <w:szCs w:val="24"/>
        </w:rPr>
        <w:t>]</w:t>
      </w:r>
      <w:r w:rsidRPr="0019611F">
        <w:rPr>
          <w:rFonts w:ascii="Times New Roman" w:hAnsi="Times New Roman" w:cs="Times New Roman"/>
          <w:sz w:val="24"/>
          <w:szCs w:val="24"/>
        </w:rPr>
        <w:t xml:space="preserve"> и занимаются реализацией программ «направленных на кадровое обеспечение приоритетных направлений развития науки, технологий, техники, отраслей экономики, социальной сферы, развитие и внедрение в производство высоких технологий».</w:t>
      </w:r>
    </w:p>
    <w:p w14:paraId="4DA3A53E" w14:textId="37CA07DF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>Задачами функционирования федеральных университетов (10 вузов)</w:t>
      </w:r>
      <w:r w:rsidRPr="0019611F">
        <w:rPr>
          <w:rFonts w:ascii="Times New Roman" w:hAnsi="Times New Roman" w:cs="Times New Roman"/>
          <w:sz w:val="24"/>
          <w:szCs w:val="24"/>
        </w:rPr>
        <w:t xml:space="preserve"> [4]</w:t>
      </w:r>
      <w:r w:rsidRPr="0019611F">
        <w:rPr>
          <w:rFonts w:ascii="Times New Roman" w:hAnsi="Times New Roman" w:cs="Times New Roman"/>
          <w:sz w:val="24"/>
          <w:szCs w:val="24"/>
        </w:rPr>
        <w:t xml:space="preserve"> являются реализация инновационных образовательных программ высшего и послевузовского образования, системная модернизация высшего и послевузовского образования, выполнение фундаментальных и прикладных научных исследований по широкому спектру наук, обеспечивающих интеграцию науки, образования и производства и т.д.</w:t>
      </w:r>
    </w:p>
    <w:p w14:paraId="1A071DC2" w14:textId="3F3BA50E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>Особый статус Московского государственного университета и Санкт петербургского государственного университета закреплен в федеральном законе</w:t>
      </w:r>
      <w:r w:rsidRPr="0019611F">
        <w:rPr>
          <w:rFonts w:ascii="Times New Roman" w:hAnsi="Times New Roman" w:cs="Times New Roman"/>
          <w:sz w:val="24"/>
          <w:szCs w:val="24"/>
        </w:rPr>
        <w:t xml:space="preserve"> [5]</w:t>
      </w:r>
      <w:r w:rsidRPr="0019611F">
        <w:rPr>
          <w:rFonts w:ascii="Times New Roman" w:hAnsi="Times New Roman" w:cs="Times New Roman"/>
          <w:sz w:val="24"/>
          <w:szCs w:val="24"/>
        </w:rPr>
        <w:t xml:space="preserve">, в котором оговаривается, что данные вузы являются «уникальными научно-образовательными комплексами, включающими в себя структурные подразделения без прав юридического лица и юридические лица старейших образовательных организаций высшего образования страны, имеющих огромное значение для развития российского общества». </w:t>
      </w:r>
    </w:p>
    <w:p w14:paraId="1E0D53FA" w14:textId="77777777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 xml:space="preserve">Вузы участники проекта «5-100» (21 вуз) также могут быть отнесены к специальной группе высших учебных заведений поскольку на протяжении семи лет получали финансирование в общей сумме, превысившее 80 млрд. рублей, направленное на достижение </w:t>
      </w:r>
      <w:r w:rsidRPr="0019611F">
        <w:rPr>
          <w:rFonts w:ascii="Times New Roman" w:hAnsi="Times New Roman" w:cs="Times New Roman"/>
          <w:sz w:val="24"/>
          <w:szCs w:val="24"/>
        </w:rPr>
        <w:lastRenderedPageBreak/>
        <w:t xml:space="preserve">высоких позиций в международных рейтингах. Несмотря на то, что целевые показатели проекта не были достигнуты сформированная база и опыт позволяют ожидать от данных вузов повышенных результатов функционирования. </w:t>
      </w:r>
    </w:p>
    <w:p w14:paraId="005B4FA7" w14:textId="77777777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611F">
        <w:rPr>
          <w:rFonts w:ascii="Times New Roman" w:hAnsi="Times New Roman" w:cs="Times New Roman"/>
          <w:sz w:val="24"/>
          <w:szCs w:val="24"/>
        </w:rPr>
        <w:t xml:space="preserve">Последняя группа ведущих вузов, сформированная на основе объединения ряда региональных вузов, получила статус Опорных вузов (33 вуза). Задачей данной группы является региональное развитие отраслей экономики. </w:t>
      </w:r>
    </w:p>
    <w:p w14:paraId="54194792" w14:textId="77777777" w:rsidR="0019611F" w:rsidRDefault="0019611F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03338F73" w14:textId="5AF69497" w:rsidR="009A658D" w:rsidRDefault="009A658D" w:rsidP="009A658D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Сведения об организации, осуществляющей образовательную деятельность по образовательным программам высшего образования – программам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программам </w:t>
      </w:r>
      <w:proofErr w:type="spellStart"/>
      <w:r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программам магистратуры Режим доступа: </w:t>
      </w:r>
      <w:hyperlink r:id="rId9" w:history="1">
        <w:r w:rsidRPr="009A658D">
          <w:rPr>
            <w:rFonts w:ascii="Times New Roman" w:hAnsi="Times New Roman" w:cs="Times New Roman"/>
            <w:sz w:val="24"/>
          </w:rPr>
          <w:t>https://minobrnauki.gov.ru/action/stat/highed/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6385F4" w14:textId="15AA9D43" w:rsidR="009A658D" w:rsidRDefault="009A658D" w:rsidP="009A658D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658D">
        <w:rPr>
          <w:rFonts w:ascii="Times New Roman" w:hAnsi="Times New Roman" w:cs="Times New Roman"/>
          <w:sz w:val="24"/>
          <w:szCs w:val="24"/>
        </w:rPr>
        <w:t>Варкулевич</w:t>
      </w:r>
      <w:proofErr w:type="spellEnd"/>
      <w:r w:rsidRPr="009A658D">
        <w:rPr>
          <w:rFonts w:ascii="Times New Roman" w:hAnsi="Times New Roman" w:cs="Times New Roman"/>
          <w:sz w:val="24"/>
          <w:szCs w:val="24"/>
        </w:rPr>
        <w:t xml:space="preserve"> Т. В., </w:t>
      </w:r>
      <w:proofErr w:type="spellStart"/>
      <w:r w:rsidRPr="009A658D">
        <w:rPr>
          <w:rFonts w:ascii="Times New Roman" w:hAnsi="Times New Roman" w:cs="Times New Roman"/>
          <w:sz w:val="24"/>
          <w:szCs w:val="24"/>
        </w:rPr>
        <w:t>Кучерова</w:t>
      </w:r>
      <w:proofErr w:type="spellEnd"/>
      <w:r w:rsidRPr="009A658D">
        <w:rPr>
          <w:rFonts w:ascii="Times New Roman" w:hAnsi="Times New Roman" w:cs="Times New Roman"/>
          <w:sz w:val="24"/>
          <w:szCs w:val="24"/>
        </w:rPr>
        <w:t xml:space="preserve"> А. О. Новые механизмы хозяйствования вузов в условиях реформирования системы образования в РФ //Территория новых возможностей. Вестник Владивостокского государственного университета экономики и сервиса. – 2011. №. 1 (10). С. 41-50.</w:t>
      </w:r>
    </w:p>
    <w:p w14:paraId="4E466DFF" w14:textId="7A7F7975" w:rsidR="009A658D" w:rsidRPr="009A658D" w:rsidRDefault="009A658D" w:rsidP="009A658D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58D">
        <w:rPr>
          <w:rFonts w:ascii="Times New Roman" w:hAnsi="Times New Roman" w:cs="Times New Roman"/>
          <w:sz w:val="24"/>
          <w:szCs w:val="24"/>
        </w:rPr>
        <w:t xml:space="preserve">Модели управления: теория и практика: монография / С.В. Новиков, Е.В. Чумак, Д.Н. </w:t>
      </w:r>
      <w:proofErr w:type="spellStart"/>
      <w:r w:rsidRPr="009A658D">
        <w:rPr>
          <w:rFonts w:ascii="Times New Roman" w:hAnsi="Times New Roman" w:cs="Times New Roman"/>
          <w:sz w:val="24"/>
          <w:szCs w:val="24"/>
        </w:rPr>
        <w:t>Ядранский</w:t>
      </w:r>
      <w:proofErr w:type="spellEnd"/>
      <w:r w:rsidRPr="009A658D">
        <w:rPr>
          <w:rFonts w:ascii="Times New Roman" w:hAnsi="Times New Roman" w:cs="Times New Roman"/>
          <w:sz w:val="24"/>
          <w:szCs w:val="24"/>
        </w:rPr>
        <w:t xml:space="preserve"> [и др.] Казань: Бук, 2022. 228 с. </w:t>
      </w:r>
    </w:p>
    <w:p w14:paraId="77F0B45A" w14:textId="05BC3BD5" w:rsidR="00854770" w:rsidRPr="009A658D" w:rsidRDefault="009A658D" w:rsidP="009A658D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658D">
        <w:rPr>
          <w:rFonts w:ascii="Times New Roman" w:hAnsi="Times New Roman" w:cs="Times New Roman"/>
          <w:sz w:val="24"/>
          <w:szCs w:val="24"/>
        </w:rPr>
        <w:t>Ролдугина</w:t>
      </w:r>
      <w:proofErr w:type="spellEnd"/>
      <w:r w:rsidRPr="009A658D">
        <w:rPr>
          <w:rFonts w:ascii="Times New Roman" w:hAnsi="Times New Roman" w:cs="Times New Roman"/>
          <w:sz w:val="24"/>
          <w:szCs w:val="24"/>
        </w:rPr>
        <w:t xml:space="preserve"> Е. В. Федеральные университеты-центры развития территорий Российской Федерации //Третья миссия университета: федеральные университеты как центры инн</w:t>
      </w:r>
      <w:r>
        <w:rPr>
          <w:rFonts w:ascii="Times New Roman" w:hAnsi="Times New Roman" w:cs="Times New Roman"/>
          <w:sz w:val="24"/>
          <w:szCs w:val="24"/>
        </w:rPr>
        <w:t>овационного развития регионов.</w:t>
      </w:r>
      <w:r w:rsidRPr="009A658D">
        <w:rPr>
          <w:rFonts w:ascii="Times New Roman" w:hAnsi="Times New Roman" w:cs="Times New Roman"/>
          <w:sz w:val="24"/>
          <w:szCs w:val="24"/>
        </w:rPr>
        <w:t xml:space="preserve"> 2018. С. 6-20.</w:t>
      </w:r>
      <w:bookmarkStart w:id="1" w:name="_GoBack"/>
      <w:bookmarkEnd w:id="1"/>
    </w:p>
    <w:sectPr w:rsidR="00854770" w:rsidRPr="009A658D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140A6F" w14:textId="77777777" w:rsidR="00E271D8" w:rsidRDefault="00E271D8" w:rsidP="00827E82">
      <w:pPr>
        <w:spacing w:after="0" w:line="240" w:lineRule="auto"/>
      </w:pPr>
      <w:r>
        <w:separator/>
      </w:r>
    </w:p>
  </w:endnote>
  <w:endnote w:type="continuationSeparator" w:id="0">
    <w:p w14:paraId="04ECF063" w14:textId="77777777" w:rsidR="00E271D8" w:rsidRDefault="00E271D8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740CA8" w14:textId="77777777" w:rsidR="00E271D8" w:rsidRDefault="00E271D8" w:rsidP="00827E82">
      <w:pPr>
        <w:spacing w:after="0" w:line="240" w:lineRule="auto"/>
      </w:pPr>
      <w:r>
        <w:separator/>
      </w:r>
    </w:p>
  </w:footnote>
  <w:footnote w:type="continuationSeparator" w:id="0">
    <w:p w14:paraId="328E65B0" w14:textId="77777777" w:rsidR="00E271D8" w:rsidRDefault="00E271D8" w:rsidP="00827E82">
      <w:pPr>
        <w:spacing w:after="0" w:line="240" w:lineRule="auto"/>
      </w:pPr>
      <w:r>
        <w:continuationSeparator/>
      </w:r>
    </w:p>
  </w:footnote>
  <w:footnote w:id="1">
    <w:p w14:paraId="5E882276" w14:textId="4A5DFBB4" w:rsidR="0019611F" w:rsidRPr="00CA7DF7" w:rsidRDefault="00827E82" w:rsidP="0019611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19611F" w:rsidRPr="0019611F">
        <w:rPr>
          <w:rFonts w:ascii="Times New Roman" w:hAnsi="Times New Roman" w:cs="Times New Roman"/>
          <w:sz w:val="20"/>
          <w:szCs w:val="20"/>
        </w:rPr>
        <w:t>Н</w:t>
      </w:r>
      <w:r w:rsidR="0019611F" w:rsidRPr="0019611F">
        <w:rPr>
          <w:rFonts w:ascii="Times New Roman" w:hAnsi="Times New Roman" w:cs="Times New Roman"/>
          <w:sz w:val="20"/>
          <w:szCs w:val="20"/>
        </w:rPr>
        <w:t>овиков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 Сергей Владимирович, кандидат экономических наук, доцент, проректор по стратегическому развитию горного образования в новых регионах</w:t>
      </w:r>
      <w:r w:rsidR="0019611F">
        <w:rPr>
          <w:rFonts w:ascii="Times New Roman" w:hAnsi="Times New Roman" w:cs="Times New Roman"/>
          <w:sz w:val="20"/>
          <w:szCs w:val="20"/>
        </w:rPr>
        <w:t xml:space="preserve">, </w:t>
      </w:r>
      <w:r w:rsidR="0019611F" w:rsidRPr="0019611F">
        <w:rPr>
          <w:rFonts w:ascii="Times New Roman" w:hAnsi="Times New Roman" w:cs="Times New Roman"/>
          <w:sz w:val="20"/>
          <w:szCs w:val="20"/>
        </w:rPr>
        <w:t>ФГБОУ ВО «Санкт-Петербургский горный университет»</w:t>
      </w:r>
      <w:r w:rsidR="0019611F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199106, Санкт-Петербург, Васильевский остров, 21 линия д.2, </w:t>
      </w:r>
      <w:r w:rsidR="0019611F" w:rsidRPr="00CA7DF7">
        <w:rPr>
          <w:rFonts w:ascii="Times New Roman" w:hAnsi="Times New Roman" w:cs="Times New Roman"/>
          <w:sz w:val="20"/>
          <w:szCs w:val="20"/>
        </w:rPr>
        <w:t>E-</w:t>
      </w:r>
      <w:proofErr w:type="spellStart"/>
      <w:r w:rsidR="0019611F"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="0019611F" w:rsidRPr="00CA7DF7">
        <w:rPr>
          <w:rFonts w:ascii="Times New Roman" w:hAnsi="Times New Roman" w:cs="Times New Roman"/>
          <w:sz w:val="20"/>
          <w:szCs w:val="20"/>
        </w:rPr>
        <w:t>:</w:t>
      </w:r>
      <w:r w:rsidR="0019611F">
        <w:rPr>
          <w:rFonts w:ascii="Times New Roman" w:hAnsi="Times New Roman" w:cs="Times New Roman"/>
          <w:sz w:val="20"/>
          <w:szCs w:val="20"/>
        </w:rPr>
        <w:t xml:space="preserve"> </w:t>
      </w:r>
      <w:r w:rsidR="0019611F" w:rsidRPr="0019611F">
        <w:rPr>
          <w:rFonts w:ascii="Times New Roman" w:hAnsi="Times New Roman" w:cs="Times New Roman"/>
          <w:sz w:val="20"/>
          <w:szCs w:val="20"/>
        </w:rPr>
        <w:t>sv_novikov@internet.ru</w:t>
      </w:r>
      <w:r w:rsidR="0019611F">
        <w:rPr>
          <w:rFonts w:ascii="Times New Roman" w:hAnsi="Times New Roman" w:cs="Times New Roman"/>
          <w:sz w:val="20"/>
          <w:szCs w:val="20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19611F"/>
    <w:rsid w:val="001B5953"/>
    <w:rsid w:val="00287F75"/>
    <w:rsid w:val="00353244"/>
    <w:rsid w:val="0044325D"/>
    <w:rsid w:val="00590F6E"/>
    <w:rsid w:val="005F5AF9"/>
    <w:rsid w:val="00787640"/>
    <w:rsid w:val="007C5690"/>
    <w:rsid w:val="007D79E0"/>
    <w:rsid w:val="00827E82"/>
    <w:rsid w:val="00854770"/>
    <w:rsid w:val="008C75C1"/>
    <w:rsid w:val="00916BF7"/>
    <w:rsid w:val="00922705"/>
    <w:rsid w:val="009A658D"/>
    <w:rsid w:val="00BC155A"/>
    <w:rsid w:val="00E271D8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11F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,o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aliases w:val="Текст сноски-FN,Footnote Text Char Знак Знак,Footnote Text Char Знак,-++,single space,footnote text,Footnote Text Char,FOOTNOTES,fn,Table_Footnote_last,Oaeno niinee-FN,Oaeno niinee Ciae,Schriftart: 9 pt,Schriftart: 10 pt,Schriftart: 8 pt"/>
    <w:basedOn w:val="a"/>
    <w:link w:val="a5"/>
    <w:uiPriority w:val="99"/>
    <w:unhideWhenUsed/>
    <w:qFormat/>
    <w:rsid w:val="0019611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Текст сноски-FN Знак,Footnote Text Char Знак Знак Знак,Footnote Text Char Знак Знак1,-++ Знак,single space Знак,footnote text Знак,Footnote Text Char Знак1,FOOTNOTES Знак,fn Знак,Table_Footnote_last Знак,Oaeno niinee-FN Знак"/>
    <w:basedOn w:val="a0"/>
    <w:link w:val="a4"/>
    <w:uiPriority w:val="99"/>
    <w:rsid w:val="0019611F"/>
    <w:rPr>
      <w:sz w:val="20"/>
      <w:szCs w:val="20"/>
    </w:rPr>
  </w:style>
  <w:style w:type="character" w:styleId="a6">
    <w:name w:val="Hyperlink"/>
    <w:basedOn w:val="a0"/>
    <w:uiPriority w:val="99"/>
    <w:unhideWhenUsed/>
    <w:rsid w:val="0019611F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9A65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8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7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inobrnauki.gov.ru/action/stat/highed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Лист1!$A$5</c:f>
              <c:strCache>
                <c:ptCount val="1"/>
                <c:pt idx="0">
                  <c:v>Государственные ВУЗы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110000"/>
                    <a:satMod val="105000"/>
                    <a:tint val="67000"/>
                  </a:schemeClr>
                </a:gs>
                <a:gs pos="50000">
                  <a:schemeClr val="accent1">
                    <a:lumMod val="105000"/>
                    <a:satMod val="103000"/>
                    <a:tint val="73000"/>
                  </a:schemeClr>
                </a:gs>
                <a:gs pos="100000">
                  <a:schemeClr val="accent1">
                    <a:lumMod val="105000"/>
                    <a:satMod val="109000"/>
                    <a:tint val="81000"/>
                  </a:schemeClr>
                </a:gs>
              </a:gsLst>
              <a:lin ang="5400000" scaled="0"/>
            </a:gradFill>
            <a:ln w="9525" cap="flat" cmpd="sng" algn="ctr">
              <a:solidFill>
                <a:schemeClr val="accent1">
                  <a:shade val="95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Лист1!$B$4:$K$4</c:f>
              <c:numCache>
                <c:formatCode>General</c:formatCode>
                <c:ptCount val="10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Лист1!$B$5:$K$5</c:f>
              <c:numCache>
                <c:formatCode>General</c:formatCode>
                <c:ptCount val="10"/>
                <c:pt idx="0">
                  <c:v>607</c:v>
                </c:pt>
                <c:pt idx="1">
                  <c:v>655</c:v>
                </c:pt>
                <c:pt idx="2">
                  <c:v>653</c:v>
                </c:pt>
                <c:pt idx="3">
                  <c:v>530</c:v>
                </c:pt>
                <c:pt idx="4">
                  <c:v>502</c:v>
                </c:pt>
                <c:pt idx="5">
                  <c:v>500</c:v>
                </c:pt>
                <c:pt idx="6">
                  <c:v>496</c:v>
                </c:pt>
                <c:pt idx="7">
                  <c:v>495</c:v>
                </c:pt>
                <c:pt idx="8">
                  <c:v>468</c:v>
                </c:pt>
                <c:pt idx="9">
                  <c:v>488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199-4ECF-9C9E-6799B1C392E5}"/>
            </c:ext>
          </c:extLst>
        </c:ser>
        <c:ser>
          <c:idx val="1"/>
          <c:order val="1"/>
          <c:tx>
            <c:strRef>
              <c:f>Лист1!$A$6</c:f>
              <c:strCache>
                <c:ptCount val="1"/>
                <c:pt idx="0">
                  <c:v>Негосударственные ВУЗы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110000"/>
                    <a:satMod val="105000"/>
                    <a:tint val="67000"/>
                  </a:schemeClr>
                </a:gs>
                <a:gs pos="50000">
                  <a:schemeClr val="accent2">
                    <a:lumMod val="105000"/>
                    <a:satMod val="103000"/>
                    <a:tint val="73000"/>
                  </a:schemeClr>
                </a:gs>
                <a:gs pos="100000">
                  <a:schemeClr val="accent2">
                    <a:lumMod val="105000"/>
                    <a:satMod val="109000"/>
                    <a:tint val="81000"/>
                  </a:schemeClr>
                </a:gs>
              </a:gsLst>
              <a:lin ang="5400000" scaled="0"/>
            </a:gradFill>
            <a:ln w="9525" cap="flat" cmpd="sng" algn="ctr">
              <a:solidFill>
                <a:schemeClr val="accent2">
                  <a:shade val="95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Лист1!$B$4:$K$4</c:f>
              <c:numCache>
                <c:formatCode>General</c:formatCode>
                <c:ptCount val="10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Лист1!$B$6:$K$6</c:f>
              <c:numCache>
                <c:formatCode>General</c:formatCode>
                <c:ptCount val="10"/>
                <c:pt idx="0">
                  <c:v>358</c:v>
                </c:pt>
                <c:pt idx="1">
                  <c:v>413</c:v>
                </c:pt>
                <c:pt idx="2">
                  <c:v>462</c:v>
                </c:pt>
                <c:pt idx="3">
                  <c:v>366</c:v>
                </c:pt>
                <c:pt idx="4">
                  <c:v>316</c:v>
                </c:pt>
                <c:pt idx="5">
                  <c:v>266</c:v>
                </c:pt>
                <c:pt idx="6">
                  <c:v>245</c:v>
                </c:pt>
                <c:pt idx="7">
                  <c:v>229</c:v>
                </c:pt>
                <c:pt idx="8">
                  <c:v>221</c:v>
                </c:pt>
                <c:pt idx="9">
                  <c:v>210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199-4ECF-9C9E-6799B1C392E5}"/>
            </c:ext>
          </c:extLst>
        </c:ser>
        <c:ser>
          <c:idx val="2"/>
          <c:order val="2"/>
          <c:tx>
            <c:strRef>
              <c:f>Лист1!$A$7</c:f>
              <c:strCache>
                <c:ptCount val="1"/>
                <c:pt idx="0">
                  <c:v>Всего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110000"/>
                    <a:satMod val="105000"/>
                    <a:tint val="67000"/>
                  </a:schemeClr>
                </a:gs>
                <a:gs pos="50000">
                  <a:schemeClr val="accent3">
                    <a:lumMod val="105000"/>
                    <a:satMod val="103000"/>
                    <a:tint val="73000"/>
                  </a:schemeClr>
                </a:gs>
                <a:gs pos="100000">
                  <a:schemeClr val="accent3">
                    <a:lumMod val="105000"/>
                    <a:satMod val="109000"/>
                    <a:tint val="81000"/>
                  </a:schemeClr>
                </a:gs>
              </a:gsLst>
              <a:lin ang="5400000" scaled="0"/>
            </a:gradFill>
            <a:ln w="9525" cap="flat" cmpd="sng" algn="ctr">
              <a:solidFill>
                <a:schemeClr val="accent3">
                  <a:shade val="95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Лист1!$B$4:$K$4</c:f>
              <c:numCache>
                <c:formatCode>General</c:formatCode>
                <c:ptCount val="10"/>
                <c:pt idx="0">
                  <c:v>2000</c:v>
                </c:pt>
                <c:pt idx="1">
                  <c:v>2005</c:v>
                </c:pt>
                <c:pt idx="2">
                  <c:v>2010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Лист1!$B$7:$K$7</c:f>
              <c:numCache>
                <c:formatCode>General</c:formatCode>
                <c:ptCount val="10"/>
                <c:pt idx="0">
                  <c:v>965</c:v>
                </c:pt>
                <c:pt idx="1">
                  <c:v>1068</c:v>
                </c:pt>
                <c:pt idx="2">
                  <c:v>1115</c:v>
                </c:pt>
                <c:pt idx="3">
                  <c:v>896</c:v>
                </c:pt>
                <c:pt idx="4">
                  <c:v>818</c:v>
                </c:pt>
                <c:pt idx="5">
                  <c:v>766</c:v>
                </c:pt>
                <c:pt idx="6">
                  <c:v>741</c:v>
                </c:pt>
                <c:pt idx="7">
                  <c:v>724</c:v>
                </c:pt>
                <c:pt idx="8">
                  <c:v>689</c:v>
                </c:pt>
                <c:pt idx="9">
                  <c:v>698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199-4ECF-9C9E-6799B1C392E5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710099551"/>
        <c:axId val="710092895"/>
      </c:barChart>
      <c:catAx>
        <c:axId val="71009955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710092895"/>
        <c:crosses val="autoZero"/>
        <c:auto val="1"/>
        <c:lblAlgn val="ctr"/>
        <c:lblOffset val="100"/>
        <c:noMultiLvlLbl val="0"/>
      </c:catAx>
      <c:valAx>
        <c:axId val="71009289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71009955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9826-43FF-B2E3-666B0D0282D6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9826-43FF-B2E3-666B0D0282D6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9826-43FF-B2E3-666B0D0282D6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9826-43FF-B2E3-666B0D0282D6}"/>
              </c:ext>
            </c:extLst>
          </c:dPt>
          <c:dPt>
            <c:idx val="4"/>
            <c:bubble3D val="0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9-9826-43FF-B2E3-666B0D0282D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>
                  <a:solidFill>
                    <a:schemeClr val="tx2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Лист1!$A$11:$A$15</c:f>
              <c:strCache>
                <c:ptCount val="5"/>
                <c:pt idx="0">
                  <c:v>Университеты с особым статусом</c:v>
                </c:pt>
                <c:pt idx="1">
                  <c:v>Федеральный </c:v>
                </c:pt>
                <c:pt idx="2">
                  <c:v>Национальный исследовательский университет</c:v>
                </c:pt>
                <c:pt idx="3">
                  <c:v>Опорный</c:v>
                </c:pt>
                <c:pt idx="4">
                  <c:v>Участник проекта 100-500</c:v>
                </c:pt>
              </c:strCache>
            </c:strRef>
          </c:cat>
          <c:val>
            <c:numRef>
              <c:f>Лист1!$B$11:$B$15</c:f>
              <c:numCache>
                <c:formatCode>General</c:formatCode>
                <c:ptCount val="5"/>
                <c:pt idx="0">
                  <c:v>2</c:v>
                </c:pt>
                <c:pt idx="1">
                  <c:v>10</c:v>
                </c:pt>
                <c:pt idx="2">
                  <c:v>29</c:v>
                </c:pt>
                <c:pt idx="3">
                  <c:v>33</c:v>
                </c:pt>
                <c:pt idx="4">
                  <c:v>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9826-43FF-B2E3-666B0D0282D6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6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5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704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</cp:revision>
  <dcterms:created xsi:type="dcterms:W3CDTF">2023-05-03T12:19:00Z</dcterms:created>
  <dcterms:modified xsi:type="dcterms:W3CDTF">2023-05-03T12:49:00Z</dcterms:modified>
</cp:coreProperties>
</file>