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E2BEA8" w14:textId="3D0E1963" w:rsidR="00827E82" w:rsidRPr="001B5953" w:rsidRDefault="000C39C6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proofErr w:type="spellStart"/>
      <w:r w:rsidRPr="000C39C6">
        <w:rPr>
          <w:caps/>
          <w:szCs w:val="24"/>
        </w:rPr>
        <w:t>К</w:t>
      </w:r>
      <w:r w:rsidRPr="000C39C6">
        <w:rPr>
          <w:szCs w:val="24"/>
        </w:rPr>
        <w:t>очерьян</w:t>
      </w:r>
      <w:proofErr w:type="spellEnd"/>
      <w:r w:rsidRPr="000C39C6">
        <w:rPr>
          <w:caps/>
          <w:szCs w:val="24"/>
        </w:rPr>
        <w:t xml:space="preserve"> М.А</w:t>
      </w:r>
      <w:r>
        <w:rPr>
          <w:caps/>
          <w:szCs w:val="24"/>
          <w:vertAlign w:val="superscript"/>
        </w:rPr>
        <w:t>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1B5953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7AC94966" w:rsidR="00827E82" w:rsidRPr="001B5953" w:rsidRDefault="000C39C6" w:rsidP="00353244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Смена парадигмы финансирования профессионального спорта</w:t>
      </w:r>
    </w:p>
    <w:p w14:paraId="2EE1AAFB" w14:textId="3981CF4A" w:rsidR="00827E82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В статье представлены данные о </w:t>
      </w:r>
      <w:r w:rsidR="00797714">
        <w:rPr>
          <w:rFonts w:ascii="Times New Roman" w:hAnsi="Times New Roman" w:cs="Times New Roman"/>
          <w:i/>
          <w:sz w:val="24"/>
          <w:szCs w:val="24"/>
        </w:rPr>
        <w:t>расходах инвестиционного характера на строительство спортивных объектов в государственных программах развития физической культуры и спорта</w:t>
      </w:r>
      <w:r w:rsidR="0019611F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797714">
        <w:rPr>
          <w:rFonts w:ascii="Times New Roman" w:hAnsi="Times New Roman" w:cs="Times New Roman"/>
          <w:i/>
          <w:sz w:val="24"/>
          <w:szCs w:val="24"/>
        </w:rPr>
        <w:t xml:space="preserve">Автор делает вывод об увеличении роли частного финансирования для организаций профессионального спорта. </w:t>
      </w:r>
    </w:p>
    <w:p w14:paraId="44AAF154" w14:textId="2DAFE978" w:rsidR="001B5953" w:rsidRPr="001B5953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C75C1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1B595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97714">
        <w:rPr>
          <w:rFonts w:ascii="Times New Roman" w:hAnsi="Times New Roman" w:cs="Times New Roman"/>
          <w:i/>
          <w:sz w:val="24"/>
          <w:szCs w:val="24"/>
        </w:rPr>
        <w:t>профессиональный спорт</w:t>
      </w:r>
      <w:r w:rsidR="009A658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797714">
        <w:rPr>
          <w:rFonts w:ascii="Times New Roman" w:hAnsi="Times New Roman" w:cs="Times New Roman"/>
          <w:i/>
          <w:sz w:val="24"/>
          <w:szCs w:val="24"/>
        </w:rPr>
        <w:t>государственная программа</w:t>
      </w:r>
      <w:r w:rsidR="009A658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797714">
        <w:rPr>
          <w:rFonts w:ascii="Times New Roman" w:hAnsi="Times New Roman" w:cs="Times New Roman"/>
          <w:i/>
          <w:sz w:val="24"/>
          <w:szCs w:val="24"/>
        </w:rPr>
        <w:t>источники инвестиций</w:t>
      </w:r>
      <w:r w:rsidR="009A658D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797714">
        <w:rPr>
          <w:rFonts w:ascii="Times New Roman" w:hAnsi="Times New Roman" w:cs="Times New Roman"/>
          <w:i/>
          <w:sz w:val="24"/>
          <w:szCs w:val="24"/>
        </w:rPr>
        <w:t>государственно-частное партнерство</w:t>
      </w:r>
      <w:bookmarkStart w:id="1" w:name="_GoBack"/>
      <w:bookmarkEnd w:id="1"/>
      <w:r w:rsidRPr="001B5953">
        <w:rPr>
          <w:rFonts w:ascii="Times New Roman" w:hAnsi="Times New Roman" w:cs="Times New Roman"/>
          <w:i/>
          <w:sz w:val="24"/>
          <w:szCs w:val="24"/>
        </w:rPr>
        <w:t>.</w:t>
      </w:r>
    </w:p>
    <w:p w14:paraId="38E86A69" w14:textId="77777777" w:rsid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CD3FEDE" w14:textId="4664002E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В стратегии развития физкультуры и спорта в РФ до 2030 года отмечается необходимость «поэтапного сокращения финансирования профессионального спорта из бюджетной системы и бюджетов компаний с государственным участием» [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C39C6">
        <w:rPr>
          <w:rFonts w:ascii="Times New Roman" w:hAnsi="Times New Roman" w:cs="Times New Roman"/>
          <w:sz w:val="24"/>
          <w:szCs w:val="24"/>
        </w:rPr>
        <w:t>]. В документе также дается понять, что небольшие коммерческие доходы спортивных клубов могут привести к их исчезновению. В футбольных клубах Российской премьер-лиги доля частных доходов составляет лишь 30%, в хоккейных командах – 34%, в баскетболе – 14% [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C39C6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7BE565C2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В условиях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санкционного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давления наши спортсмены не имеют возможности тренироваться на территории недружественных государств. Есть федерации, которые не обладают на территории России своими трассами и стадионами должного уровня. Поэтому необходимо строительство тренировочных баз в нашем государстве.  </w:t>
      </w:r>
    </w:p>
    <w:p w14:paraId="62928A56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Основные факторы, которые увеличивают расходы, – перераспределение бюджетных ассигнований с иных государственных программ, с учетом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приоритизации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реализуемых мероприятий – это 700 млн. рублей в 2023 году и 1,8 млрд. рублей в 2024 году</w:t>
      </w:r>
    </w:p>
    <w:p w14:paraId="626E568C" w14:textId="7A789CB3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Pr="000C39C6">
        <w:rPr>
          <w:rFonts w:ascii="Times New Roman" w:hAnsi="Times New Roman" w:cs="Times New Roman"/>
          <w:sz w:val="24"/>
          <w:szCs w:val="24"/>
        </w:rPr>
        <w:t>а 2023 год по федеральному проекту «Спорт – норма жизни» предусмотрены бюджетные ассигнования в размере 9 млрд 47 млн рублей и ввод в эксплуатацию 58 объектов спорта, на 2024 год – бюджетные ассигнования в размере 5 млрд 786 млн рублей и ввод в эксплуатацию 78 спортивных объектов.</w:t>
      </w:r>
    </w:p>
    <w:p w14:paraId="3DFB2A73" w14:textId="25898CCC" w:rsid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Общие расходы инвестиционного характера на завершение строительства и реконструкцию объектов спорта в рамках госпрограммы в 2023-2025 гг. представлены </w:t>
      </w:r>
      <w:r>
        <w:rPr>
          <w:rFonts w:ascii="Times New Roman" w:hAnsi="Times New Roman" w:cs="Times New Roman"/>
          <w:sz w:val="24"/>
          <w:szCs w:val="24"/>
        </w:rPr>
        <w:t>на рисунке 1</w:t>
      </w:r>
      <w:r w:rsidRPr="000C39C6">
        <w:rPr>
          <w:rFonts w:ascii="Times New Roman" w:hAnsi="Times New Roman" w:cs="Times New Roman"/>
          <w:sz w:val="24"/>
          <w:szCs w:val="24"/>
        </w:rPr>
        <w:t>.</w:t>
      </w:r>
    </w:p>
    <w:p w14:paraId="28EB2987" w14:textId="2798C045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A14D290" wp14:editId="25D37550">
            <wp:extent cx="4572000" cy="27432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79865B3" w14:textId="1E9F396B" w:rsidR="000C39C6" w:rsidRPr="000C39C6" w:rsidRDefault="000C39C6" w:rsidP="000C39C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b/>
          <w:sz w:val="24"/>
          <w:szCs w:val="24"/>
        </w:rPr>
        <w:t>Рис.1.</w:t>
      </w:r>
      <w:r w:rsidRPr="000C39C6">
        <w:rPr>
          <w:rFonts w:ascii="Times New Roman" w:hAnsi="Times New Roman" w:cs="Times New Roman"/>
          <w:sz w:val="24"/>
          <w:szCs w:val="24"/>
        </w:rPr>
        <w:t xml:space="preserve"> Общие расходы инвестиционного характера на завершение строительства и реконструкцию объектов спорта в рамках госпрограммы в 2023-2025 гг.</w:t>
      </w:r>
    </w:p>
    <w:p w14:paraId="5D6DB8C5" w14:textId="77777777" w:rsid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7BA43E" w14:textId="3779F9B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Общие расходы инвестиционного характера на завершение строительства и реконструкцию объектов спорта в рамках госпрограммы составляют на 2023 год 19 млрд рублей, на 2024 год – 12 млрд рублей и на 2025 год – 2,4 млрд рублей. Проект бюджета предусматривает выполнение основных показателей и результатов госпрограмм и федеральных проектов.</w:t>
      </w:r>
    </w:p>
    <w:p w14:paraId="2658CA7F" w14:textId="212241EF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С 2022 года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Минспорт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России реализует новый федеральный проект «Бизнес-спринт (Я выбираю спорт)»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C39C6">
        <w:rPr>
          <w:rFonts w:ascii="Times New Roman" w:hAnsi="Times New Roman" w:cs="Times New Roman"/>
          <w:sz w:val="24"/>
          <w:szCs w:val="24"/>
        </w:rPr>
        <w:t xml:space="preserve">  Одной из его стратегических задач является выстраивание взаимодействия с частными партнерами. Это новый подход к поддержке проектов в сфере спорта. Первые результаты реализации федерального проекта были озвучены в рамках одной из сессий Российской недели ГЧП. </w:t>
      </w:r>
    </w:p>
    <w:p w14:paraId="375D3A29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В части развития механизмов ГЧП в сфере спорта федеральным проектом предусмотрено ежегодное выделение 3 млрд руб. из федерального бюджета с 2023 года на предоставление субсидий субъектам. Правила предоставления и распределения субсидий были закреплены в приложении к постановлению Правительства РФ от 24 декабря 2021 г. № 2440.</w:t>
      </w:r>
    </w:p>
    <w:p w14:paraId="0E8D1070" w14:textId="0117A043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Сейчас, согласно Правилам, потенциальному инвестору нужно предоставить в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Минспорт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России финансово-экономическое обоснование, требования к которому утверждены приказом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Минспорта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России от 22.03.2022 № 217. Для его подготовки в обязательном порядке необходимо провести маркетинговые исследования в целях оценки спроса и потребностей населения в физкультурно-оздоровительных услугах для определения целесообразности строительства объекта массового спорта. Благодаря исследованию будут решены ключевые вопросы развития спортивной инфраструктуры:</w:t>
      </w:r>
    </w:p>
    <w:p w14:paraId="54BC4E7C" w14:textId="77777777" w:rsidR="000C39C6" w:rsidRPr="000C39C6" w:rsidRDefault="000C39C6" w:rsidP="000C39C6">
      <w:pPr>
        <w:pStyle w:val="a7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совместно с бизнесом с применением механизмов ГЧП будут строиться только те объекты спорта, которые отвечают потребностям и спросу населения;</w:t>
      </w:r>
    </w:p>
    <w:p w14:paraId="571BD4EB" w14:textId="77777777" w:rsidR="000C39C6" w:rsidRPr="000C39C6" w:rsidRDefault="000C39C6" w:rsidP="000C39C6">
      <w:pPr>
        <w:pStyle w:val="a7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участие населения в строительстве объектов массового спорта;</w:t>
      </w:r>
    </w:p>
    <w:p w14:paraId="61C42E76" w14:textId="77777777" w:rsidR="000C39C6" w:rsidRPr="000C39C6" w:rsidRDefault="000C39C6" w:rsidP="000C39C6">
      <w:pPr>
        <w:pStyle w:val="a7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объекты создаются с учетом социально-экономической особенности региона или муниципального образования (отказ от создания крупных спортивных объектов в сторону небольших объектов в шаговой доступности).</w:t>
      </w:r>
    </w:p>
    <w:p w14:paraId="3E373EB5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Поставленную перед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Минспортом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амбициозную цель, а именно создание благоприятных условий для занятий физической культуры и спорта для 61 млн человек трудоспособного возраста, мало возможно достичь исключительно за счет бюджетных средств. </w:t>
      </w:r>
    </w:p>
    <w:p w14:paraId="686D776C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Необходимо создавать спортивную инфраструктуру массового спорта таким образом, чтобы были удовлетворены потребности и спрос населения в физкультурно-оздоровительных услугах и качество таких услуг повышалось благодаря активному применению механизма обратной связи. </w:t>
      </w:r>
    </w:p>
    <w:p w14:paraId="4A8B69FD" w14:textId="213AD2D6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В настоящее время в рамках федерального проекта «Государство для людей» Минэкономразвития разработало специальный инструмент «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Клиентоцентричность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>», благодаря которому между бизнесом, государством и населением выстроится э</w:t>
      </w:r>
      <w:r>
        <w:rPr>
          <w:rFonts w:ascii="Times New Roman" w:hAnsi="Times New Roman" w:cs="Times New Roman"/>
          <w:sz w:val="24"/>
          <w:szCs w:val="24"/>
        </w:rPr>
        <w:t>ффективная система коммуникаций</w:t>
      </w:r>
      <w:r w:rsidRPr="000C39C6">
        <w:rPr>
          <w:rFonts w:ascii="Times New Roman" w:hAnsi="Times New Roman" w:cs="Times New Roman"/>
          <w:sz w:val="24"/>
          <w:szCs w:val="24"/>
        </w:rPr>
        <w:t>.</w:t>
      </w:r>
    </w:p>
    <w:p w14:paraId="616DDD22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Присутствующие на сессии представители регионов отметили широкие перспективы для использования механизмов ГЧП в сфере физической культуры и спорта. Так, реализация механизмов ГЧП в рамках федерального проекта позволит повысить как интерес потенциальных инвесторов к сфере, так и создать условия для занятий спортом населением. </w:t>
      </w:r>
    </w:p>
    <w:p w14:paraId="4EC95377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Можно отметить активную позицию федерального ведомства по внедрению механизмов ГЧП в сфере физической культуры и спорта, и механизмов обратной связи путем проведения маркетинговых исследований. Например, Башкортостан стал вторым регионом по количеству предоставленных заявок в </w:t>
      </w:r>
      <w:proofErr w:type="spellStart"/>
      <w:r w:rsidRPr="000C39C6">
        <w:rPr>
          <w:rFonts w:ascii="Times New Roman" w:hAnsi="Times New Roman" w:cs="Times New Roman"/>
          <w:sz w:val="24"/>
          <w:szCs w:val="24"/>
        </w:rPr>
        <w:t>Минспорт</w:t>
      </w:r>
      <w:proofErr w:type="spellEnd"/>
      <w:r w:rsidRPr="000C39C6">
        <w:rPr>
          <w:rFonts w:ascii="Times New Roman" w:hAnsi="Times New Roman" w:cs="Times New Roman"/>
          <w:sz w:val="24"/>
          <w:szCs w:val="24"/>
        </w:rPr>
        <w:t xml:space="preserve"> России для участия в отборе ГЧП-проектов в рамках федерального проекта, направив 8 заявок.</w:t>
      </w:r>
    </w:p>
    <w:p w14:paraId="1C93EE93" w14:textId="77777777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 xml:space="preserve">Основная задача органов исполнительной власти по физической культуре и спорту – оказание всесторонней поддержки  предпринимательской инициативы, что позволяет </w:t>
      </w:r>
      <w:r w:rsidRPr="000C39C6">
        <w:rPr>
          <w:rFonts w:ascii="Times New Roman" w:hAnsi="Times New Roman" w:cs="Times New Roman"/>
          <w:sz w:val="24"/>
          <w:szCs w:val="24"/>
        </w:rPr>
        <w:lastRenderedPageBreak/>
        <w:t xml:space="preserve">повысить инвестиционную активность в регионе и решить поставленные перед министерством задачи по развитию спорта. </w:t>
      </w:r>
    </w:p>
    <w:p w14:paraId="1D262CBD" w14:textId="3BB60099" w:rsidR="000C39C6" w:rsidRPr="000C39C6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39C6">
        <w:rPr>
          <w:rFonts w:ascii="Times New Roman" w:hAnsi="Times New Roman" w:cs="Times New Roman"/>
          <w:sz w:val="24"/>
          <w:szCs w:val="24"/>
        </w:rPr>
        <w:t>Таким образом, можно сделать вывод, что поддержка спорта в России остается преимущественно государственной, но стратегия развития этой сферы предполагает поэтапную замену бюджетных ср</w:t>
      </w:r>
      <w:r w:rsidR="008959A2">
        <w:rPr>
          <w:rFonts w:ascii="Times New Roman" w:hAnsi="Times New Roman" w:cs="Times New Roman"/>
          <w:sz w:val="24"/>
          <w:szCs w:val="24"/>
        </w:rPr>
        <w:t>едств доходами от самого спорта</w:t>
      </w:r>
      <w:r w:rsidRPr="000C39C6">
        <w:rPr>
          <w:rFonts w:ascii="Times New Roman" w:hAnsi="Times New Roman" w:cs="Times New Roman"/>
          <w:sz w:val="24"/>
          <w:szCs w:val="24"/>
        </w:rPr>
        <w:t>.</w:t>
      </w:r>
    </w:p>
    <w:p w14:paraId="24954C00" w14:textId="77777777" w:rsidR="000C39C6" w:rsidRPr="0019611F" w:rsidRDefault="000C39C6" w:rsidP="000C39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05B4FA7" w14:textId="028EE163" w:rsidR="0019611F" w:rsidRPr="0019611F" w:rsidRDefault="0019611F" w:rsidP="001961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194792" w14:textId="77777777" w:rsidR="0019611F" w:rsidRDefault="0019611F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BB9F28" w14:textId="77777777" w:rsidR="00827E82" w:rsidRPr="001B5953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6DF1AA1B" w14:textId="77777777" w:rsidR="008959A2" w:rsidRPr="008959A2" w:rsidRDefault="008959A2" w:rsidP="008959A2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Kocheriyan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M.A.,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Vashlyaeva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I.V.,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Volovik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T.V. Ural region’s municipalities: sport infrastructure state analysis //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Teoriya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pracktika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fizicheskoy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kultury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8959A2">
        <w:rPr>
          <w:rFonts w:ascii="Times New Roman" w:hAnsi="Times New Roman" w:cs="Times New Roman"/>
          <w:sz w:val="24"/>
          <w:szCs w:val="24"/>
        </w:rPr>
        <w:t>2019. № 8. С. 81-83.</w:t>
      </w:r>
    </w:p>
    <w:p w14:paraId="14B03F20" w14:textId="77777777" w:rsidR="008959A2" w:rsidRPr="008959A2" w:rsidRDefault="008959A2" w:rsidP="008959A2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59A2">
        <w:rPr>
          <w:rFonts w:ascii="Times New Roman" w:hAnsi="Times New Roman" w:cs="Times New Roman"/>
          <w:sz w:val="24"/>
          <w:szCs w:val="24"/>
        </w:rPr>
        <w:t>Шаруненко</w:t>
      </w:r>
      <w:proofErr w:type="spellEnd"/>
      <w:r w:rsidRPr="008959A2">
        <w:rPr>
          <w:rFonts w:ascii="Times New Roman" w:hAnsi="Times New Roman" w:cs="Times New Roman"/>
          <w:sz w:val="24"/>
          <w:szCs w:val="24"/>
        </w:rPr>
        <w:t xml:space="preserve"> Ю. М. Структурная модель физкультурно-спортивной организации / Ю. </w:t>
      </w:r>
      <w:r w:rsidRPr="008959A2">
        <w:rPr>
          <w:rFonts w:ascii="Times New Roman" w:hAnsi="Times New Roman" w:cs="Times New Roman"/>
          <w:sz w:val="24"/>
          <w:szCs w:val="24"/>
          <w:lang w:val="en-US"/>
        </w:rPr>
        <w:t>М.</w:t>
      </w:r>
      <w:r w:rsidRPr="008959A2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Шаруненко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//Наука-2020. – 2016. – №. 5 (11). – С. 299-309.</w:t>
      </w:r>
    </w:p>
    <w:p w14:paraId="4E466DFF" w14:textId="0EFE83D0" w:rsidR="009A658D" w:rsidRPr="008959A2" w:rsidRDefault="008959A2" w:rsidP="008959A2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Бабенко Е. И., </w:t>
      </w: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Старлычанова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М. А. Перспективы развития государственно-частного партнерства в спортивной индустрии //Вестник Академии знаний. – 2019. – №. 2 (31). – С. 25-29.</w:t>
      </w:r>
      <w:r w:rsidR="009A658D"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7F0B45A" w14:textId="44007917" w:rsidR="00854770" w:rsidRPr="008959A2" w:rsidRDefault="008959A2" w:rsidP="008959A2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959A2">
        <w:rPr>
          <w:rFonts w:ascii="Times New Roman" w:hAnsi="Times New Roman" w:cs="Times New Roman"/>
          <w:sz w:val="24"/>
          <w:szCs w:val="24"/>
          <w:lang w:val="en-US"/>
        </w:rPr>
        <w:t>Лубышева</w:t>
      </w:r>
      <w:proofErr w:type="spellEnd"/>
      <w:r w:rsidRPr="008959A2">
        <w:rPr>
          <w:rFonts w:ascii="Times New Roman" w:hAnsi="Times New Roman" w:cs="Times New Roman"/>
          <w:sz w:val="24"/>
          <w:szCs w:val="24"/>
          <w:lang w:val="en-US"/>
        </w:rPr>
        <w:t xml:space="preserve"> Л. И. Государственно-частное партнерство-новый стратегический ресурс развития спортивной инфраструктуры //Теория и практика физической культуры. – 2021. – №. 2. – С. 101-101.</w:t>
      </w:r>
    </w:p>
    <w:sectPr w:rsidR="00854770" w:rsidRPr="008959A2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BCD9E" w14:textId="77777777" w:rsidR="00B0163F" w:rsidRDefault="00B0163F" w:rsidP="00827E82">
      <w:pPr>
        <w:spacing w:after="0" w:line="240" w:lineRule="auto"/>
      </w:pPr>
      <w:r>
        <w:separator/>
      </w:r>
    </w:p>
  </w:endnote>
  <w:endnote w:type="continuationSeparator" w:id="0">
    <w:p w14:paraId="70D7B9E6" w14:textId="77777777" w:rsidR="00B0163F" w:rsidRDefault="00B0163F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715A66" w14:textId="77777777" w:rsidR="00B0163F" w:rsidRDefault="00B0163F" w:rsidP="00827E82">
      <w:pPr>
        <w:spacing w:after="0" w:line="240" w:lineRule="auto"/>
      </w:pPr>
      <w:r>
        <w:separator/>
      </w:r>
    </w:p>
  </w:footnote>
  <w:footnote w:type="continuationSeparator" w:id="0">
    <w:p w14:paraId="256FCEB3" w14:textId="77777777" w:rsidR="00B0163F" w:rsidRDefault="00B0163F" w:rsidP="00827E82">
      <w:pPr>
        <w:spacing w:after="0" w:line="240" w:lineRule="auto"/>
      </w:pPr>
      <w:r>
        <w:continuationSeparator/>
      </w:r>
    </w:p>
  </w:footnote>
  <w:footnote w:id="1">
    <w:p w14:paraId="5E882276" w14:textId="092A554A" w:rsidR="0019611F" w:rsidRPr="00CA7DF7" w:rsidRDefault="00827E82" w:rsidP="0019611F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0C39C6">
        <w:rPr>
          <w:rFonts w:ascii="Times New Roman" w:hAnsi="Times New Roman" w:cs="Times New Roman"/>
          <w:sz w:val="20"/>
          <w:szCs w:val="20"/>
        </w:rPr>
        <w:t>Кочерьян</w:t>
      </w:r>
      <w:proofErr w:type="spellEnd"/>
      <w:r w:rsidR="000C39C6">
        <w:rPr>
          <w:rFonts w:ascii="Times New Roman" w:hAnsi="Times New Roman" w:cs="Times New Roman"/>
          <w:sz w:val="20"/>
          <w:szCs w:val="20"/>
        </w:rPr>
        <w:t xml:space="preserve"> Максим Артурович</w:t>
      </w:r>
      <w:r w:rsidR="0019611F" w:rsidRPr="0019611F">
        <w:rPr>
          <w:rFonts w:ascii="Times New Roman" w:hAnsi="Times New Roman" w:cs="Times New Roman"/>
          <w:sz w:val="20"/>
          <w:szCs w:val="20"/>
        </w:rPr>
        <w:t xml:space="preserve">, кандидат экономических наук, доцент, </w:t>
      </w:r>
      <w:r w:rsidR="008959A2" w:rsidRPr="008959A2">
        <w:rPr>
          <w:rFonts w:ascii="Times New Roman" w:hAnsi="Times New Roman" w:cs="Times New Roman"/>
          <w:sz w:val="20"/>
          <w:szCs w:val="20"/>
        </w:rPr>
        <w:t xml:space="preserve">заведующий кафедрой Физического воспитания и спорта Уральский государственный экономический университет, </w:t>
      </w:r>
      <w:r w:rsidR="0019611F">
        <w:rPr>
          <w:rFonts w:ascii="Times New Roman" w:hAnsi="Times New Roman" w:cs="Times New Roman"/>
          <w:sz w:val="20"/>
          <w:szCs w:val="20"/>
        </w:rPr>
        <w:t xml:space="preserve">(Адрес: </w:t>
      </w:r>
      <w:r w:rsidR="008959A2">
        <w:rPr>
          <w:rFonts w:ascii="Times New Roman" w:hAnsi="Times New Roman" w:cs="Times New Roman"/>
          <w:sz w:val="20"/>
          <w:szCs w:val="20"/>
        </w:rPr>
        <w:t>620142</w:t>
      </w:r>
      <w:r w:rsidR="0019611F" w:rsidRPr="0019611F">
        <w:rPr>
          <w:rFonts w:ascii="Times New Roman" w:hAnsi="Times New Roman" w:cs="Times New Roman"/>
          <w:sz w:val="20"/>
          <w:szCs w:val="20"/>
        </w:rPr>
        <w:t xml:space="preserve">, </w:t>
      </w:r>
      <w:r w:rsidR="008959A2" w:rsidRPr="008959A2">
        <w:rPr>
          <w:rFonts w:ascii="Times New Roman" w:hAnsi="Times New Roman" w:cs="Times New Roman"/>
          <w:sz w:val="20"/>
          <w:szCs w:val="20"/>
        </w:rPr>
        <w:t>г. Екатеринбург</w:t>
      </w:r>
      <w:r w:rsidR="0019611F" w:rsidRPr="008959A2">
        <w:rPr>
          <w:rFonts w:ascii="Times New Roman" w:hAnsi="Times New Roman" w:cs="Times New Roman"/>
          <w:sz w:val="20"/>
          <w:szCs w:val="20"/>
        </w:rPr>
        <w:t>,</w:t>
      </w:r>
      <w:r w:rsidR="0019611F" w:rsidRPr="0019611F">
        <w:rPr>
          <w:rFonts w:ascii="Times New Roman" w:hAnsi="Times New Roman" w:cs="Times New Roman"/>
          <w:sz w:val="20"/>
          <w:szCs w:val="20"/>
        </w:rPr>
        <w:t xml:space="preserve"> </w:t>
      </w:r>
      <w:r w:rsidR="008959A2">
        <w:rPr>
          <w:rFonts w:ascii="Times New Roman" w:hAnsi="Times New Roman" w:cs="Times New Roman"/>
          <w:sz w:val="20"/>
          <w:szCs w:val="20"/>
        </w:rPr>
        <w:t>ул.8 марта</w:t>
      </w:r>
      <w:r w:rsidR="0019611F" w:rsidRPr="0019611F">
        <w:rPr>
          <w:rFonts w:ascii="Times New Roman" w:hAnsi="Times New Roman" w:cs="Times New Roman"/>
          <w:sz w:val="20"/>
          <w:szCs w:val="20"/>
        </w:rPr>
        <w:t>, д.</w:t>
      </w:r>
      <w:r w:rsidR="008959A2">
        <w:rPr>
          <w:rFonts w:ascii="Times New Roman" w:hAnsi="Times New Roman" w:cs="Times New Roman"/>
          <w:sz w:val="20"/>
          <w:szCs w:val="20"/>
        </w:rPr>
        <w:t>6</w:t>
      </w:r>
      <w:r w:rsidR="0019611F" w:rsidRPr="0019611F">
        <w:rPr>
          <w:rFonts w:ascii="Times New Roman" w:hAnsi="Times New Roman" w:cs="Times New Roman"/>
          <w:sz w:val="20"/>
          <w:szCs w:val="20"/>
        </w:rPr>
        <w:t xml:space="preserve">2, </w:t>
      </w:r>
      <w:r w:rsidR="0019611F" w:rsidRPr="00CA7DF7">
        <w:rPr>
          <w:rFonts w:ascii="Times New Roman" w:hAnsi="Times New Roman" w:cs="Times New Roman"/>
          <w:sz w:val="20"/>
          <w:szCs w:val="20"/>
        </w:rPr>
        <w:t>E-</w:t>
      </w:r>
      <w:proofErr w:type="spellStart"/>
      <w:r w:rsidR="0019611F"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="0019611F" w:rsidRPr="00CA7DF7">
        <w:rPr>
          <w:rFonts w:ascii="Times New Roman" w:hAnsi="Times New Roman" w:cs="Times New Roman"/>
          <w:sz w:val="20"/>
          <w:szCs w:val="20"/>
        </w:rPr>
        <w:t>:</w:t>
      </w:r>
      <w:r w:rsidR="0019611F">
        <w:rPr>
          <w:rFonts w:ascii="Times New Roman" w:hAnsi="Times New Roman" w:cs="Times New Roman"/>
          <w:sz w:val="20"/>
          <w:szCs w:val="20"/>
        </w:rPr>
        <w:t xml:space="preserve"> </w:t>
      </w:r>
      <w:r w:rsidR="008959A2">
        <w:rPr>
          <w:rFonts w:ascii="Times New Roman" w:hAnsi="Times New Roman" w:cs="Times New Roman"/>
          <w:sz w:val="20"/>
          <w:szCs w:val="20"/>
          <w:lang w:val="en-US"/>
        </w:rPr>
        <w:t>otdel</w:t>
      </w:r>
      <w:r w:rsidR="008959A2" w:rsidRPr="008959A2">
        <w:rPr>
          <w:rFonts w:ascii="Times New Roman" w:hAnsi="Times New Roman" w:cs="Times New Roman"/>
          <w:sz w:val="20"/>
          <w:szCs w:val="20"/>
        </w:rPr>
        <w:t>-98@</w:t>
      </w:r>
      <w:r w:rsidR="008959A2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="008959A2" w:rsidRPr="008959A2">
        <w:rPr>
          <w:rFonts w:ascii="Times New Roman" w:hAnsi="Times New Roman" w:cs="Times New Roman"/>
          <w:sz w:val="20"/>
          <w:szCs w:val="20"/>
        </w:rPr>
        <w:t>.</w:t>
      </w:r>
      <w:r w:rsidR="008959A2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="0019611F">
        <w:rPr>
          <w:rFonts w:ascii="Times New Roman" w:hAnsi="Times New Roman" w:cs="Times New Roman"/>
          <w:sz w:val="20"/>
          <w:szCs w:val="20"/>
        </w:rPr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A4D57"/>
    <w:multiLevelType w:val="hybridMultilevel"/>
    <w:tmpl w:val="7F463428"/>
    <w:lvl w:ilvl="0" w:tplc="2F8A26B2">
      <w:start w:val="1"/>
      <w:numFmt w:val="bullet"/>
      <w:lvlText w:val="-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7B1C38"/>
    <w:multiLevelType w:val="hybridMultilevel"/>
    <w:tmpl w:val="7856DF8C"/>
    <w:lvl w:ilvl="0" w:tplc="2F8A26B2">
      <w:start w:val="1"/>
      <w:numFmt w:val="bullet"/>
      <w:lvlText w:val="-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3BEC"/>
    <w:rsid w:val="000C39C6"/>
    <w:rsid w:val="0019611F"/>
    <w:rsid w:val="001B5953"/>
    <w:rsid w:val="00287F75"/>
    <w:rsid w:val="00353244"/>
    <w:rsid w:val="0044325D"/>
    <w:rsid w:val="00590F6E"/>
    <w:rsid w:val="005F5AF9"/>
    <w:rsid w:val="00787640"/>
    <w:rsid w:val="00797714"/>
    <w:rsid w:val="007C5690"/>
    <w:rsid w:val="007D79E0"/>
    <w:rsid w:val="00827E82"/>
    <w:rsid w:val="00854770"/>
    <w:rsid w:val="008959A2"/>
    <w:rsid w:val="008C75C1"/>
    <w:rsid w:val="00916BF7"/>
    <w:rsid w:val="00922705"/>
    <w:rsid w:val="009A658D"/>
    <w:rsid w:val="00B0163F"/>
    <w:rsid w:val="00BC155A"/>
    <w:rsid w:val="00E271D8"/>
    <w:rsid w:val="00EA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611F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aliases w:val="Текст сноски-FN,Footnote Text Char Знак Знак,Footnote Text Char Знак,-++,single space,footnote text,Footnote Text Char,FOOTNOTES,fn,Table_Footnote_last,Oaeno niinee-FN,Oaeno niinee Ciae,Schriftart: 9 pt,Schriftart: 10 pt,Schriftart: 8 pt"/>
    <w:basedOn w:val="a"/>
    <w:link w:val="a5"/>
    <w:uiPriority w:val="99"/>
    <w:unhideWhenUsed/>
    <w:qFormat/>
    <w:rsid w:val="0019611F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aliases w:val="Текст сноски-FN Знак,Footnote Text Char Знак Знак Знак,Footnote Text Char Знак Знак1,-++ Знак,single space Знак,footnote text Знак,Footnote Text Char Знак1,FOOTNOTES Знак,fn Знак,Table_Footnote_last Знак,Oaeno niinee-FN Знак"/>
    <w:basedOn w:val="a0"/>
    <w:link w:val="a4"/>
    <w:uiPriority w:val="99"/>
    <w:rsid w:val="0019611F"/>
    <w:rPr>
      <w:sz w:val="20"/>
      <w:szCs w:val="20"/>
    </w:rPr>
  </w:style>
  <w:style w:type="character" w:styleId="a6">
    <w:name w:val="Hyperlink"/>
    <w:basedOn w:val="a0"/>
    <w:uiPriority w:val="99"/>
    <w:unhideWhenUsed/>
    <w:rsid w:val="0019611F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9A65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82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47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Лист1!$B$7</c:f>
              <c:strCache>
                <c:ptCount val="1"/>
                <c:pt idx="0">
                  <c:v>Бюджетные ассигнования, млрд. руб.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dk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Лист1!$C$6:$E$6</c:f>
              <c:numCache>
                <c:formatCode>General</c:formatCode>
                <c:ptCount val="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</c:numCache>
            </c:numRef>
          </c:cat>
          <c:val>
            <c:numRef>
              <c:f>Лист1!$C$7:$E$7</c:f>
              <c:numCache>
                <c:formatCode>General</c:formatCode>
                <c:ptCount val="3"/>
                <c:pt idx="0">
                  <c:v>19</c:v>
                </c:pt>
                <c:pt idx="1">
                  <c:v>12</c:v>
                </c:pt>
                <c:pt idx="2">
                  <c:v>2.4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A02-4E5B-B8D9-62AB97240A3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67"/>
        <c:overlap val="-43"/>
        <c:axId val="376971624"/>
        <c:axId val="376971952"/>
      </c:barChart>
      <c:catAx>
        <c:axId val="37697162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dk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76971952"/>
        <c:crosses val="autoZero"/>
        <c:auto val="1"/>
        <c:lblAlgn val="ctr"/>
        <c:lblOffset val="100"/>
        <c:noMultiLvlLbl val="0"/>
      </c:catAx>
      <c:valAx>
        <c:axId val="3769719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76971624"/>
        <c:crosses val="autoZero"/>
        <c:crossBetween val="between"/>
      </c:valAx>
      <c:spPr>
        <a:pattFill prst="ltDnDiag">
          <a:fgClr>
            <a:schemeClr val="dk1">
              <a:lumMod val="15000"/>
              <a:lumOff val="85000"/>
            </a:schemeClr>
          </a:fgClr>
          <a:bgClr>
            <a:schemeClr val="lt1"/>
          </a:bgClr>
        </a:pattFill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8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 cap="none" spc="0" normalizeH="0" baseline="0"/>
  </cs:categoryAxis>
  <cs:chartArea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lt1"/>
      </a:solidFill>
      <a:ln w="1587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8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  <cs:spPr>
      <a:pattFill prst="ltDnDiag">
        <a:fgClr>
          <a:schemeClr val="dk1">
            <a:lumMod val="15000"/>
            <a:lumOff val="85000"/>
          </a:schemeClr>
        </a:fgClr>
        <a:bgClr>
          <a:schemeClr val="lt1"/>
        </a:bgClr>
      </a:pattFill>
    </cs:spPr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  <cs:spPr>
      <a:pattFill prst="ltDnDiag">
        <a:fgClr>
          <a:schemeClr val="dk1">
            <a:lumMod val="15000"/>
            <a:lumOff val="85000"/>
          </a:schemeClr>
        </a:fgClr>
        <a:bgClr>
          <a:schemeClr val="lt1"/>
        </a:bgClr>
      </a:pattFill>
    </cs:spPr>
  </cs:plotArea>
  <cs:plotArea3D>
    <cs:lnRef idx="0"/>
    <cs:fillRef idx="0"/>
    <cs:effectRef idx="0"/>
    <cs:fontRef idx="minor">
      <a:schemeClr val="dk1"/>
    </cs:fontRef>
    <cs:spPr>
      <a:solidFill>
        <a:schemeClr val="lt1"/>
      </a:solidFill>
    </cs:spPr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dk1">
        <a:lumMod val="50000"/>
        <a:lumOff val="50000"/>
      </a:schemeClr>
    </cs:fontRef>
    <cs:defRPr sz="1600" b="1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  <cs:spPr>
      <a:pattFill prst="ltDnDiag">
        <a:fgClr>
          <a:schemeClr val="dk1">
            <a:lumMod val="15000"/>
            <a:lumOff val="85000"/>
          </a:schemeClr>
        </a:fgClr>
        <a:bgClr>
          <a:schemeClr val="lt1"/>
        </a:bgClr>
      </a:pattFill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4</cp:revision>
  <dcterms:created xsi:type="dcterms:W3CDTF">2023-05-03T12:19:00Z</dcterms:created>
  <dcterms:modified xsi:type="dcterms:W3CDTF">2023-05-04T12:17:00Z</dcterms:modified>
</cp:coreProperties>
</file>