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97D0E3" w14:textId="2B2656E3" w:rsidR="00CA1D19" w:rsidRDefault="00CA1D19" w:rsidP="00CA1D19">
      <w:pPr>
        <w:spacing w:after="0" w:line="360" w:lineRule="auto"/>
        <w:ind w:firstLine="709"/>
        <w:jc w:val="right"/>
        <w:rPr>
          <w:rFonts w:ascii="Times New Roman" w:hAnsi="Times New Roman"/>
          <w:b/>
          <w:sz w:val="24"/>
          <w:szCs w:val="24"/>
        </w:rPr>
      </w:pPr>
      <w:r>
        <w:rPr>
          <w:rFonts w:ascii="Times New Roman" w:hAnsi="Times New Roman"/>
          <w:b/>
          <w:sz w:val="24"/>
          <w:szCs w:val="24"/>
        </w:rPr>
        <w:t>Артюхин М.И.</w:t>
      </w:r>
      <w:r>
        <w:rPr>
          <w:rStyle w:val="ae"/>
          <w:rFonts w:ascii="Times New Roman" w:hAnsi="Times New Roman"/>
          <w:b/>
          <w:sz w:val="24"/>
          <w:szCs w:val="24"/>
        </w:rPr>
        <w:footnoteReference w:id="1"/>
      </w:r>
      <w:r>
        <w:rPr>
          <w:rFonts w:ascii="Times New Roman" w:hAnsi="Times New Roman"/>
          <w:b/>
          <w:sz w:val="24"/>
          <w:szCs w:val="24"/>
        </w:rPr>
        <w:t xml:space="preserve">, </w:t>
      </w:r>
      <w:proofErr w:type="spellStart"/>
      <w:r>
        <w:rPr>
          <w:rFonts w:ascii="Times New Roman" w:hAnsi="Times New Roman"/>
          <w:b/>
          <w:sz w:val="24"/>
          <w:szCs w:val="24"/>
        </w:rPr>
        <w:t>Пушкевич</w:t>
      </w:r>
      <w:proofErr w:type="spellEnd"/>
      <w:r>
        <w:rPr>
          <w:rFonts w:ascii="Times New Roman" w:hAnsi="Times New Roman"/>
          <w:b/>
          <w:sz w:val="24"/>
          <w:szCs w:val="24"/>
        </w:rPr>
        <w:t xml:space="preserve"> С.А.</w:t>
      </w:r>
      <w:r w:rsidR="00626ECA">
        <w:rPr>
          <w:rStyle w:val="ae"/>
          <w:rFonts w:ascii="Times New Roman" w:hAnsi="Times New Roman"/>
          <w:b/>
          <w:sz w:val="24"/>
          <w:szCs w:val="24"/>
        </w:rPr>
        <w:footnoteReference w:id="2"/>
      </w:r>
    </w:p>
    <w:p w14:paraId="0FE7299A" w14:textId="739BAAA8" w:rsidR="00860F07" w:rsidRPr="00D63F59" w:rsidRDefault="00860F07" w:rsidP="00CA1D19">
      <w:pPr>
        <w:spacing w:after="0" w:line="360" w:lineRule="auto"/>
        <w:ind w:firstLine="709"/>
        <w:jc w:val="center"/>
        <w:rPr>
          <w:b/>
          <w:sz w:val="24"/>
          <w:szCs w:val="24"/>
        </w:rPr>
      </w:pPr>
      <w:r w:rsidRPr="00D63F59">
        <w:rPr>
          <w:rFonts w:ascii="Times New Roman" w:hAnsi="Times New Roman"/>
          <w:b/>
          <w:sz w:val="24"/>
          <w:szCs w:val="24"/>
        </w:rPr>
        <w:t>Основные тенденции внешней трудовой миграции</w:t>
      </w:r>
      <w:r w:rsidRPr="00D63F59">
        <w:rPr>
          <w:rFonts w:ascii="Times New Roman" w:hAnsi="Times New Roman"/>
          <w:bCs/>
          <w:sz w:val="24"/>
          <w:szCs w:val="24"/>
        </w:rPr>
        <w:t xml:space="preserve"> </w:t>
      </w:r>
      <w:r w:rsidRPr="00D63F59">
        <w:rPr>
          <w:rFonts w:ascii="Times New Roman" w:hAnsi="Times New Roman" w:cs="Times New Roman"/>
          <w:b/>
          <w:sz w:val="24"/>
          <w:szCs w:val="24"/>
        </w:rPr>
        <w:t>населения Беларуси и ее регионов за период 2017-2022 гг.</w:t>
      </w:r>
    </w:p>
    <w:p w14:paraId="6D3BB500" w14:textId="77777777" w:rsidR="00860F07" w:rsidRPr="0095379C" w:rsidRDefault="00860F07" w:rsidP="00D63F59">
      <w:pPr>
        <w:spacing w:after="0" w:line="240" w:lineRule="auto"/>
        <w:ind w:firstLine="709"/>
        <w:jc w:val="both"/>
        <w:rPr>
          <w:rFonts w:ascii="Times New Roman" w:hAnsi="Times New Roman" w:cs="Times New Roman"/>
          <w:sz w:val="24"/>
          <w:szCs w:val="24"/>
        </w:rPr>
      </w:pPr>
    </w:p>
    <w:p w14:paraId="4FE0E518" w14:textId="300213D3" w:rsidR="00626ECA" w:rsidRPr="00D121AC" w:rsidRDefault="00626ECA" w:rsidP="00D121AC">
      <w:pPr>
        <w:spacing w:after="0" w:line="240" w:lineRule="auto"/>
        <w:ind w:firstLine="425"/>
        <w:jc w:val="both"/>
        <w:rPr>
          <w:rFonts w:ascii="Times New Roman" w:eastAsia="Times New Roman" w:hAnsi="Times New Roman" w:cs="Times New Roman"/>
          <w:spacing w:val="-2"/>
          <w:szCs w:val="30"/>
          <w:lang w:eastAsia="ru-RU"/>
        </w:rPr>
      </w:pPr>
      <w:r w:rsidRPr="00D121AC">
        <w:rPr>
          <w:rFonts w:ascii="Times New Roman" w:hAnsi="Times New Roman" w:cs="Times New Roman"/>
          <w:b/>
          <w:szCs w:val="24"/>
        </w:rPr>
        <w:t xml:space="preserve">Аннотация: </w:t>
      </w:r>
      <w:r w:rsidR="00D121AC" w:rsidRPr="00D121AC">
        <w:rPr>
          <w:rFonts w:ascii="Times New Roman" w:eastAsia="Times New Roman" w:hAnsi="Times New Roman" w:cs="Times New Roman"/>
          <w:i/>
          <w:spacing w:val="-2"/>
          <w:szCs w:val="30"/>
          <w:lang w:eastAsia="ru-RU"/>
        </w:rPr>
        <w:t>Проведен анализ состояния и основных тенденций развития внешней трудовой миграции населения Республики Беларусь и ее регионов за 2017-2022 гг. Представлена динамика странового распределения миграционных потоков. Определено негативное влияние пандемии коронавируса на процессы внешней трудовой миграции населения Беларуси.</w:t>
      </w:r>
      <w:r w:rsidR="00D121AC" w:rsidRPr="00D121AC">
        <w:rPr>
          <w:rFonts w:ascii="Times New Roman" w:eastAsia="Times New Roman" w:hAnsi="Times New Roman" w:cs="Times New Roman"/>
          <w:spacing w:val="-2"/>
          <w:szCs w:val="30"/>
          <w:lang w:eastAsia="ru-RU"/>
        </w:rPr>
        <w:t xml:space="preserve"> </w:t>
      </w:r>
    </w:p>
    <w:p w14:paraId="004CECDA" w14:textId="13D36623" w:rsidR="00626ECA" w:rsidRPr="00626ECA" w:rsidRDefault="00626ECA" w:rsidP="00626ECA">
      <w:pPr>
        <w:spacing w:after="0" w:line="240" w:lineRule="auto"/>
        <w:ind w:firstLine="425"/>
        <w:jc w:val="both"/>
        <w:rPr>
          <w:rFonts w:ascii="Times New Roman" w:hAnsi="Times New Roman" w:cs="Times New Roman"/>
          <w:i/>
          <w:szCs w:val="24"/>
        </w:rPr>
      </w:pPr>
      <w:r w:rsidRPr="00626ECA">
        <w:rPr>
          <w:rFonts w:ascii="Times New Roman" w:hAnsi="Times New Roman" w:cs="Times New Roman"/>
          <w:b/>
          <w:szCs w:val="24"/>
        </w:rPr>
        <w:t>Ключевые слова:</w:t>
      </w:r>
      <w:r w:rsidRPr="00626ECA">
        <w:rPr>
          <w:rFonts w:ascii="Times New Roman" w:hAnsi="Times New Roman" w:cs="Times New Roman"/>
          <w:szCs w:val="24"/>
        </w:rPr>
        <w:t xml:space="preserve"> </w:t>
      </w:r>
      <w:r w:rsidRPr="00626ECA">
        <w:rPr>
          <w:rFonts w:ascii="Times New Roman" w:hAnsi="Times New Roman" w:cs="Times New Roman"/>
          <w:i/>
          <w:szCs w:val="24"/>
        </w:rPr>
        <w:t>внешняя трудовая миграция,</w:t>
      </w:r>
      <w:r w:rsidR="00D121AC">
        <w:rPr>
          <w:rFonts w:ascii="Times New Roman" w:hAnsi="Times New Roman" w:cs="Times New Roman"/>
          <w:i/>
          <w:szCs w:val="24"/>
        </w:rPr>
        <w:t xml:space="preserve"> мигранты,</w:t>
      </w:r>
      <w:r w:rsidRPr="00626ECA">
        <w:rPr>
          <w:rFonts w:ascii="Times New Roman" w:hAnsi="Times New Roman" w:cs="Times New Roman"/>
          <w:i/>
          <w:szCs w:val="24"/>
        </w:rPr>
        <w:t xml:space="preserve"> регионы, пандемия</w:t>
      </w:r>
      <w:r w:rsidR="00D121AC">
        <w:rPr>
          <w:rFonts w:ascii="Times New Roman" w:hAnsi="Times New Roman" w:cs="Times New Roman"/>
          <w:i/>
          <w:szCs w:val="24"/>
        </w:rPr>
        <w:t xml:space="preserve"> коронавируса.</w:t>
      </w:r>
    </w:p>
    <w:p w14:paraId="01C1BBC4" w14:textId="77777777" w:rsidR="00626ECA" w:rsidRPr="00626ECA" w:rsidRDefault="00626ECA" w:rsidP="00D63F59">
      <w:pPr>
        <w:spacing w:after="0" w:line="240" w:lineRule="auto"/>
        <w:ind w:firstLine="709"/>
        <w:jc w:val="both"/>
        <w:rPr>
          <w:rFonts w:ascii="Times New Roman" w:hAnsi="Times New Roman" w:cs="Times New Roman"/>
          <w:sz w:val="24"/>
          <w:szCs w:val="24"/>
        </w:rPr>
      </w:pPr>
    </w:p>
    <w:p w14:paraId="62CD6E2C" w14:textId="12354AD4" w:rsidR="00645E3E" w:rsidRDefault="00860F07" w:rsidP="00D63F59">
      <w:pPr>
        <w:spacing w:after="0" w:line="240" w:lineRule="auto"/>
        <w:ind w:firstLine="709"/>
        <w:jc w:val="both"/>
        <w:rPr>
          <w:rFonts w:ascii="Times New Roman" w:hAnsi="Times New Roman" w:cs="Times New Roman"/>
          <w:sz w:val="24"/>
          <w:szCs w:val="24"/>
        </w:rPr>
      </w:pPr>
      <w:r w:rsidRPr="00A57D52">
        <w:rPr>
          <w:rFonts w:ascii="Times New Roman" w:hAnsi="Times New Roman" w:cs="Times New Roman"/>
          <w:sz w:val="24"/>
          <w:szCs w:val="24"/>
        </w:rPr>
        <w:t>Республика Беларусь все активнее включается в мировой рын</w:t>
      </w:r>
      <w:r w:rsidRPr="00206F8F">
        <w:rPr>
          <w:rFonts w:ascii="Times New Roman" w:hAnsi="Times New Roman" w:cs="Times New Roman"/>
          <w:sz w:val="24"/>
          <w:szCs w:val="24"/>
        </w:rPr>
        <w:t>ок труда и, соответственно, в процессы внешней трудовой миграции.</w:t>
      </w:r>
      <w:r w:rsidR="00A32FD3" w:rsidRPr="00A32FD3">
        <w:rPr>
          <w:rFonts w:ascii="Times New Roman" w:hAnsi="Times New Roman" w:cs="Times New Roman"/>
          <w:sz w:val="24"/>
          <w:szCs w:val="24"/>
        </w:rPr>
        <w:t xml:space="preserve"> </w:t>
      </w:r>
      <w:r w:rsidR="00A32FD3">
        <w:rPr>
          <w:rFonts w:ascii="Times New Roman" w:hAnsi="Times New Roman" w:cs="Times New Roman"/>
          <w:sz w:val="24"/>
          <w:szCs w:val="24"/>
        </w:rPr>
        <w:t>М</w:t>
      </w:r>
      <w:r w:rsidR="00A32FD3" w:rsidRPr="00A57D52">
        <w:rPr>
          <w:rFonts w:ascii="Times New Roman" w:hAnsi="Times New Roman" w:cs="Times New Roman"/>
          <w:sz w:val="24"/>
          <w:szCs w:val="24"/>
        </w:rPr>
        <w:t xml:space="preserve">еждународная трудовая миграция </w:t>
      </w:r>
      <w:r w:rsidR="00A32FD3">
        <w:rPr>
          <w:rFonts w:ascii="Times New Roman" w:hAnsi="Times New Roman" w:cs="Times New Roman"/>
          <w:sz w:val="24"/>
          <w:szCs w:val="24"/>
        </w:rPr>
        <w:t>в постсоветской Беларуси стала</w:t>
      </w:r>
      <w:r w:rsidR="00A32FD3" w:rsidRPr="00A57D52">
        <w:rPr>
          <w:rFonts w:ascii="Times New Roman" w:hAnsi="Times New Roman" w:cs="Times New Roman"/>
          <w:sz w:val="24"/>
          <w:szCs w:val="24"/>
        </w:rPr>
        <w:t xml:space="preserve"> </w:t>
      </w:r>
      <w:r w:rsidR="00A32FD3" w:rsidRPr="00206F8F">
        <w:rPr>
          <w:rFonts w:ascii="Times New Roman" w:hAnsi="Times New Roman" w:cs="Times New Roman"/>
          <w:sz w:val="24"/>
          <w:szCs w:val="24"/>
        </w:rPr>
        <w:t xml:space="preserve">важным фактором </w:t>
      </w:r>
      <w:r w:rsidR="00A32FD3">
        <w:rPr>
          <w:rFonts w:ascii="Times New Roman" w:hAnsi="Times New Roman" w:cs="Times New Roman"/>
          <w:sz w:val="24"/>
          <w:szCs w:val="24"/>
        </w:rPr>
        <w:t xml:space="preserve">ее </w:t>
      </w:r>
      <w:r w:rsidR="00A32FD3" w:rsidRPr="00206F8F">
        <w:rPr>
          <w:rFonts w:ascii="Times New Roman" w:hAnsi="Times New Roman" w:cs="Times New Roman"/>
          <w:sz w:val="24"/>
          <w:szCs w:val="24"/>
        </w:rPr>
        <w:t>социально-экономического развития</w:t>
      </w:r>
      <w:r w:rsidR="00A32FD3">
        <w:rPr>
          <w:rFonts w:ascii="Times New Roman" w:hAnsi="Times New Roman" w:cs="Times New Roman"/>
          <w:sz w:val="24"/>
          <w:szCs w:val="24"/>
        </w:rPr>
        <w:t xml:space="preserve">. </w:t>
      </w:r>
      <w:r w:rsidR="00A32FD3" w:rsidRPr="00A57D52">
        <w:rPr>
          <w:rFonts w:ascii="Times New Roman" w:hAnsi="Times New Roman" w:cs="Times New Roman"/>
          <w:sz w:val="24"/>
          <w:szCs w:val="24"/>
        </w:rPr>
        <w:t xml:space="preserve">Она способствует более рациональному использованию трудовых ресурсов и оказывает непосредственное влияние на формирование </w:t>
      </w:r>
      <w:r w:rsidR="00A32FD3">
        <w:rPr>
          <w:rFonts w:ascii="Times New Roman" w:hAnsi="Times New Roman" w:cs="Times New Roman"/>
          <w:sz w:val="24"/>
          <w:szCs w:val="24"/>
        </w:rPr>
        <w:t xml:space="preserve">национального </w:t>
      </w:r>
      <w:r w:rsidR="00A32FD3" w:rsidRPr="00A57D52">
        <w:rPr>
          <w:rFonts w:ascii="Times New Roman" w:hAnsi="Times New Roman" w:cs="Times New Roman"/>
          <w:sz w:val="24"/>
          <w:szCs w:val="24"/>
        </w:rPr>
        <w:t>рынка труда.</w:t>
      </w:r>
      <w:r w:rsidRPr="00206F8F">
        <w:rPr>
          <w:rFonts w:ascii="Times New Roman" w:hAnsi="Times New Roman" w:cs="Times New Roman"/>
          <w:sz w:val="24"/>
          <w:szCs w:val="24"/>
        </w:rPr>
        <w:t xml:space="preserve"> Новые возможности для развития </w:t>
      </w:r>
      <w:r w:rsidR="00A32FD3">
        <w:rPr>
          <w:rFonts w:ascii="Times New Roman" w:hAnsi="Times New Roman" w:cs="Times New Roman"/>
          <w:sz w:val="24"/>
          <w:szCs w:val="24"/>
        </w:rPr>
        <w:t xml:space="preserve">трудовой </w:t>
      </w:r>
      <w:r w:rsidRPr="00206F8F">
        <w:rPr>
          <w:rFonts w:ascii="Times New Roman" w:hAnsi="Times New Roman" w:cs="Times New Roman"/>
          <w:sz w:val="24"/>
          <w:szCs w:val="24"/>
        </w:rPr>
        <w:t>миграции в Беларуси от</w:t>
      </w:r>
      <w:r>
        <w:rPr>
          <w:rFonts w:ascii="Times New Roman" w:hAnsi="Times New Roman" w:cs="Times New Roman"/>
          <w:sz w:val="24"/>
          <w:szCs w:val="24"/>
        </w:rPr>
        <w:t>к</w:t>
      </w:r>
      <w:r w:rsidRPr="002B0D2D">
        <w:rPr>
          <w:rFonts w:ascii="Times New Roman" w:hAnsi="Times New Roman" w:cs="Times New Roman"/>
          <w:sz w:val="24"/>
          <w:szCs w:val="24"/>
        </w:rPr>
        <w:t xml:space="preserve">рылись в рамках постсоветских межгосударственных интеграционных образований таких, как </w:t>
      </w:r>
      <w:r w:rsidRPr="00A57D52">
        <w:rPr>
          <w:rFonts w:ascii="Times New Roman" w:hAnsi="Times New Roman" w:cs="Times New Roman"/>
          <w:sz w:val="24"/>
          <w:szCs w:val="24"/>
        </w:rPr>
        <w:t>Евразийский</w:t>
      </w:r>
      <w:r w:rsidRPr="003D6C04">
        <w:rPr>
          <w:rFonts w:ascii="Times New Roman" w:hAnsi="Times New Roman" w:cs="Times New Roman"/>
          <w:sz w:val="24"/>
          <w:szCs w:val="24"/>
        </w:rPr>
        <w:t xml:space="preserve"> экономический союз</w:t>
      </w:r>
      <w:r w:rsidR="00A32FD3">
        <w:rPr>
          <w:rFonts w:ascii="Times New Roman" w:hAnsi="Times New Roman" w:cs="Times New Roman"/>
          <w:sz w:val="24"/>
          <w:szCs w:val="24"/>
        </w:rPr>
        <w:t>, который с</w:t>
      </w:r>
      <w:r w:rsidR="00645E3E">
        <w:rPr>
          <w:rFonts w:ascii="Times New Roman" w:hAnsi="Times New Roman" w:cs="Times New Roman"/>
          <w:sz w:val="24"/>
          <w:szCs w:val="24"/>
        </w:rPr>
        <w:t>оздан в 2015 г.</w:t>
      </w:r>
    </w:p>
    <w:p w14:paraId="02AEF0D7" w14:textId="71C0A6F7" w:rsidR="00DF0466" w:rsidRPr="00206F8F" w:rsidRDefault="00A32FD3" w:rsidP="00D63F59">
      <w:pPr>
        <w:shd w:val="clear" w:color="auto" w:fill="FFFFFF"/>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Вместе с тем в</w:t>
      </w:r>
      <w:r w:rsidR="00DF0466" w:rsidRPr="00206F8F">
        <w:rPr>
          <w:rFonts w:ascii="Times New Roman" w:hAnsi="Times New Roman" w:cs="Times New Roman"/>
          <w:sz w:val="24"/>
          <w:szCs w:val="24"/>
        </w:rPr>
        <w:t xml:space="preserve"> Беларуси государственная статистика процессов внешней трудовой миграции населения не дает полноценной картины миграционных процессов. Это связано с тем, что Беларусь со многими постсоветскими странами имеет режим безвизового передвижения населения. В результате учет и определение реальных масштабов внешней трудовой миграции населения затруднены. </w:t>
      </w:r>
      <w:r w:rsidR="00DF0466">
        <w:rPr>
          <w:rFonts w:ascii="Times New Roman" w:hAnsi="Times New Roman" w:cs="Times New Roman"/>
          <w:sz w:val="24"/>
          <w:szCs w:val="24"/>
        </w:rPr>
        <w:t>По оценке с</w:t>
      </w:r>
      <w:r w:rsidR="00DF0466" w:rsidRPr="00206F8F">
        <w:rPr>
          <w:rFonts w:ascii="Times New Roman" w:hAnsi="Times New Roman" w:cs="Times New Roman"/>
          <w:sz w:val="24"/>
          <w:szCs w:val="24"/>
        </w:rPr>
        <w:t>пециалист</w:t>
      </w:r>
      <w:r w:rsidR="00DF0466">
        <w:rPr>
          <w:rFonts w:ascii="Times New Roman" w:hAnsi="Times New Roman" w:cs="Times New Roman"/>
          <w:sz w:val="24"/>
          <w:szCs w:val="24"/>
        </w:rPr>
        <w:t>ов</w:t>
      </w:r>
      <w:r w:rsidR="00DF0466" w:rsidRPr="00206F8F">
        <w:rPr>
          <w:rFonts w:ascii="Times New Roman" w:hAnsi="Times New Roman" w:cs="Times New Roman"/>
          <w:sz w:val="24"/>
          <w:szCs w:val="24"/>
        </w:rPr>
        <w:t xml:space="preserve"> и эксперт</w:t>
      </w:r>
      <w:r w:rsidR="00DF0466">
        <w:rPr>
          <w:rFonts w:ascii="Times New Roman" w:hAnsi="Times New Roman" w:cs="Times New Roman"/>
          <w:sz w:val="24"/>
          <w:szCs w:val="24"/>
        </w:rPr>
        <w:t>ов,</w:t>
      </w:r>
      <w:r w:rsidR="00DF0466" w:rsidRPr="00206F8F">
        <w:rPr>
          <w:rFonts w:ascii="Times New Roman" w:hAnsi="Times New Roman" w:cs="Times New Roman"/>
          <w:sz w:val="24"/>
          <w:szCs w:val="24"/>
        </w:rPr>
        <w:t xml:space="preserve"> ежегодный объем внешней трудовой миграции в Беларуси </w:t>
      </w:r>
      <w:r>
        <w:rPr>
          <w:rFonts w:ascii="Times New Roman" w:hAnsi="Times New Roman" w:cs="Times New Roman"/>
          <w:sz w:val="24"/>
          <w:szCs w:val="24"/>
        </w:rPr>
        <w:t xml:space="preserve">составляет </w:t>
      </w:r>
      <w:r w:rsidR="00DF0466" w:rsidRPr="00206F8F">
        <w:rPr>
          <w:rFonts w:ascii="Times New Roman" w:hAnsi="Times New Roman" w:cs="Times New Roman"/>
          <w:sz w:val="24"/>
          <w:szCs w:val="24"/>
        </w:rPr>
        <w:t xml:space="preserve">от 150 до 300 тысяч человек. </w:t>
      </w:r>
    </w:p>
    <w:p w14:paraId="3A32227C" w14:textId="29A4AAD2" w:rsidR="00860F07" w:rsidRPr="00206F8F" w:rsidRDefault="00860F07" w:rsidP="00D63F59">
      <w:pPr>
        <w:shd w:val="clear" w:color="auto" w:fill="FFFFFF"/>
        <w:spacing w:after="0" w:line="240" w:lineRule="auto"/>
        <w:ind w:firstLine="709"/>
        <w:jc w:val="both"/>
        <w:rPr>
          <w:rFonts w:ascii="Times New Roman" w:hAnsi="Times New Roman" w:cs="Times New Roman"/>
          <w:sz w:val="24"/>
          <w:szCs w:val="24"/>
        </w:rPr>
      </w:pPr>
      <w:r w:rsidRPr="00206F8F">
        <w:rPr>
          <w:rFonts w:ascii="Times New Roman" w:hAnsi="Times New Roman" w:cs="Times New Roman"/>
          <w:sz w:val="24"/>
          <w:szCs w:val="24"/>
        </w:rPr>
        <w:t xml:space="preserve">Основным стабильным источником официальных статистических данных, позволяющих отслеживать направления и объемы внешней трудовой миграции в Республике Беларусь, является </w:t>
      </w:r>
      <w:r w:rsidR="00645E3E" w:rsidRPr="00206F8F">
        <w:rPr>
          <w:rFonts w:ascii="Times New Roman" w:hAnsi="Times New Roman" w:cs="Times New Roman"/>
          <w:sz w:val="24"/>
          <w:szCs w:val="24"/>
        </w:rPr>
        <w:t>МВД Р</w:t>
      </w:r>
      <w:r w:rsidR="00645E3E" w:rsidRPr="00A57D52">
        <w:rPr>
          <w:rFonts w:ascii="Times New Roman" w:hAnsi="Times New Roman" w:cs="Times New Roman"/>
          <w:sz w:val="24"/>
          <w:szCs w:val="24"/>
        </w:rPr>
        <w:t>еспублики Беларусь</w:t>
      </w:r>
      <w:r w:rsidR="00645E3E">
        <w:rPr>
          <w:rFonts w:ascii="Times New Roman" w:hAnsi="Times New Roman" w:cs="Times New Roman"/>
          <w:sz w:val="24"/>
          <w:szCs w:val="24"/>
        </w:rPr>
        <w:t xml:space="preserve">. Однако </w:t>
      </w:r>
      <w:r w:rsidRPr="00206F8F">
        <w:rPr>
          <w:rFonts w:ascii="Times New Roman" w:hAnsi="Times New Roman" w:cs="Times New Roman"/>
          <w:sz w:val="24"/>
          <w:szCs w:val="24"/>
        </w:rPr>
        <w:t>сведения о трудовых мигрантах, выезжающих за границу</w:t>
      </w:r>
      <w:r w:rsidR="00D63F59">
        <w:rPr>
          <w:rFonts w:ascii="Times New Roman" w:hAnsi="Times New Roman" w:cs="Times New Roman"/>
          <w:sz w:val="24"/>
          <w:szCs w:val="24"/>
        </w:rPr>
        <w:t>,</w:t>
      </w:r>
      <w:r w:rsidR="00645E3E">
        <w:rPr>
          <w:rFonts w:ascii="Times New Roman" w:hAnsi="Times New Roman" w:cs="Times New Roman"/>
          <w:sz w:val="24"/>
          <w:szCs w:val="24"/>
        </w:rPr>
        <w:t xml:space="preserve"> охватывают только тех мигрантов, которые заключили с зарубежным работодателем с помощью белорусских организаций по трудоустройству </w:t>
      </w:r>
      <w:r w:rsidRPr="00206F8F">
        <w:rPr>
          <w:rFonts w:ascii="Times New Roman" w:hAnsi="Times New Roman" w:cs="Times New Roman"/>
          <w:sz w:val="24"/>
          <w:szCs w:val="24"/>
        </w:rPr>
        <w:t>договор и</w:t>
      </w:r>
      <w:r w:rsidR="00645E3E">
        <w:rPr>
          <w:rFonts w:ascii="Times New Roman" w:hAnsi="Times New Roman" w:cs="Times New Roman"/>
          <w:sz w:val="24"/>
          <w:szCs w:val="24"/>
        </w:rPr>
        <w:t>ли</w:t>
      </w:r>
      <w:r w:rsidRPr="00206F8F">
        <w:rPr>
          <w:rFonts w:ascii="Times New Roman" w:hAnsi="Times New Roman" w:cs="Times New Roman"/>
          <w:sz w:val="24"/>
          <w:szCs w:val="24"/>
        </w:rPr>
        <w:t xml:space="preserve"> контракт</w:t>
      </w:r>
      <w:r w:rsidR="00645E3E">
        <w:rPr>
          <w:rFonts w:ascii="Times New Roman" w:hAnsi="Times New Roman" w:cs="Times New Roman"/>
          <w:sz w:val="24"/>
          <w:szCs w:val="24"/>
        </w:rPr>
        <w:t>, а также трудовых иммигрантов</w:t>
      </w:r>
      <w:r w:rsidR="00D63F59">
        <w:rPr>
          <w:rFonts w:ascii="Times New Roman" w:hAnsi="Times New Roman" w:cs="Times New Roman"/>
          <w:sz w:val="24"/>
          <w:szCs w:val="24"/>
        </w:rPr>
        <w:t>,</w:t>
      </w:r>
      <w:r w:rsidRPr="00206F8F">
        <w:rPr>
          <w:rFonts w:ascii="Times New Roman" w:hAnsi="Times New Roman" w:cs="Times New Roman"/>
          <w:sz w:val="24"/>
          <w:szCs w:val="24"/>
        </w:rPr>
        <w:t xml:space="preserve"> въезжающих в Беларусь</w:t>
      </w:r>
      <w:r w:rsidRPr="003C69C9">
        <w:rPr>
          <w:rFonts w:ascii="Times New Roman" w:hAnsi="Times New Roman" w:cs="Times New Roman"/>
          <w:sz w:val="24"/>
          <w:szCs w:val="24"/>
        </w:rPr>
        <w:t xml:space="preserve"> на основе </w:t>
      </w:r>
      <w:r w:rsidRPr="003C69C9">
        <w:rPr>
          <w:rFonts w:ascii="Times New Roman" w:eastAsia="Arial" w:hAnsi="Times New Roman" w:cs="Times New Roman"/>
          <w:sz w:val="24"/>
          <w:szCs w:val="24"/>
        </w:rPr>
        <w:t>специальных разрешений на право занятия временной трудовой деятельностью</w:t>
      </w:r>
      <w:r w:rsidR="00645E3E">
        <w:rPr>
          <w:rFonts w:ascii="Times New Roman" w:eastAsia="Arial" w:hAnsi="Times New Roman" w:cs="Times New Roman"/>
          <w:sz w:val="24"/>
          <w:szCs w:val="24"/>
        </w:rPr>
        <w:t xml:space="preserve"> на территории Беларуси</w:t>
      </w:r>
      <w:r w:rsidR="001571EC">
        <w:rPr>
          <w:rFonts w:ascii="Times New Roman" w:eastAsia="Arial" w:hAnsi="Times New Roman" w:cs="Times New Roman"/>
          <w:sz w:val="24"/>
          <w:szCs w:val="24"/>
        </w:rPr>
        <w:t xml:space="preserve">. </w:t>
      </w:r>
      <w:r w:rsidR="001571EC" w:rsidRPr="003D6C04">
        <w:rPr>
          <w:rFonts w:ascii="Times New Roman" w:hAnsi="Times New Roman" w:cs="Times New Roman"/>
          <w:sz w:val="24"/>
          <w:szCs w:val="24"/>
        </w:rPr>
        <w:t>Т</w:t>
      </w:r>
      <w:r w:rsidRPr="003D6C04">
        <w:rPr>
          <w:rFonts w:ascii="Times New Roman" w:hAnsi="Times New Roman" w:cs="Times New Roman"/>
          <w:sz w:val="24"/>
          <w:szCs w:val="24"/>
        </w:rPr>
        <w:t>рудовые</w:t>
      </w:r>
      <w:r w:rsidR="001571EC">
        <w:rPr>
          <w:rFonts w:ascii="Times New Roman" w:hAnsi="Times New Roman" w:cs="Times New Roman"/>
          <w:sz w:val="24"/>
          <w:szCs w:val="24"/>
        </w:rPr>
        <w:t xml:space="preserve"> </w:t>
      </w:r>
      <w:r w:rsidRPr="003D6C04">
        <w:rPr>
          <w:rFonts w:ascii="Times New Roman" w:hAnsi="Times New Roman" w:cs="Times New Roman"/>
          <w:sz w:val="24"/>
          <w:szCs w:val="24"/>
        </w:rPr>
        <w:t>мигранты, кот</w:t>
      </w:r>
      <w:r w:rsidRPr="00206F8F">
        <w:rPr>
          <w:rFonts w:ascii="Times New Roman" w:hAnsi="Times New Roman" w:cs="Times New Roman"/>
          <w:sz w:val="24"/>
          <w:szCs w:val="24"/>
        </w:rPr>
        <w:t xml:space="preserve">орые нашли работу за границей самостоятельно или воспользовались для этого услугами соответствующих </w:t>
      </w:r>
      <w:r w:rsidR="001571EC">
        <w:rPr>
          <w:rFonts w:ascii="Times New Roman" w:hAnsi="Times New Roman" w:cs="Times New Roman"/>
          <w:sz w:val="24"/>
          <w:szCs w:val="24"/>
        </w:rPr>
        <w:t xml:space="preserve">зарубежных </w:t>
      </w:r>
      <w:r w:rsidRPr="00206F8F">
        <w:rPr>
          <w:rFonts w:ascii="Times New Roman" w:hAnsi="Times New Roman" w:cs="Times New Roman"/>
          <w:sz w:val="24"/>
          <w:szCs w:val="24"/>
        </w:rPr>
        <w:t>служб или агентств занятости, в эту статистику не попадают.</w:t>
      </w:r>
    </w:p>
    <w:p w14:paraId="3061C3F1" w14:textId="2D3A15DA" w:rsidR="00860F07" w:rsidRPr="00552702" w:rsidRDefault="00860F07" w:rsidP="00D63F59">
      <w:pPr>
        <w:pStyle w:val="a3"/>
        <w:spacing w:before="0" w:beforeAutospacing="0" w:after="0" w:afterAutospacing="0"/>
        <w:ind w:firstLine="709"/>
        <w:jc w:val="both"/>
      </w:pPr>
      <w:r w:rsidRPr="00206F8F">
        <w:t>Анализ данных по внешней трудовой миграции, предоставленных Департаментом по гражданству и миграции Министерства внутренних дел Республики Беларусь</w:t>
      </w:r>
      <w:r w:rsidRPr="00206F8F">
        <w:rPr>
          <w:shd w:val="clear" w:color="auto" w:fill="FFFFFF"/>
        </w:rPr>
        <w:t xml:space="preserve">, </w:t>
      </w:r>
      <w:r w:rsidRPr="00206F8F">
        <w:t>показывает, что за период 201</w:t>
      </w:r>
      <w:r>
        <w:t>7</w:t>
      </w:r>
      <w:r w:rsidRPr="00206F8F">
        <w:t>-20</w:t>
      </w:r>
      <w:r>
        <w:t>22</w:t>
      </w:r>
      <w:r w:rsidRPr="00206F8F">
        <w:t> гг. наблюдал</w:t>
      </w:r>
      <w:r>
        <w:t>ось</w:t>
      </w:r>
      <w:r w:rsidRPr="00206F8F">
        <w:t xml:space="preserve"> </w:t>
      </w:r>
      <w:r>
        <w:t>уменьшение</w:t>
      </w:r>
      <w:r w:rsidRPr="00206F8F">
        <w:t xml:space="preserve"> численности белорусских трудовых эмигрантов, выехавших за границу с целью работы по контрактам и договорам. </w:t>
      </w:r>
      <w:r>
        <w:t xml:space="preserve">Во многом этот тренд связан с появлением и распространением во всем мире пандемии коронавирусной инфекции. </w:t>
      </w:r>
      <w:r w:rsidRPr="00206F8F">
        <w:t xml:space="preserve">Так, если в </w:t>
      </w:r>
      <w:proofErr w:type="spellStart"/>
      <w:r>
        <w:t>доковидные</w:t>
      </w:r>
      <w:proofErr w:type="spellEnd"/>
      <w:r>
        <w:t xml:space="preserve"> годы </w:t>
      </w:r>
      <w:r w:rsidR="001571EC">
        <w:t xml:space="preserve">ежегодная </w:t>
      </w:r>
      <w:r w:rsidRPr="001B116C">
        <w:t xml:space="preserve">численность белорусских трудовых эмигрантов </w:t>
      </w:r>
      <w:r>
        <w:t xml:space="preserve">в среднем </w:t>
      </w:r>
      <w:r w:rsidRPr="001B116C">
        <w:t>состав</w:t>
      </w:r>
      <w:r>
        <w:t>ляла</w:t>
      </w:r>
      <w:r w:rsidRPr="004A722F">
        <w:t xml:space="preserve"> </w:t>
      </w:r>
      <w:r>
        <w:t>порядка 10-11 тыс.</w:t>
      </w:r>
      <w:r w:rsidRPr="00552702">
        <w:t xml:space="preserve"> чел., то </w:t>
      </w:r>
      <w:r>
        <w:t xml:space="preserve">под влиянием </w:t>
      </w:r>
      <w:r>
        <w:rPr>
          <w:lang w:val="en-US"/>
        </w:rPr>
        <w:t>COVID</w:t>
      </w:r>
      <w:r>
        <w:t>-19 с 2020 г.</w:t>
      </w:r>
      <w:r w:rsidRPr="001B116C">
        <w:t xml:space="preserve"> </w:t>
      </w:r>
      <w:r w:rsidRPr="00A57D52">
        <w:t xml:space="preserve">объемы </w:t>
      </w:r>
      <w:r>
        <w:t xml:space="preserve">внешней </w:t>
      </w:r>
      <w:r w:rsidRPr="00A57D52">
        <w:t xml:space="preserve">трудовой эмиграции резко </w:t>
      </w:r>
      <w:r>
        <w:t>пошли на убыль</w:t>
      </w:r>
      <w:r w:rsidRPr="00A57D52">
        <w:t>. Так, в 2020</w:t>
      </w:r>
      <w:r w:rsidRPr="003D6C04">
        <w:t> г. по сравнени</w:t>
      </w:r>
      <w:r w:rsidRPr="00206F8F">
        <w:t xml:space="preserve">ю </w:t>
      </w:r>
      <w:r>
        <w:t xml:space="preserve">с </w:t>
      </w:r>
      <w:r w:rsidRPr="002B0D2D">
        <w:t>2019</w:t>
      </w:r>
      <w:r>
        <w:t> </w:t>
      </w:r>
      <w:r w:rsidRPr="002B0D2D">
        <w:t>г. численность трудовых э</w:t>
      </w:r>
      <w:r w:rsidRPr="001B116C">
        <w:t>мигрантов</w:t>
      </w:r>
      <w:r w:rsidR="001571EC" w:rsidRPr="00206F8F">
        <w:t>, выехавших за границу с целью работы по контрактам и договорам</w:t>
      </w:r>
      <w:r w:rsidR="001571EC">
        <w:t>,</w:t>
      </w:r>
      <w:r w:rsidRPr="001B116C">
        <w:t xml:space="preserve"> уменьшилась в 1,9 раза с 90</w:t>
      </w:r>
      <w:r>
        <w:t>6</w:t>
      </w:r>
      <w:r w:rsidRPr="00B94C00">
        <w:t>1</w:t>
      </w:r>
      <w:r w:rsidRPr="001B116C">
        <w:t xml:space="preserve"> чел. до 4723 чел. Следует</w:t>
      </w:r>
      <w:r>
        <w:t xml:space="preserve"> </w:t>
      </w:r>
      <w:r w:rsidRPr="00A57D52">
        <w:t>отметить, что в 2021</w:t>
      </w:r>
      <w:r>
        <w:t> </w:t>
      </w:r>
      <w:r w:rsidRPr="00A53952">
        <w:t xml:space="preserve">г. падение численности трудовых эмигрантов </w:t>
      </w:r>
      <w:r w:rsidRPr="00A57D52">
        <w:t>прекратилось и даже наблюда</w:t>
      </w:r>
      <w:r>
        <w:t>лся</w:t>
      </w:r>
      <w:r w:rsidRPr="001B116C">
        <w:t xml:space="preserve"> </w:t>
      </w:r>
      <w:r w:rsidRPr="001B116C">
        <w:lastRenderedPageBreak/>
        <w:t>определенный рост – с 4723 чел. до 5732</w:t>
      </w:r>
      <w:r>
        <w:t> </w:t>
      </w:r>
      <w:r w:rsidRPr="001B116C">
        <w:t xml:space="preserve">чел. или </w:t>
      </w:r>
      <w:r>
        <w:t xml:space="preserve">на </w:t>
      </w:r>
      <w:r w:rsidRPr="00B94C00">
        <w:t>21,4</w:t>
      </w:r>
      <w:r w:rsidRPr="00040478">
        <w:t> </w:t>
      </w:r>
      <w:r w:rsidRPr="004D3676">
        <w:t>%</w:t>
      </w:r>
      <w:r>
        <w:t xml:space="preserve">. Последнее, казалось бы, свидетельствовало о постепенном восстановлении миграционной активности населения и преодолении </w:t>
      </w:r>
      <w:proofErr w:type="spellStart"/>
      <w:r>
        <w:t>пандемийного</w:t>
      </w:r>
      <w:proofErr w:type="spellEnd"/>
      <w:r>
        <w:t xml:space="preserve"> </w:t>
      </w:r>
      <w:r w:rsidR="001571EC">
        <w:t xml:space="preserve">миграционного </w:t>
      </w:r>
      <w:r>
        <w:t xml:space="preserve">шока. Однако в 2022 г. вновь наметился спад численности белорусских трудовых </w:t>
      </w:r>
      <w:r w:rsidR="00200E9A">
        <w:t>э</w:t>
      </w:r>
      <w:r>
        <w:t>мигрантов</w:t>
      </w:r>
      <w:r w:rsidR="001571EC">
        <w:t xml:space="preserve"> </w:t>
      </w:r>
      <w:r w:rsidR="001571EC" w:rsidRPr="001B116C">
        <w:t>5732</w:t>
      </w:r>
      <w:r w:rsidR="001571EC">
        <w:t> </w:t>
      </w:r>
      <w:r w:rsidR="001571EC" w:rsidRPr="001B116C">
        <w:t xml:space="preserve">чел. </w:t>
      </w:r>
      <w:r w:rsidR="001571EC">
        <w:t xml:space="preserve">в 2021 г. </w:t>
      </w:r>
      <w:r>
        <w:t>до 5590 чел., или на 2,5%</w:t>
      </w:r>
      <w:r w:rsidR="001571EC">
        <w:t>.</w:t>
      </w:r>
      <w:r>
        <w:t xml:space="preserve"> </w:t>
      </w:r>
      <w:r w:rsidR="00200E9A">
        <w:t>Р</w:t>
      </w:r>
      <w:r w:rsidRPr="001B116C">
        <w:t>ис. 1</w:t>
      </w:r>
      <w:r w:rsidRPr="004A722F">
        <w:t>.</w:t>
      </w:r>
    </w:p>
    <w:p w14:paraId="31A6C6AC" w14:textId="77777777" w:rsidR="00860F07" w:rsidRPr="00D56E7A" w:rsidRDefault="00860F07" w:rsidP="00D63F59">
      <w:pPr>
        <w:pStyle w:val="msonormalmrcssattr"/>
        <w:shd w:val="clear" w:color="auto" w:fill="FFFFFF"/>
        <w:spacing w:before="0" w:beforeAutospacing="0" w:after="0" w:afterAutospacing="0"/>
        <w:ind w:firstLine="709"/>
        <w:jc w:val="both"/>
      </w:pPr>
      <w:r w:rsidRPr="00D56E7A">
        <w:rPr>
          <w:noProof/>
        </w:rPr>
        <w:drawing>
          <wp:inline distT="0" distB="0" distL="0" distR="0" wp14:anchorId="035844EC" wp14:editId="6C58C43C">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66209152" w14:textId="1D381D8F" w:rsidR="00860F07" w:rsidRPr="00D63F59" w:rsidRDefault="00860F07" w:rsidP="00D63F59">
      <w:pPr>
        <w:spacing w:after="0" w:line="240" w:lineRule="auto"/>
        <w:ind w:firstLine="709"/>
        <w:jc w:val="both"/>
        <w:rPr>
          <w:rFonts w:ascii="Times New Roman" w:hAnsi="Times New Roman" w:cs="Times New Roman"/>
          <w:sz w:val="24"/>
          <w:szCs w:val="24"/>
        </w:rPr>
      </w:pPr>
      <w:r w:rsidRPr="00D63F59">
        <w:rPr>
          <w:rFonts w:ascii="Times New Roman" w:hAnsi="Times New Roman" w:cs="Times New Roman"/>
          <w:sz w:val="24"/>
          <w:szCs w:val="24"/>
        </w:rPr>
        <w:t xml:space="preserve">Рис. 1. </w:t>
      </w:r>
      <w:r w:rsidRPr="00CA1D19">
        <w:rPr>
          <w:rFonts w:ascii="Times New Roman" w:hAnsi="Times New Roman" w:cs="Times New Roman"/>
          <w:b/>
          <w:sz w:val="24"/>
          <w:szCs w:val="24"/>
        </w:rPr>
        <w:t xml:space="preserve">Динамика численности трудовых мигрантов, выехавших из Беларуси </w:t>
      </w:r>
      <w:r w:rsidRPr="00CA1D19">
        <w:rPr>
          <w:rFonts w:ascii="Times New Roman" w:hAnsi="Times New Roman" w:cs="Times New Roman"/>
          <w:b/>
          <w:iCs/>
          <w:sz w:val="24"/>
          <w:szCs w:val="24"/>
        </w:rPr>
        <w:t xml:space="preserve">за границу для временной работы на основе заключенных договоров и контрактов и </w:t>
      </w:r>
      <w:r w:rsidRPr="00CA1D19">
        <w:rPr>
          <w:rFonts w:ascii="Times New Roman" w:hAnsi="Times New Roman" w:cs="Times New Roman"/>
          <w:b/>
          <w:sz w:val="24"/>
          <w:szCs w:val="24"/>
        </w:rPr>
        <w:t xml:space="preserve">въехавших в Беларусь для временной работы на основе </w:t>
      </w:r>
      <w:r w:rsidRPr="00CA1D19">
        <w:rPr>
          <w:rFonts w:ascii="Times New Roman" w:eastAsia="Arial" w:hAnsi="Times New Roman" w:cs="Times New Roman"/>
          <w:b/>
          <w:sz w:val="24"/>
          <w:szCs w:val="24"/>
        </w:rPr>
        <w:t xml:space="preserve">специальных разрешений на право занятия временной трудовой деятельностью, </w:t>
      </w:r>
      <w:r w:rsidRPr="00CA1D19">
        <w:rPr>
          <w:rFonts w:ascii="Times New Roman" w:hAnsi="Times New Roman" w:cs="Times New Roman"/>
          <w:b/>
          <w:sz w:val="24"/>
          <w:szCs w:val="24"/>
        </w:rPr>
        <w:t>за период 2017-2022</w:t>
      </w:r>
      <w:r w:rsidRPr="00CA1D19">
        <w:rPr>
          <w:rFonts w:ascii="Times New Roman" w:hAnsi="Times New Roman" w:cs="Times New Roman"/>
          <w:b/>
          <w:sz w:val="24"/>
          <w:szCs w:val="24"/>
          <w:lang w:val="en-US"/>
        </w:rPr>
        <w:t> </w:t>
      </w:r>
      <w:r w:rsidRPr="00CA1D19">
        <w:rPr>
          <w:rFonts w:ascii="Times New Roman" w:hAnsi="Times New Roman" w:cs="Times New Roman"/>
          <w:b/>
          <w:sz w:val="24"/>
          <w:szCs w:val="24"/>
        </w:rPr>
        <w:t>гг.,</w:t>
      </w:r>
      <w:r w:rsidR="00CA1D19" w:rsidRPr="00CA1D19">
        <w:rPr>
          <w:rFonts w:ascii="Times New Roman" w:hAnsi="Times New Roman" w:cs="Times New Roman"/>
          <w:b/>
          <w:sz w:val="24"/>
          <w:szCs w:val="24"/>
        </w:rPr>
        <w:t xml:space="preserve"> </w:t>
      </w:r>
      <w:r w:rsidRPr="00CA1D19">
        <w:rPr>
          <w:rFonts w:ascii="Times New Roman" w:hAnsi="Times New Roman" w:cs="Times New Roman"/>
          <w:b/>
          <w:sz w:val="24"/>
          <w:szCs w:val="24"/>
        </w:rPr>
        <w:t>чел.</w:t>
      </w:r>
      <w:r w:rsidRPr="00D63F59">
        <w:rPr>
          <w:rFonts w:ascii="Times New Roman" w:hAnsi="Times New Roman" w:cs="Times New Roman"/>
          <w:sz w:val="24"/>
          <w:szCs w:val="24"/>
        </w:rPr>
        <w:t xml:space="preserve"> [сост. по 1-</w:t>
      </w:r>
      <w:r w:rsidR="00CA1D19">
        <w:rPr>
          <w:rFonts w:ascii="Times New Roman" w:hAnsi="Times New Roman" w:cs="Times New Roman"/>
          <w:sz w:val="24"/>
          <w:szCs w:val="24"/>
        </w:rPr>
        <w:t>6</w:t>
      </w:r>
      <w:r w:rsidRPr="00D63F59">
        <w:rPr>
          <w:rFonts w:ascii="Times New Roman" w:hAnsi="Times New Roman" w:cs="Times New Roman"/>
          <w:sz w:val="24"/>
          <w:szCs w:val="24"/>
        </w:rPr>
        <w:t>]</w:t>
      </w:r>
    </w:p>
    <w:p w14:paraId="0A73D2A8" w14:textId="77777777" w:rsidR="00860F07" w:rsidRPr="00D63F59" w:rsidRDefault="00860F07" w:rsidP="00D63F59">
      <w:pPr>
        <w:pStyle w:val="msonormalmrcssattr"/>
        <w:shd w:val="clear" w:color="auto" w:fill="FFFFFF"/>
        <w:spacing w:before="0" w:beforeAutospacing="0" w:after="0" w:afterAutospacing="0"/>
        <w:ind w:firstLine="709"/>
        <w:jc w:val="both"/>
      </w:pPr>
    </w:p>
    <w:p w14:paraId="0E348F0B" w14:textId="01E7140A" w:rsidR="00164518" w:rsidRDefault="00164518" w:rsidP="00D63F59">
      <w:pPr>
        <w:pStyle w:val="msonormalmrcssattr"/>
        <w:shd w:val="clear" w:color="auto" w:fill="FFFFFF"/>
        <w:spacing w:before="0" w:beforeAutospacing="0" w:after="0" w:afterAutospacing="0"/>
        <w:ind w:firstLine="709"/>
        <w:jc w:val="both"/>
      </w:pPr>
      <w:r>
        <w:t xml:space="preserve">Влияние пандемии </w:t>
      </w:r>
      <w:r w:rsidR="00F61EE8">
        <w:rPr>
          <w:lang w:val="en-US"/>
        </w:rPr>
        <w:t>COVID</w:t>
      </w:r>
      <w:r w:rsidR="00F61EE8">
        <w:t xml:space="preserve">-19 сказалось и на региональной внешней трудовой миграции. </w:t>
      </w:r>
      <w:r w:rsidR="0095379C">
        <w:t>Анализ показывает, что</w:t>
      </w:r>
      <w:r w:rsidR="00F61EE8">
        <w:t xml:space="preserve"> в разрезе регионов наблюдаются значительные различия в объемах и качественном составе трудовых мигрантов. Основным трендом региональной внешней трудовой миграции за период 2017-2022 гг. является </w:t>
      </w:r>
      <w:r>
        <w:t xml:space="preserve">сокращение численности трудовых мигрантов. Так, если в 2017 г. в Брестской области численность трудовых эмигрантов составила 883 чел., то в 2022 г. – 724 чел., т. е. уменьшилась на 18,0%. В Витебской области численность трудовых эмигрантов уменьшилась с 2017 г. по 2022 г. в 4,6  раза с 1761 чел. до 381 чел.; в Гомельской – на 29,9% с </w:t>
      </w:r>
      <w:r>
        <w:rPr>
          <w:rFonts w:eastAsiaTheme="minorHAnsi"/>
          <w:lang w:eastAsia="en-US"/>
        </w:rPr>
        <w:t>1606</w:t>
      </w:r>
      <w:r>
        <w:t xml:space="preserve"> чел. до 1126 чел.; в Минске – на 26,6% с </w:t>
      </w:r>
      <w:r>
        <w:rPr>
          <w:rFonts w:eastAsiaTheme="minorHAnsi"/>
          <w:lang w:eastAsia="en-US"/>
        </w:rPr>
        <w:t>3018</w:t>
      </w:r>
      <w:r>
        <w:t xml:space="preserve"> чел. до 2216 чел..; в Могилевской области  – на 61,0% с 1827 чел. до 713 чел., Минской области - на 38,3% с 360 чел. до 222 чел., Гродненской области – в 11,6 раз с 1248 чел. до 108 чел. </w:t>
      </w:r>
      <w:r w:rsidR="00F61EE8">
        <w:t>Т</w:t>
      </w:r>
      <w:r>
        <w:t>абл. 1.</w:t>
      </w:r>
    </w:p>
    <w:p w14:paraId="11604C8D" w14:textId="77777777" w:rsidR="00164518" w:rsidRDefault="00164518" w:rsidP="00D63F59">
      <w:pPr>
        <w:pStyle w:val="a3"/>
        <w:spacing w:before="0" w:beforeAutospacing="0" w:after="0" w:afterAutospacing="0"/>
        <w:ind w:firstLine="709"/>
        <w:jc w:val="both"/>
      </w:pPr>
    </w:p>
    <w:p w14:paraId="36656F80" w14:textId="3D7B4F19" w:rsidR="00164518" w:rsidRPr="00D63F59" w:rsidRDefault="00164518" w:rsidP="00D63F59">
      <w:pPr>
        <w:pStyle w:val="a3"/>
        <w:spacing w:before="0" w:beforeAutospacing="0" w:after="0" w:afterAutospacing="0"/>
        <w:jc w:val="center"/>
        <w:rPr>
          <w:iCs/>
        </w:rPr>
      </w:pPr>
      <w:r w:rsidRPr="00D63F59">
        <w:rPr>
          <w:iCs/>
        </w:rPr>
        <w:t xml:space="preserve">Таблица 1. </w:t>
      </w:r>
      <w:r w:rsidRPr="00CA1D19">
        <w:rPr>
          <w:b/>
          <w:iCs/>
        </w:rPr>
        <w:t>Динамика численности трудящихся-эмигрантов, выехавших за границу для работы на основе договоров и контрактов, в разрезе регионов</w:t>
      </w:r>
      <w:r w:rsidR="00CA1D19" w:rsidRPr="00CA1D19">
        <w:rPr>
          <w:b/>
          <w:iCs/>
        </w:rPr>
        <w:t>,</w:t>
      </w:r>
      <w:r w:rsidRPr="00CA1D19">
        <w:rPr>
          <w:b/>
          <w:iCs/>
        </w:rPr>
        <w:t xml:space="preserve"> чел</w:t>
      </w:r>
      <w:r w:rsidRPr="00D63F59">
        <w:rPr>
          <w:iCs/>
        </w:rPr>
        <w:t>. [сост. по 1-</w:t>
      </w:r>
      <w:r w:rsidR="00CA1D19">
        <w:rPr>
          <w:iCs/>
        </w:rPr>
        <w:t>6</w:t>
      </w:r>
      <w:r w:rsidRPr="00D63F59">
        <w:rPr>
          <w:iCs/>
        </w:rPr>
        <w:t>]</w:t>
      </w:r>
    </w:p>
    <w:tbl>
      <w:tblPr>
        <w:tblStyle w:val="a5"/>
        <w:tblW w:w="0" w:type="auto"/>
        <w:jc w:val="center"/>
        <w:tblLook w:val="04A0" w:firstRow="1" w:lastRow="0" w:firstColumn="1" w:lastColumn="0" w:noHBand="0" w:noVBand="1"/>
      </w:tblPr>
      <w:tblGrid>
        <w:gridCol w:w="2015"/>
        <w:gridCol w:w="844"/>
        <w:gridCol w:w="844"/>
        <w:gridCol w:w="844"/>
        <w:gridCol w:w="844"/>
        <w:gridCol w:w="844"/>
        <w:gridCol w:w="1154"/>
        <w:gridCol w:w="1154"/>
      </w:tblGrid>
      <w:tr w:rsidR="00164518" w14:paraId="35CCF7CA" w14:textId="77777777" w:rsidTr="00164518">
        <w:trPr>
          <w:jc w:val="center"/>
        </w:trPr>
        <w:tc>
          <w:tcPr>
            <w:tcW w:w="2015" w:type="dxa"/>
            <w:tcBorders>
              <w:top w:val="single" w:sz="4" w:space="0" w:color="auto"/>
              <w:left w:val="single" w:sz="4" w:space="0" w:color="auto"/>
              <w:bottom w:val="single" w:sz="4" w:space="0" w:color="auto"/>
              <w:right w:val="single" w:sz="4" w:space="0" w:color="auto"/>
              <w:tl2br w:val="single" w:sz="4" w:space="0" w:color="auto"/>
            </w:tcBorders>
          </w:tcPr>
          <w:p w14:paraId="1FD4922B" w14:textId="77777777" w:rsidR="00164518" w:rsidRDefault="00164518" w:rsidP="00D63F59">
            <w:pPr>
              <w:pStyle w:val="a3"/>
              <w:spacing w:before="0" w:beforeAutospacing="0" w:after="0" w:afterAutospacing="0"/>
              <w:jc w:val="both"/>
              <w:rPr>
                <w:sz w:val="20"/>
                <w:szCs w:val="20"/>
              </w:rPr>
            </w:pPr>
          </w:p>
          <w:p w14:paraId="2752BFCE" w14:textId="77777777" w:rsidR="00164518" w:rsidRDefault="00164518" w:rsidP="00D63F59">
            <w:pPr>
              <w:pStyle w:val="a3"/>
              <w:spacing w:before="0" w:beforeAutospacing="0" w:after="0" w:afterAutospacing="0"/>
              <w:jc w:val="both"/>
              <w:rPr>
                <w:sz w:val="20"/>
                <w:szCs w:val="20"/>
              </w:rPr>
            </w:pPr>
            <w:r>
              <w:rPr>
                <w:sz w:val="20"/>
                <w:szCs w:val="20"/>
              </w:rPr>
              <w:t xml:space="preserve">Регион  </w:t>
            </w:r>
            <w:r>
              <w:rPr>
                <w:sz w:val="20"/>
                <w:szCs w:val="20"/>
                <w:lang w:val="en-US"/>
              </w:rPr>
              <w:t xml:space="preserve">      </w:t>
            </w:r>
            <w:r>
              <w:rPr>
                <w:sz w:val="20"/>
                <w:szCs w:val="20"/>
              </w:rPr>
              <w:t>Год</w:t>
            </w:r>
          </w:p>
        </w:tc>
        <w:tc>
          <w:tcPr>
            <w:tcW w:w="844" w:type="dxa"/>
            <w:tcBorders>
              <w:top w:val="single" w:sz="4" w:space="0" w:color="auto"/>
              <w:left w:val="single" w:sz="4" w:space="0" w:color="auto"/>
              <w:bottom w:val="single" w:sz="4" w:space="0" w:color="auto"/>
              <w:right w:val="single" w:sz="4" w:space="0" w:color="auto"/>
            </w:tcBorders>
            <w:vAlign w:val="center"/>
            <w:hideMark/>
          </w:tcPr>
          <w:p w14:paraId="2C94FA1C" w14:textId="77777777" w:rsidR="00164518" w:rsidRDefault="00164518" w:rsidP="00D63F59">
            <w:pPr>
              <w:pStyle w:val="a3"/>
              <w:spacing w:before="0" w:beforeAutospacing="0" w:after="0" w:afterAutospacing="0"/>
              <w:jc w:val="both"/>
              <w:rPr>
                <w:sz w:val="20"/>
                <w:szCs w:val="20"/>
              </w:rPr>
            </w:pPr>
            <w:r>
              <w:rPr>
                <w:sz w:val="20"/>
                <w:szCs w:val="20"/>
              </w:rPr>
              <w:t>2017</w:t>
            </w:r>
          </w:p>
        </w:tc>
        <w:tc>
          <w:tcPr>
            <w:tcW w:w="844" w:type="dxa"/>
            <w:tcBorders>
              <w:top w:val="single" w:sz="4" w:space="0" w:color="auto"/>
              <w:left w:val="single" w:sz="4" w:space="0" w:color="auto"/>
              <w:bottom w:val="single" w:sz="4" w:space="0" w:color="auto"/>
              <w:right w:val="single" w:sz="4" w:space="0" w:color="auto"/>
            </w:tcBorders>
            <w:vAlign w:val="center"/>
            <w:hideMark/>
          </w:tcPr>
          <w:p w14:paraId="6A4BC775" w14:textId="77777777" w:rsidR="00164518" w:rsidRDefault="00164518" w:rsidP="00D63F59">
            <w:pPr>
              <w:pStyle w:val="a3"/>
              <w:spacing w:before="0" w:beforeAutospacing="0" w:after="0" w:afterAutospacing="0"/>
              <w:jc w:val="both"/>
              <w:rPr>
                <w:sz w:val="20"/>
                <w:szCs w:val="20"/>
              </w:rPr>
            </w:pPr>
            <w:r>
              <w:rPr>
                <w:sz w:val="20"/>
                <w:szCs w:val="20"/>
              </w:rPr>
              <w:t>2018</w:t>
            </w:r>
          </w:p>
        </w:tc>
        <w:tc>
          <w:tcPr>
            <w:tcW w:w="844" w:type="dxa"/>
            <w:tcBorders>
              <w:top w:val="single" w:sz="4" w:space="0" w:color="auto"/>
              <w:left w:val="single" w:sz="4" w:space="0" w:color="auto"/>
              <w:bottom w:val="single" w:sz="4" w:space="0" w:color="auto"/>
              <w:right w:val="single" w:sz="4" w:space="0" w:color="auto"/>
            </w:tcBorders>
            <w:vAlign w:val="center"/>
            <w:hideMark/>
          </w:tcPr>
          <w:p w14:paraId="782FB1B0" w14:textId="77777777" w:rsidR="00164518" w:rsidRDefault="00164518" w:rsidP="00D63F59">
            <w:pPr>
              <w:pStyle w:val="a3"/>
              <w:spacing w:before="0" w:beforeAutospacing="0" w:after="0" w:afterAutospacing="0"/>
              <w:jc w:val="both"/>
              <w:rPr>
                <w:sz w:val="20"/>
                <w:szCs w:val="20"/>
              </w:rPr>
            </w:pPr>
            <w:r>
              <w:rPr>
                <w:sz w:val="20"/>
                <w:szCs w:val="20"/>
              </w:rPr>
              <w:t>2019</w:t>
            </w:r>
          </w:p>
        </w:tc>
        <w:tc>
          <w:tcPr>
            <w:tcW w:w="844" w:type="dxa"/>
            <w:tcBorders>
              <w:top w:val="single" w:sz="4" w:space="0" w:color="auto"/>
              <w:left w:val="single" w:sz="4" w:space="0" w:color="auto"/>
              <w:bottom w:val="single" w:sz="4" w:space="0" w:color="auto"/>
              <w:right w:val="single" w:sz="4" w:space="0" w:color="auto"/>
            </w:tcBorders>
            <w:vAlign w:val="center"/>
            <w:hideMark/>
          </w:tcPr>
          <w:p w14:paraId="58C09323" w14:textId="77777777" w:rsidR="00164518" w:rsidRDefault="00164518" w:rsidP="00D63F59">
            <w:pPr>
              <w:pStyle w:val="a3"/>
              <w:spacing w:before="0" w:beforeAutospacing="0" w:after="0" w:afterAutospacing="0"/>
              <w:jc w:val="both"/>
              <w:rPr>
                <w:sz w:val="20"/>
                <w:szCs w:val="20"/>
              </w:rPr>
            </w:pPr>
            <w:r>
              <w:rPr>
                <w:sz w:val="20"/>
                <w:szCs w:val="20"/>
              </w:rPr>
              <w:t>2020</w:t>
            </w:r>
          </w:p>
        </w:tc>
        <w:tc>
          <w:tcPr>
            <w:tcW w:w="844" w:type="dxa"/>
            <w:tcBorders>
              <w:top w:val="single" w:sz="4" w:space="0" w:color="auto"/>
              <w:left w:val="single" w:sz="4" w:space="0" w:color="auto"/>
              <w:bottom w:val="single" w:sz="4" w:space="0" w:color="auto"/>
              <w:right w:val="single" w:sz="4" w:space="0" w:color="auto"/>
            </w:tcBorders>
            <w:vAlign w:val="center"/>
            <w:hideMark/>
          </w:tcPr>
          <w:p w14:paraId="6ED99CA0" w14:textId="77777777" w:rsidR="00164518" w:rsidRDefault="00164518" w:rsidP="00D63F59">
            <w:pPr>
              <w:pStyle w:val="a3"/>
              <w:spacing w:before="0" w:beforeAutospacing="0" w:after="0" w:afterAutospacing="0"/>
              <w:jc w:val="both"/>
              <w:rPr>
                <w:sz w:val="20"/>
                <w:szCs w:val="20"/>
              </w:rPr>
            </w:pPr>
            <w:r>
              <w:rPr>
                <w:sz w:val="20"/>
                <w:szCs w:val="20"/>
              </w:rPr>
              <w:t>2021</w:t>
            </w:r>
          </w:p>
        </w:tc>
        <w:tc>
          <w:tcPr>
            <w:tcW w:w="1154" w:type="dxa"/>
            <w:tcBorders>
              <w:top w:val="single" w:sz="4" w:space="0" w:color="auto"/>
              <w:left w:val="single" w:sz="4" w:space="0" w:color="auto"/>
              <w:bottom w:val="single" w:sz="4" w:space="0" w:color="auto"/>
              <w:right w:val="single" w:sz="4" w:space="0" w:color="auto"/>
            </w:tcBorders>
            <w:vAlign w:val="center"/>
            <w:hideMark/>
          </w:tcPr>
          <w:p w14:paraId="2D5A8A15" w14:textId="77777777" w:rsidR="00164518" w:rsidRDefault="00164518" w:rsidP="00D63F59">
            <w:pPr>
              <w:pStyle w:val="a3"/>
              <w:spacing w:before="0" w:beforeAutospacing="0" w:after="0" w:afterAutospacing="0"/>
              <w:jc w:val="center"/>
              <w:rPr>
                <w:sz w:val="20"/>
                <w:szCs w:val="20"/>
              </w:rPr>
            </w:pPr>
            <w:r>
              <w:rPr>
                <w:sz w:val="20"/>
                <w:szCs w:val="20"/>
              </w:rPr>
              <w:t>2022</w:t>
            </w:r>
          </w:p>
        </w:tc>
        <w:tc>
          <w:tcPr>
            <w:tcW w:w="1154" w:type="dxa"/>
            <w:tcBorders>
              <w:top w:val="single" w:sz="4" w:space="0" w:color="auto"/>
              <w:left w:val="single" w:sz="4" w:space="0" w:color="auto"/>
              <w:bottom w:val="single" w:sz="4" w:space="0" w:color="auto"/>
              <w:right w:val="single" w:sz="4" w:space="0" w:color="auto"/>
            </w:tcBorders>
            <w:vAlign w:val="center"/>
            <w:hideMark/>
          </w:tcPr>
          <w:p w14:paraId="05700719" w14:textId="77777777" w:rsidR="00164518" w:rsidRDefault="00164518" w:rsidP="00D63F59">
            <w:pPr>
              <w:pStyle w:val="a3"/>
              <w:spacing w:before="0" w:beforeAutospacing="0" w:after="0" w:afterAutospacing="0"/>
              <w:jc w:val="both"/>
              <w:rPr>
                <w:sz w:val="20"/>
                <w:szCs w:val="20"/>
              </w:rPr>
            </w:pPr>
            <w:r>
              <w:rPr>
                <w:sz w:val="20"/>
                <w:szCs w:val="20"/>
              </w:rPr>
              <w:t>Изменение за 2017-2022 гг.</w:t>
            </w:r>
          </w:p>
        </w:tc>
      </w:tr>
      <w:tr w:rsidR="00164518" w14:paraId="480B8AE5" w14:textId="77777777" w:rsidTr="00164518">
        <w:trPr>
          <w:jc w:val="center"/>
        </w:trPr>
        <w:tc>
          <w:tcPr>
            <w:tcW w:w="2015" w:type="dxa"/>
            <w:tcBorders>
              <w:top w:val="single" w:sz="4" w:space="0" w:color="auto"/>
              <w:left w:val="single" w:sz="4" w:space="0" w:color="auto"/>
              <w:bottom w:val="single" w:sz="4" w:space="0" w:color="auto"/>
              <w:right w:val="single" w:sz="4" w:space="0" w:color="auto"/>
            </w:tcBorders>
            <w:hideMark/>
          </w:tcPr>
          <w:p w14:paraId="134AD295" w14:textId="77777777" w:rsidR="00164518" w:rsidRDefault="00164518" w:rsidP="00D63F59">
            <w:pPr>
              <w:pStyle w:val="a3"/>
              <w:spacing w:before="0" w:beforeAutospacing="0" w:after="0" w:afterAutospacing="0"/>
              <w:jc w:val="both"/>
              <w:rPr>
                <w:sz w:val="20"/>
                <w:szCs w:val="20"/>
              </w:rPr>
            </w:pPr>
            <w:r>
              <w:rPr>
                <w:sz w:val="20"/>
                <w:szCs w:val="20"/>
              </w:rPr>
              <w:t>Брестская обл.</w:t>
            </w:r>
          </w:p>
        </w:tc>
        <w:tc>
          <w:tcPr>
            <w:tcW w:w="844" w:type="dxa"/>
            <w:tcBorders>
              <w:top w:val="single" w:sz="4" w:space="0" w:color="auto"/>
              <w:left w:val="single" w:sz="4" w:space="0" w:color="auto"/>
              <w:bottom w:val="single" w:sz="4" w:space="0" w:color="auto"/>
              <w:right w:val="single" w:sz="4" w:space="0" w:color="auto"/>
            </w:tcBorders>
            <w:vAlign w:val="center"/>
            <w:hideMark/>
          </w:tcPr>
          <w:p w14:paraId="387D5B92"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883</w:t>
            </w:r>
          </w:p>
        </w:tc>
        <w:tc>
          <w:tcPr>
            <w:tcW w:w="844" w:type="dxa"/>
            <w:tcBorders>
              <w:top w:val="single" w:sz="4" w:space="0" w:color="auto"/>
              <w:left w:val="single" w:sz="4" w:space="0" w:color="auto"/>
              <w:bottom w:val="single" w:sz="4" w:space="0" w:color="auto"/>
              <w:right w:val="single" w:sz="4" w:space="0" w:color="auto"/>
            </w:tcBorders>
            <w:vAlign w:val="center"/>
            <w:hideMark/>
          </w:tcPr>
          <w:p w14:paraId="3C2EC7C8"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986</w:t>
            </w:r>
          </w:p>
        </w:tc>
        <w:tc>
          <w:tcPr>
            <w:tcW w:w="844" w:type="dxa"/>
            <w:tcBorders>
              <w:top w:val="single" w:sz="4" w:space="0" w:color="auto"/>
              <w:left w:val="single" w:sz="4" w:space="0" w:color="auto"/>
              <w:bottom w:val="single" w:sz="4" w:space="0" w:color="auto"/>
              <w:right w:val="single" w:sz="4" w:space="0" w:color="auto"/>
            </w:tcBorders>
            <w:vAlign w:val="center"/>
            <w:hideMark/>
          </w:tcPr>
          <w:p w14:paraId="69B31207"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381</w:t>
            </w:r>
          </w:p>
        </w:tc>
        <w:tc>
          <w:tcPr>
            <w:tcW w:w="844" w:type="dxa"/>
            <w:tcBorders>
              <w:top w:val="single" w:sz="4" w:space="0" w:color="auto"/>
              <w:left w:val="single" w:sz="4" w:space="0" w:color="auto"/>
              <w:bottom w:val="single" w:sz="4" w:space="0" w:color="auto"/>
              <w:right w:val="single" w:sz="4" w:space="0" w:color="auto"/>
            </w:tcBorders>
            <w:vAlign w:val="center"/>
            <w:hideMark/>
          </w:tcPr>
          <w:p w14:paraId="15C79699"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316</w:t>
            </w:r>
          </w:p>
        </w:tc>
        <w:tc>
          <w:tcPr>
            <w:tcW w:w="844" w:type="dxa"/>
            <w:tcBorders>
              <w:top w:val="single" w:sz="4" w:space="0" w:color="auto"/>
              <w:left w:val="single" w:sz="4" w:space="0" w:color="auto"/>
              <w:bottom w:val="single" w:sz="4" w:space="0" w:color="auto"/>
              <w:right w:val="single" w:sz="4" w:space="0" w:color="auto"/>
            </w:tcBorders>
            <w:vAlign w:val="center"/>
            <w:hideMark/>
          </w:tcPr>
          <w:p w14:paraId="24E92F52"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405</w:t>
            </w:r>
          </w:p>
        </w:tc>
        <w:tc>
          <w:tcPr>
            <w:tcW w:w="1154" w:type="dxa"/>
            <w:tcBorders>
              <w:top w:val="single" w:sz="4" w:space="0" w:color="auto"/>
              <w:left w:val="single" w:sz="4" w:space="0" w:color="auto"/>
              <w:bottom w:val="single" w:sz="4" w:space="0" w:color="auto"/>
              <w:right w:val="single" w:sz="4" w:space="0" w:color="auto"/>
            </w:tcBorders>
            <w:hideMark/>
          </w:tcPr>
          <w:p w14:paraId="20C9180F"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724</w:t>
            </w:r>
          </w:p>
        </w:tc>
        <w:tc>
          <w:tcPr>
            <w:tcW w:w="1154" w:type="dxa"/>
            <w:tcBorders>
              <w:top w:val="single" w:sz="4" w:space="0" w:color="auto"/>
              <w:left w:val="single" w:sz="4" w:space="0" w:color="auto"/>
              <w:bottom w:val="single" w:sz="4" w:space="0" w:color="auto"/>
              <w:right w:val="single" w:sz="4" w:space="0" w:color="auto"/>
            </w:tcBorders>
            <w:vAlign w:val="center"/>
            <w:hideMark/>
          </w:tcPr>
          <w:p w14:paraId="5DACC4EC"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-159</w:t>
            </w:r>
          </w:p>
        </w:tc>
      </w:tr>
      <w:tr w:rsidR="00164518" w14:paraId="341DA233" w14:textId="77777777" w:rsidTr="00164518">
        <w:trPr>
          <w:jc w:val="center"/>
        </w:trPr>
        <w:tc>
          <w:tcPr>
            <w:tcW w:w="2015" w:type="dxa"/>
            <w:tcBorders>
              <w:top w:val="single" w:sz="4" w:space="0" w:color="auto"/>
              <w:left w:val="single" w:sz="4" w:space="0" w:color="auto"/>
              <w:bottom w:val="single" w:sz="4" w:space="0" w:color="auto"/>
              <w:right w:val="single" w:sz="4" w:space="0" w:color="auto"/>
            </w:tcBorders>
            <w:hideMark/>
          </w:tcPr>
          <w:p w14:paraId="7DDC4203" w14:textId="77777777" w:rsidR="00164518" w:rsidRDefault="00164518" w:rsidP="00D63F59">
            <w:pPr>
              <w:pStyle w:val="a3"/>
              <w:spacing w:before="0" w:beforeAutospacing="0" w:after="0" w:afterAutospacing="0"/>
              <w:jc w:val="both"/>
              <w:rPr>
                <w:sz w:val="20"/>
                <w:szCs w:val="20"/>
              </w:rPr>
            </w:pPr>
            <w:r>
              <w:rPr>
                <w:sz w:val="20"/>
                <w:szCs w:val="20"/>
              </w:rPr>
              <w:t>Витебская обл.</w:t>
            </w:r>
          </w:p>
        </w:tc>
        <w:tc>
          <w:tcPr>
            <w:tcW w:w="844" w:type="dxa"/>
            <w:tcBorders>
              <w:top w:val="single" w:sz="4" w:space="0" w:color="auto"/>
              <w:left w:val="single" w:sz="4" w:space="0" w:color="auto"/>
              <w:bottom w:val="single" w:sz="4" w:space="0" w:color="auto"/>
              <w:right w:val="single" w:sz="4" w:space="0" w:color="auto"/>
            </w:tcBorders>
            <w:vAlign w:val="center"/>
            <w:hideMark/>
          </w:tcPr>
          <w:p w14:paraId="05DD7098"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1 761</w:t>
            </w:r>
          </w:p>
        </w:tc>
        <w:tc>
          <w:tcPr>
            <w:tcW w:w="844" w:type="dxa"/>
            <w:tcBorders>
              <w:top w:val="single" w:sz="4" w:space="0" w:color="auto"/>
              <w:left w:val="single" w:sz="4" w:space="0" w:color="auto"/>
              <w:bottom w:val="single" w:sz="4" w:space="0" w:color="auto"/>
              <w:right w:val="single" w:sz="4" w:space="0" w:color="auto"/>
            </w:tcBorders>
            <w:vAlign w:val="center"/>
            <w:hideMark/>
          </w:tcPr>
          <w:p w14:paraId="1B35224E"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1 410</w:t>
            </w:r>
          </w:p>
        </w:tc>
        <w:tc>
          <w:tcPr>
            <w:tcW w:w="844" w:type="dxa"/>
            <w:tcBorders>
              <w:top w:val="single" w:sz="4" w:space="0" w:color="auto"/>
              <w:left w:val="single" w:sz="4" w:space="0" w:color="auto"/>
              <w:bottom w:val="single" w:sz="4" w:space="0" w:color="auto"/>
              <w:right w:val="single" w:sz="4" w:space="0" w:color="auto"/>
            </w:tcBorders>
            <w:vAlign w:val="center"/>
            <w:hideMark/>
          </w:tcPr>
          <w:p w14:paraId="6071CED2"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1 091</w:t>
            </w:r>
          </w:p>
        </w:tc>
        <w:tc>
          <w:tcPr>
            <w:tcW w:w="844" w:type="dxa"/>
            <w:tcBorders>
              <w:top w:val="single" w:sz="4" w:space="0" w:color="auto"/>
              <w:left w:val="single" w:sz="4" w:space="0" w:color="auto"/>
              <w:bottom w:val="single" w:sz="4" w:space="0" w:color="auto"/>
              <w:right w:val="single" w:sz="4" w:space="0" w:color="auto"/>
            </w:tcBorders>
            <w:vAlign w:val="center"/>
            <w:hideMark/>
          </w:tcPr>
          <w:p w14:paraId="091828E2"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527</w:t>
            </w:r>
          </w:p>
        </w:tc>
        <w:tc>
          <w:tcPr>
            <w:tcW w:w="844" w:type="dxa"/>
            <w:tcBorders>
              <w:top w:val="single" w:sz="4" w:space="0" w:color="auto"/>
              <w:left w:val="single" w:sz="4" w:space="0" w:color="auto"/>
              <w:bottom w:val="single" w:sz="4" w:space="0" w:color="auto"/>
              <w:right w:val="single" w:sz="4" w:space="0" w:color="auto"/>
            </w:tcBorders>
            <w:vAlign w:val="center"/>
            <w:hideMark/>
          </w:tcPr>
          <w:p w14:paraId="7EE50A5D"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648</w:t>
            </w:r>
          </w:p>
        </w:tc>
        <w:tc>
          <w:tcPr>
            <w:tcW w:w="1154" w:type="dxa"/>
            <w:tcBorders>
              <w:top w:val="single" w:sz="4" w:space="0" w:color="auto"/>
              <w:left w:val="single" w:sz="4" w:space="0" w:color="auto"/>
              <w:bottom w:val="single" w:sz="4" w:space="0" w:color="auto"/>
              <w:right w:val="single" w:sz="4" w:space="0" w:color="auto"/>
            </w:tcBorders>
            <w:hideMark/>
          </w:tcPr>
          <w:p w14:paraId="33CB8EB1"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381</w:t>
            </w:r>
          </w:p>
        </w:tc>
        <w:tc>
          <w:tcPr>
            <w:tcW w:w="1154" w:type="dxa"/>
            <w:tcBorders>
              <w:top w:val="single" w:sz="4" w:space="0" w:color="auto"/>
              <w:left w:val="single" w:sz="4" w:space="0" w:color="auto"/>
              <w:bottom w:val="single" w:sz="4" w:space="0" w:color="auto"/>
              <w:right w:val="single" w:sz="4" w:space="0" w:color="auto"/>
            </w:tcBorders>
            <w:vAlign w:val="center"/>
            <w:hideMark/>
          </w:tcPr>
          <w:p w14:paraId="232DEE59"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-1380</w:t>
            </w:r>
          </w:p>
        </w:tc>
      </w:tr>
      <w:tr w:rsidR="00164518" w14:paraId="5FA542F6" w14:textId="77777777" w:rsidTr="00164518">
        <w:trPr>
          <w:jc w:val="center"/>
        </w:trPr>
        <w:tc>
          <w:tcPr>
            <w:tcW w:w="2015" w:type="dxa"/>
            <w:tcBorders>
              <w:top w:val="single" w:sz="4" w:space="0" w:color="auto"/>
              <w:left w:val="single" w:sz="4" w:space="0" w:color="auto"/>
              <w:bottom w:val="single" w:sz="4" w:space="0" w:color="auto"/>
              <w:right w:val="single" w:sz="4" w:space="0" w:color="auto"/>
            </w:tcBorders>
            <w:hideMark/>
          </w:tcPr>
          <w:p w14:paraId="6FE45E82" w14:textId="77777777" w:rsidR="00164518" w:rsidRDefault="00164518" w:rsidP="00D63F59">
            <w:pPr>
              <w:pStyle w:val="a3"/>
              <w:spacing w:before="0" w:beforeAutospacing="0" w:after="0" w:afterAutospacing="0"/>
              <w:jc w:val="both"/>
              <w:rPr>
                <w:sz w:val="20"/>
                <w:szCs w:val="20"/>
              </w:rPr>
            </w:pPr>
            <w:r>
              <w:rPr>
                <w:sz w:val="20"/>
                <w:szCs w:val="20"/>
              </w:rPr>
              <w:t>Гомельская обл.</w:t>
            </w:r>
          </w:p>
        </w:tc>
        <w:tc>
          <w:tcPr>
            <w:tcW w:w="844" w:type="dxa"/>
            <w:tcBorders>
              <w:top w:val="single" w:sz="4" w:space="0" w:color="auto"/>
              <w:left w:val="single" w:sz="4" w:space="0" w:color="auto"/>
              <w:bottom w:val="single" w:sz="4" w:space="0" w:color="auto"/>
              <w:right w:val="single" w:sz="4" w:space="0" w:color="auto"/>
            </w:tcBorders>
            <w:vAlign w:val="center"/>
            <w:hideMark/>
          </w:tcPr>
          <w:p w14:paraId="270A9538"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1 606</w:t>
            </w:r>
          </w:p>
        </w:tc>
        <w:tc>
          <w:tcPr>
            <w:tcW w:w="844" w:type="dxa"/>
            <w:tcBorders>
              <w:top w:val="single" w:sz="4" w:space="0" w:color="auto"/>
              <w:left w:val="single" w:sz="4" w:space="0" w:color="auto"/>
              <w:bottom w:val="single" w:sz="4" w:space="0" w:color="auto"/>
              <w:right w:val="single" w:sz="4" w:space="0" w:color="auto"/>
            </w:tcBorders>
            <w:vAlign w:val="center"/>
            <w:hideMark/>
          </w:tcPr>
          <w:p w14:paraId="5C0B3FB6"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1 711</w:t>
            </w:r>
          </w:p>
        </w:tc>
        <w:tc>
          <w:tcPr>
            <w:tcW w:w="844" w:type="dxa"/>
            <w:tcBorders>
              <w:top w:val="single" w:sz="4" w:space="0" w:color="auto"/>
              <w:left w:val="single" w:sz="4" w:space="0" w:color="auto"/>
              <w:bottom w:val="single" w:sz="4" w:space="0" w:color="auto"/>
              <w:right w:val="single" w:sz="4" w:space="0" w:color="auto"/>
            </w:tcBorders>
            <w:vAlign w:val="center"/>
            <w:hideMark/>
          </w:tcPr>
          <w:p w14:paraId="36981610"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1 725</w:t>
            </w:r>
          </w:p>
        </w:tc>
        <w:tc>
          <w:tcPr>
            <w:tcW w:w="844" w:type="dxa"/>
            <w:tcBorders>
              <w:top w:val="single" w:sz="4" w:space="0" w:color="auto"/>
              <w:left w:val="single" w:sz="4" w:space="0" w:color="auto"/>
              <w:bottom w:val="single" w:sz="4" w:space="0" w:color="auto"/>
              <w:right w:val="single" w:sz="4" w:space="0" w:color="auto"/>
            </w:tcBorders>
            <w:vAlign w:val="center"/>
            <w:hideMark/>
          </w:tcPr>
          <w:p w14:paraId="039341B4"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1 072</w:t>
            </w:r>
          </w:p>
        </w:tc>
        <w:tc>
          <w:tcPr>
            <w:tcW w:w="844" w:type="dxa"/>
            <w:tcBorders>
              <w:top w:val="single" w:sz="4" w:space="0" w:color="auto"/>
              <w:left w:val="single" w:sz="4" w:space="0" w:color="auto"/>
              <w:bottom w:val="single" w:sz="4" w:space="0" w:color="auto"/>
              <w:right w:val="single" w:sz="4" w:space="0" w:color="auto"/>
            </w:tcBorders>
            <w:vAlign w:val="center"/>
            <w:hideMark/>
          </w:tcPr>
          <w:p w14:paraId="434C3A5B"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1 105</w:t>
            </w:r>
          </w:p>
        </w:tc>
        <w:tc>
          <w:tcPr>
            <w:tcW w:w="1154" w:type="dxa"/>
            <w:tcBorders>
              <w:top w:val="single" w:sz="4" w:space="0" w:color="auto"/>
              <w:left w:val="single" w:sz="4" w:space="0" w:color="auto"/>
              <w:bottom w:val="single" w:sz="4" w:space="0" w:color="auto"/>
              <w:right w:val="single" w:sz="4" w:space="0" w:color="auto"/>
            </w:tcBorders>
            <w:hideMark/>
          </w:tcPr>
          <w:p w14:paraId="5E679617"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1126</w:t>
            </w:r>
          </w:p>
        </w:tc>
        <w:tc>
          <w:tcPr>
            <w:tcW w:w="1154" w:type="dxa"/>
            <w:tcBorders>
              <w:top w:val="single" w:sz="4" w:space="0" w:color="auto"/>
              <w:left w:val="single" w:sz="4" w:space="0" w:color="auto"/>
              <w:bottom w:val="single" w:sz="4" w:space="0" w:color="auto"/>
              <w:right w:val="single" w:sz="4" w:space="0" w:color="auto"/>
            </w:tcBorders>
            <w:vAlign w:val="center"/>
            <w:hideMark/>
          </w:tcPr>
          <w:p w14:paraId="46F5D2D0"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-480</w:t>
            </w:r>
          </w:p>
        </w:tc>
      </w:tr>
      <w:tr w:rsidR="00164518" w14:paraId="34C2826C" w14:textId="77777777" w:rsidTr="00164518">
        <w:trPr>
          <w:jc w:val="center"/>
        </w:trPr>
        <w:tc>
          <w:tcPr>
            <w:tcW w:w="2015" w:type="dxa"/>
            <w:tcBorders>
              <w:top w:val="single" w:sz="4" w:space="0" w:color="auto"/>
              <w:left w:val="single" w:sz="4" w:space="0" w:color="auto"/>
              <w:bottom w:val="single" w:sz="4" w:space="0" w:color="auto"/>
              <w:right w:val="single" w:sz="4" w:space="0" w:color="auto"/>
            </w:tcBorders>
            <w:hideMark/>
          </w:tcPr>
          <w:p w14:paraId="6206C98E" w14:textId="77777777" w:rsidR="00164518" w:rsidRDefault="00164518" w:rsidP="00D63F59">
            <w:pPr>
              <w:pStyle w:val="a3"/>
              <w:spacing w:before="0" w:beforeAutospacing="0" w:after="0" w:afterAutospacing="0"/>
              <w:jc w:val="both"/>
              <w:rPr>
                <w:sz w:val="20"/>
                <w:szCs w:val="20"/>
              </w:rPr>
            </w:pPr>
            <w:r>
              <w:rPr>
                <w:sz w:val="20"/>
                <w:szCs w:val="20"/>
              </w:rPr>
              <w:t>Гродненская обл.</w:t>
            </w:r>
          </w:p>
        </w:tc>
        <w:tc>
          <w:tcPr>
            <w:tcW w:w="844" w:type="dxa"/>
            <w:tcBorders>
              <w:top w:val="single" w:sz="4" w:space="0" w:color="auto"/>
              <w:left w:val="single" w:sz="4" w:space="0" w:color="auto"/>
              <w:bottom w:val="single" w:sz="4" w:space="0" w:color="auto"/>
              <w:right w:val="single" w:sz="4" w:space="0" w:color="auto"/>
            </w:tcBorders>
            <w:vAlign w:val="center"/>
            <w:hideMark/>
          </w:tcPr>
          <w:p w14:paraId="396F45E5"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1 248</w:t>
            </w:r>
          </w:p>
        </w:tc>
        <w:tc>
          <w:tcPr>
            <w:tcW w:w="844" w:type="dxa"/>
            <w:tcBorders>
              <w:top w:val="single" w:sz="4" w:space="0" w:color="auto"/>
              <w:left w:val="single" w:sz="4" w:space="0" w:color="auto"/>
              <w:bottom w:val="single" w:sz="4" w:space="0" w:color="auto"/>
              <w:right w:val="single" w:sz="4" w:space="0" w:color="auto"/>
            </w:tcBorders>
            <w:vAlign w:val="center"/>
            <w:hideMark/>
          </w:tcPr>
          <w:p w14:paraId="7CD93EF3"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1 601</w:t>
            </w:r>
          </w:p>
        </w:tc>
        <w:tc>
          <w:tcPr>
            <w:tcW w:w="844" w:type="dxa"/>
            <w:tcBorders>
              <w:top w:val="single" w:sz="4" w:space="0" w:color="auto"/>
              <w:left w:val="single" w:sz="4" w:space="0" w:color="auto"/>
              <w:bottom w:val="single" w:sz="4" w:space="0" w:color="auto"/>
              <w:right w:val="single" w:sz="4" w:space="0" w:color="auto"/>
            </w:tcBorders>
            <w:vAlign w:val="center"/>
            <w:hideMark/>
          </w:tcPr>
          <w:p w14:paraId="3550EB89"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978</w:t>
            </w:r>
          </w:p>
        </w:tc>
        <w:tc>
          <w:tcPr>
            <w:tcW w:w="844" w:type="dxa"/>
            <w:tcBorders>
              <w:top w:val="single" w:sz="4" w:space="0" w:color="auto"/>
              <w:left w:val="single" w:sz="4" w:space="0" w:color="auto"/>
              <w:bottom w:val="single" w:sz="4" w:space="0" w:color="auto"/>
              <w:right w:val="single" w:sz="4" w:space="0" w:color="auto"/>
            </w:tcBorders>
            <w:vAlign w:val="center"/>
            <w:hideMark/>
          </w:tcPr>
          <w:p w14:paraId="7C68B8F6"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472</w:t>
            </w:r>
          </w:p>
        </w:tc>
        <w:tc>
          <w:tcPr>
            <w:tcW w:w="844" w:type="dxa"/>
            <w:tcBorders>
              <w:top w:val="single" w:sz="4" w:space="0" w:color="auto"/>
              <w:left w:val="single" w:sz="4" w:space="0" w:color="auto"/>
              <w:bottom w:val="single" w:sz="4" w:space="0" w:color="auto"/>
              <w:right w:val="single" w:sz="4" w:space="0" w:color="auto"/>
            </w:tcBorders>
            <w:vAlign w:val="center"/>
            <w:hideMark/>
          </w:tcPr>
          <w:p w14:paraId="588CBF89"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562</w:t>
            </w:r>
          </w:p>
        </w:tc>
        <w:tc>
          <w:tcPr>
            <w:tcW w:w="1154" w:type="dxa"/>
            <w:tcBorders>
              <w:top w:val="single" w:sz="4" w:space="0" w:color="auto"/>
              <w:left w:val="single" w:sz="4" w:space="0" w:color="auto"/>
              <w:bottom w:val="single" w:sz="4" w:space="0" w:color="auto"/>
              <w:right w:val="single" w:sz="4" w:space="0" w:color="auto"/>
            </w:tcBorders>
            <w:hideMark/>
          </w:tcPr>
          <w:p w14:paraId="2A9CC283"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108</w:t>
            </w:r>
          </w:p>
        </w:tc>
        <w:tc>
          <w:tcPr>
            <w:tcW w:w="1154" w:type="dxa"/>
            <w:tcBorders>
              <w:top w:val="single" w:sz="4" w:space="0" w:color="auto"/>
              <w:left w:val="single" w:sz="4" w:space="0" w:color="auto"/>
              <w:bottom w:val="single" w:sz="4" w:space="0" w:color="auto"/>
              <w:right w:val="single" w:sz="4" w:space="0" w:color="auto"/>
            </w:tcBorders>
            <w:vAlign w:val="center"/>
            <w:hideMark/>
          </w:tcPr>
          <w:p w14:paraId="5ADEE9F7"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-1140</w:t>
            </w:r>
          </w:p>
        </w:tc>
      </w:tr>
      <w:tr w:rsidR="00164518" w14:paraId="32AD2D04" w14:textId="77777777" w:rsidTr="00164518">
        <w:trPr>
          <w:jc w:val="center"/>
        </w:trPr>
        <w:tc>
          <w:tcPr>
            <w:tcW w:w="2015" w:type="dxa"/>
            <w:tcBorders>
              <w:top w:val="single" w:sz="4" w:space="0" w:color="auto"/>
              <w:left w:val="single" w:sz="4" w:space="0" w:color="auto"/>
              <w:bottom w:val="single" w:sz="4" w:space="0" w:color="auto"/>
              <w:right w:val="single" w:sz="4" w:space="0" w:color="auto"/>
            </w:tcBorders>
            <w:hideMark/>
          </w:tcPr>
          <w:p w14:paraId="25122CF9" w14:textId="77777777" w:rsidR="00164518" w:rsidRDefault="00164518" w:rsidP="00D63F59">
            <w:pPr>
              <w:pStyle w:val="a3"/>
              <w:spacing w:before="0" w:beforeAutospacing="0" w:after="0" w:afterAutospacing="0"/>
              <w:jc w:val="both"/>
              <w:rPr>
                <w:sz w:val="20"/>
                <w:szCs w:val="20"/>
              </w:rPr>
            </w:pPr>
            <w:r>
              <w:rPr>
                <w:sz w:val="20"/>
                <w:szCs w:val="20"/>
              </w:rPr>
              <w:t>г. Минск</w:t>
            </w:r>
          </w:p>
        </w:tc>
        <w:tc>
          <w:tcPr>
            <w:tcW w:w="844" w:type="dxa"/>
            <w:tcBorders>
              <w:top w:val="single" w:sz="4" w:space="0" w:color="auto"/>
              <w:left w:val="single" w:sz="4" w:space="0" w:color="auto"/>
              <w:bottom w:val="single" w:sz="4" w:space="0" w:color="auto"/>
              <w:right w:val="single" w:sz="4" w:space="0" w:color="auto"/>
            </w:tcBorders>
            <w:vAlign w:val="center"/>
            <w:hideMark/>
          </w:tcPr>
          <w:p w14:paraId="455407BA"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3 018</w:t>
            </w:r>
          </w:p>
        </w:tc>
        <w:tc>
          <w:tcPr>
            <w:tcW w:w="844" w:type="dxa"/>
            <w:tcBorders>
              <w:top w:val="single" w:sz="4" w:space="0" w:color="auto"/>
              <w:left w:val="single" w:sz="4" w:space="0" w:color="auto"/>
              <w:bottom w:val="single" w:sz="4" w:space="0" w:color="auto"/>
              <w:right w:val="single" w:sz="4" w:space="0" w:color="auto"/>
            </w:tcBorders>
            <w:vAlign w:val="center"/>
            <w:hideMark/>
          </w:tcPr>
          <w:p w14:paraId="43B9380C"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3 762</w:t>
            </w:r>
          </w:p>
        </w:tc>
        <w:tc>
          <w:tcPr>
            <w:tcW w:w="844" w:type="dxa"/>
            <w:tcBorders>
              <w:top w:val="single" w:sz="4" w:space="0" w:color="auto"/>
              <w:left w:val="single" w:sz="4" w:space="0" w:color="auto"/>
              <w:bottom w:val="single" w:sz="4" w:space="0" w:color="auto"/>
              <w:right w:val="single" w:sz="4" w:space="0" w:color="auto"/>
            </w:tcBorders>
            <w:vAlign w:val="center"/>
            <w:hideMark/>
          </w:tcPr>
          <w:p w14:paraId="33A7F728"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3 547</w:t>
            </w:r>
          </w:p>
        </w:tc>
        <w:tc>
          <w:tcPr>
            <w:tcW w:w="844" w:type="dxa"/>
            <w:tcBorders>
              <w:top w:val="single" w:sz="4" w:space="0" w:color="auto"/>
              <w:left w:val="single" w:sz="4" w:space="0" w:color="auto"/>
              <w:bottom w:val="single" w:sz="4" w:space="0" w:color="auto"/>
              <w:right w:val="single" w:sz="4" w:space="0" w:color="auto"/>
            </w:tcBorders>
            <w:vAlign w:val="center"/>
            <w:hideMark/>
          </w:tcPr>
          <w:p w14:paraId="4DC1885B"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1 950</w:t>
            </w:r>
          </w:p>
        </w:tc>
        <w:tc>
          <w:tcPr>
            <w:tcW w:w="844" w:type="dxa"/>
            <w:tcBorders>
              <w:top w:val="single" w:sz="4" w:space="0" w:color="auto"/>
              <w:left w:val="single" w:sz="4" w:space="0" w:color="auto"/>
              <w:bottom w:val="single" w:sz="4" w:space="0" w:color="auto"/>
              <w:right w:val="single" w:sz="4" w:space="0" w:color="auto"/>
            </w:tcBorders>
            <w:vAlign w:val="center"/>
            <w:hideMark/>
          </w:tcPr>
          <w:p w14:paraId="1498E833"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2 153</w:t>
            </w:r>
          </w:p>
        </w:tc>
        <w:tc>
          <w:tcPr>
            <w:tcW w:w="1154" w:type="dxa"/>
            <w:tcBorders>
              <w:top w:val="single" w:sz="4" w:space="0" w:color="auto"/>
              <w:left w:val="single" w:sz="4" w:space="0" w:color="auto"/>
              <w:bottom w:val="single" w:sz="4" w:space="0" w:color="auto"/>
              <w:right w:val="single" w:sz="4" w:space="0" w:color="auto"/>
            </w:tcBorders>
            <w:hideMark/>
          </w:tcPr>
          <w:p w14:paraId="49109789"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2216</w:t>
            </w:r>
          </w:p>
        </w:tc>
        <w:tc>
          <w:tcPr>
            <w:tcW w:w="1154" w:type="dxa"/>
            <w:tcBorders>
              <w:top w:val="single" w:sz="4" w:space="0" w:color="auto"/>
              <w:left w:val="single" w:sz="4" w:space="0" w:color="auto"/>
              <w:bottom w:val="single" w:sz="4" w:space="0" w:color="auto"/>
              <w:right w:val="single" w:sz="4" w:space="0" w:color="auto"/>
            </w:tcBorders>
            <w:vAlign w:val="center"/>
            <w:hideMark/>
          </w:tcPr>
          <w:p w14:paraId="1C9246A7"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-802</w:t>
            </w:r>
          </w:p>
        </w:tc>
      </w:tr>
      <w:tr w:rsidR="00164518" w14:paraId="6B5E9DDB" w14:textId="77777777" w:rsidTr="00164518">
        <w:trPr>
          <w:jc w:val="center"/>
        </w:trPr>
        <w:tc>
          <w:tcPr>
            <w:tcW w:w="2015" w:type="dxa"/>
            <w:tcBorders>
              <w:top w:val="single" w:sz="4" w:space="0" w:color="auto"/>
              <w:left w:val="single" w:sz="4" w:space="0" w:color="auto"/>
              <w:bottom w:val="single" w:sz="4" w:space="0" w:color="auto"/>
              <w:right w:val="single" w:sz="4" w:space="0" w:color="auto"/>
            </w:tcBorders>
            <w:hideMark/>
          </w:tcPr>
          <w:p w14:paraId="38A4BCB5" w14:textId="77777777" w:rsidR="00164518" w:rsidRDefault="00164518" w:rsidP="00D63F59">
            <w:pPr>
              <w:pStyle w:val="a3"/>
              <w:spacing w:before="0" w:beforeAutospacing="0" w:after="0" w:afterAutospacing="0"/>
              <w:jc w:val="both"/>
              <w:rPr>
                <w:sz w:val="20"/>
                <w:szCs w:val="20"/>
              </w:rPr>
            </w:pPr>
            <w:r>
              <w:rPr>
                <w:sz w:val="20"/>
                <w:szCs w:val="20"/>
              </w:rPr>
              <w:t>Минская обл.</w:t>
            </w:r>
          </w:p>
        </w:tc>
        <w:tc>
          <w:tcPr>
            <w:tcW w:w="844" w:type="dxa"/>
            <w:tcBorders>
              <w:top w:val="single" w:sz="4" w:space="0" w:color="auto"/>
              <w:left w:val="single" w:sz="4" w:space="0" w:color="auto"/>
              <w:bottom w:val="single" w:sz="4" w:space="0" w:color="auto"/>
              <w:right w:val="single" w:sz="4" w:space="0" w:color="auto"/>
            </w:tcBorders>
            <w:vAlign w:val="center"/>
            <w:hideMark/>
          </w:tcPr>
          <w:p w14:paraId="22E845D2"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360</w:t>
            </w:r>
          </w:p>
        </w:tc>
        <w:tc>
          <w:tcPr>
            <w:tcW w:w="844" w:type="dxa"/>
            <w:tcBorders>
              <w:top w:val="single" w:sz="4" w:space="0" w:color="auto"/>
              <w:left w:val="single" w:sz="4" w:space="0" w:color="auto"/>
              <w:bottom w:val="single" w:sz="4" w:space="0" w:color="auto"/>
              <w:right w:val="single" w:sz="4" w:space="0" w:color="auto"/>
            </w:tcBorders>
            <w:vAlign w:val="center"/>
            <w:hideMark/>
          </w:tcPr>
          <w:p w14:paraId="43CB4981"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147</w:t>
            </w:r>
          </w:p>
        </w:tc>
        <w:tc>
          <w:tcPr>
            <w:tcW w:w="844" w:type="dxa"/>
            <w:tcBorders>
              <w:top w:val="single" w:sz="4" w:space="0" w:color="auto"/>
              <w:left w:val="single" w:sz="4" w:space="0" w:color="auto"/>
              <w:bottom w:val="single" w:sz="4" w:space="0" w:color="auto"/>
              <w:right w:val="single" w:sz="4" w:space="0" w:color="auto"/>
            </w:tcBorders>
            <w:vAlign w:val="center"/>
            <w:hideMark/>
          </w:tcPr>
          <w:p w14:paraId="68CFA6E3"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171</w:t>
            </w:r>
          </w:p>
        </w:tc>
        <w:tc>
          <w:tcPr>
            <w:tcW w:w="844" w:type="dxa"/>
            <w:tcBorders>
              <w:top w:val="single" w:sz="4" w:space="0" w:color="auto"/>
              <w:left w:val="single" w:sz="4" w:space="0" w:color="auto"/>
              <w:bottom w:val="single" w:sz="4" w:space="0" w:color="auto"/>
              <w:right w:val="single" w:sz="4" w:space="0" w:color="auto"/>
            </w:tcBorders>
            <w:vAlign w:val="center"/>
            <w:hideMark/>
          </w:tcPr>
          <w:p w14:paraId="0142482E"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44</w:t>
            </w:r>
          </w:p>
        </w:tc>
        <w:tc>
          <w:tcPr>
            <w:tcW w:w="844" w:type="dxa"/>
            <w:tcBorders>
              <w:top w:val="single" w:sz="4" w:space="0" w:color="auto"/>
              <w:left w:val="single" w:sz="4" w:space="0" w:color="auto"/>
              <w:bottom w:val="single" w:sz="4" w:space="0" w:color="auto"/>
              <w:right w:val="single" w:sz="4" w:space="0" w:color="auto"/>
            </w:tcBorders>
            <w:vAlign w:val="center"/>
            <w:hideMark/>
          </w:tcPr>
          <w:p w14:paraId="66D7CDE6"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172</w:t>
            </w:r>
          </w:p>
        </w:tc>
        <w:tc>
          <w:tcPr>
            <w:tcW w:w="1154" w:type="dxa"/>
            <w:tcBorders>
              <w:top w:val="single" w:sz="4" w:space="0" w:color="auto"/>
              <w:left w:val="single" w:sz="4" w:space="0" w:color="auto"/>
              <w:bottom w:val="single" w:sz="4" w:space="0" w:color="auto"/>
              <w:right w:val="single" w:sz="4" w:space="0" w:color="auto"/>
            </w:tcBorders>
            <w:hideMark/>
          </w:tcPr>
          <w:p w14:paraId="0002CB73"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222</w:t>
            </w:r>
          </w:p>
        </w:tc>
        <w:tc>
          <w:tcPr>
            <w:tcW w:w="1154" w:type="dxa"/>
            <w:tcBorders>
              <w:top w:val="single" w:sz="4" w:space="0" w:color="auto"/>
              <w:left w:val="single" w:sz="4" w:space="0" w:color="auto"/>
              <w:bottom w:val="single" w:sz="4" w:space="0" w:color="auto"/>
              <w:right w:val="single" w:sz="4" w:space="0" w:color="auto"/>
            </w:tcBorders>
            <w:vAlign w:val="center"/>
            <w:hideMark/>
          </w:tcPr>
          <w:p w14:paraId="0643A005"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-138</w:t>
            </w:r>
          </w:p>
        </w:tc>
      </w:tr>
      <w:tr w:rsidR="00164518" w14:paraId="05F65924" w14:textId="77777777" w:rsidTr="00164518">
        <w:trPr>
          <w:jc w:val="center"/>
        </w:trPr>
        <w:tc>
          <w:tcPr>
            <w:tcW w:w="2015" w:type="dxa"/>
            <w:tcBorders>
              <w:top w:val="single" w:sz="4" w:space="0" w:color="auto"/>
              <w:left w:val="single" w:sz="4" w:space="0" w:color="auto"/>
              <w:bottom w:val="single" w:sz="4" w:space="0" w:color="auto"/>
              <w:right w:val="single" w:sz="4" w:space="0" w:color="auto"/>
            </w:tcBorders>
            <w:hideMark/>
          </w:tcPr>
          <w:p w14:paraId="27DAD185" w14:textId="77777777" w:rsidR="00164518" w:rsidRDefault="00164518" w:rsidP="00D63F59">
            <w:pPr>
              <w:pStyle w:val="a3"/>
              <w:spacing w:before="0" w:beforeAutospacing="0" w:after="0" w:afterAutospacing="0"/>
              <w:jc w:val="both"/>
              <w:rPr>
                <w:sz w:val="20"/>
                <w:szCs w:val="20"/>
              </w:rPr>
            </w:pPr>
            <w:r>
              <w:rPr>
                <w:sz w:val="20"/>
                <w:szCs w:val="20"/>
              </w:rPr>
              <w:t>Могилевская обл.</w:t>
            </w:r>
          </w:p>
        </w:tc>
        <w:tc>
          <w:tcPr>
            <w:tcW w:w="844" w:type="dxa"/>
            <w:tcBorders>
              <w:top w:val="single" w:sz="4" w:space="0" w:color="auto"/>
              <w:left w:val="single" w:sz="4" w:space="0" w:color="auto"/>
              <w:bottom w:val="single" w:sz="4" w:space="0" w:color="auto"/>
              <w:right w:val="single" w:sz="4" w:space="0" w:color="auto"/>
            </w:tcBorders>
            <w:vAlign w:val="center"/>
            <w:hideMark/>
          </w:tcPr>
          <w:p w14:paraId="10A49889"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1 827</w:t>
            </w:r>
          </w:p>
        </w:tc>
        <w:tc>
          <w:tcPr>
            <w:tcW w:w="844" w:type="dxa"/>
            <w:tcBorders>
              <w:top w:val="single" w:sz="4" w:space="0" w:color="auto"/>
              <w:left w:val="single" w:sz="4" w:space="0" w:color="auto"/>
              <w:bottom w:val="single" w:sz="4" w:space="0" w:color="auto"/>
              <w:right w:val="single" w:sz="4" w:space="0" w:color="auto"/>
            </w:tcBorders>
            <w:vAlign w:val="center"/>
            <w:hideMark/>
          </w:tcPr>
          <w:p w14:paraId="157C829C"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1 476</w:t>
            </w:r>
          </w:p>
        </w:tc>
        <w:tc>
          <w:tcPr>
            <w:tcW w:w="844" w:type="dxa"/>
            <w:tcBorders>
              <w:top w:val="single" w:sz="4" w:space="0" w:color="auto"/>
              <w:left w:val="single" w:sz="4" w:space="0" w:color="auto"/>
              <w:bottom w:val="single" w:sz="4" w:space="0" w:color="auto"/>
              <w:right w:val="single" w:sz="4" w:space="0" w:color="auto"/>
            </w:tcBorders>
            <w:vAlign w:val="center"/>
            <w:hideMark/>
          </w:tcPr>
          <w:p w14:paraId="64AB4F0B"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1 168</w:t>
            </w:r>
          </w:p>
        </w:tc>
        <w:tc>
          <w:tcPr>
            <w:tcW w:w="844" w:type="dxa"/>
            <w:tcBorders>
              <w:top w:val="single" w:sz="4" w:space="0" w:color="auto"/>
              <w:left w:val="single" w:sz="4" w:space="0" w:color="auto"/>
              <w:bottom w:val="single" w:sz="4" w:space="0" w:color="auto"/>
              <w:right w:val="single" w:sz="4" w:space="0" w:color="auto"/>
            </w:tcBorders>
            <w:vAlign w:val="center"/>
            <w:hideMark/>
          </w:tcPr>
          <w:p w14:paraId="1B0457ED"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342</w:t>
            </w:r>
          </w:p>
        </w:tc>
        <w:tc>
          <w:tcPr>
            <w:tcW w:w="844" w:type="dxa"/>
            <w:tcBorders>
              <w:top w:val="single" w:sz="4" w:space="0" w:color="auto"/>
              <w:left w:val="single" w:sz="4" w:space="0" w:color="auto"/>
              <w:bottom w:val="single" w:sz="4" w:space="0" w:color="auto"/>
              <w:right w:val="single" w:sz="4" w:space="0" w:color="auto"/>
            </w:tcBorders>
            <w:vAlign w:val="center"/>
            <w:hideMark/>
          </w:tcPr>
          <w:p w14:paraId="10ADED67"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687</w:t>
            </w:r>
          </w:p>
        </w:tc>
        <w:tc>
          <w:tcPr>
            <w:tcW w:w="1154" w:type="dxa"/>
            <w:tcBorders>
              <w:top w:val="single" w:sz="4" w:space="0" w:color="auto"/>
              <w:left w:val="single" w:sz="4" w:space="0" w:color="auto"/>
              <w:bottom w:val="single" w:sz="4" w:space="0" w:color="auto"/>
              <w:right w:val="single" w:sz="4" w:space="0" w:color="auto"/>
            </w:tcBorders>
            <w:hideMark/>
          </w:tcPr>
          <w:p w14:paraId="7B7934C6"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713</w:t>
            </w:r>
          </w:p>
        </w:tc>
        <w:tc>
          <w:tcPr>
            <w:tcW w:w="1154" w:type="dxa"/>
            <w:tcBorders>
              <w:top w:val="single" w:sz="4" w:space="0" w:color="auto"/>
              <w:left w:val="single" w:sz="4" w:space="0" w:color="auto"/>
              <w:bottom w:val="single" w:sz="4" w:space="0" w:color="auto"/>
              <w:right w:val="single" w:sz="4" w:space="0" w:color="auto"/>
            </w:tcBorders>
            <w:vAlign w:val="center"/>
            <w:hideMark/>
          </w:tcPr>
          <w:p w14:paraId="73EA7E25"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-1114</w:t>
            </w:r>
          </w:p>
        </w:tc>
      </w:tr>
    </w:tbl>
    <w:p w14:paraId="56C66BC1" w14:textId="77777777" w:rsidR="00164518" w:rsidRDefault="00164518" w:rsidP="00D63F59">
      <w:pPr>
        <w:pStyle w:val="a3"/>
        <w:spacing w:before="0" w:beforeAutospacing="0" w:after="0" w:afterAutospacing="0"/>
        <w:ind w:firstLine="709"/>
        <w:jc w:val="both"/>
      </w:pPr>
    </w:p>
    <w:p w14:paraId="7D7F3BA7" w14:textId="252CCC19" w:rsidR="00CD6CFA" w:rsidRDefault="00CD6CFA" w:rsidP="00D63F59">
      <w:pPr>
        <w:pStyle w:val="a3"/>
        <w:spacing w:before="0" w:beforeAutospacing="0" w:after="0" w:afterAutospacing="0"/>
        <w:ind w:firstLine="709"/>
        <w:jc w:val="both"/>
      </w:pPr>
      <w:r>
        <w:t xml:space="preserve">За период 2017-2022 гг. в регионах Беларуси под влиянием пандемии коронавируса наблюдалось сокращение численности и трудовых иммигрантов. Так, если в 2017 г. в Брестской области численность трудовых иммигрантов составила 1005 чел., то в 2022 г. – 470 чел., т. е. уменьшилась на 53,2%. В Витебской области численность трудовых иммигрантов уменьшилась с 2017 г. по 2022 г. на 16,6% с 568 чел. до 474 чел.; в Гомельской – на 55,2% с </w:t>
      </w:r>
      <w:r>
        <w:rPr>
          <w:rFonts w:eastAsiaTheme="minorHAnsi"/>
          <w:lang w:eastAsia="en-US"/>
        </w:rPr>
        <w:t>1384</w:t>
      </w:r>
      <w:r>
        <w:t xml:space="preserve"> чел. до 620 чел.; в Минске – на 30,1% с </w:t>
      </w:r>
      <w:r>
        <w:rPr>
          <w:rFonts w:eastAsiaTheme="minorHAnsi"/>
          <w:lang w:eastAsia="en-US"/>
        </w:rPr>
        <w:t>8308</w:t>
      </w:r>
      <w:r>
        <w:t xml:space="preserve"> чел. до 5806 чел..; в Могилевской области  – на 1,5% с 396 чел. до 390 чел., Минской области - на 15,8% с 1984 чел. до 1671 чел., Гродненской области – на 25,4% с 2199 чел. до 1640 чел. </w:t>
      </w:r>
      <w:r w:rsidR="00D22EA0">
        <w:t>Табл. 2.</w:t>
      </w:r>
    </w:p>
    <w:p w14:paraId="3286CA82" w14:textId="77777777" w:rsidR="00164518" w:rsidRDefault="00164518" w:rsidP="00D63F59">
      <w:pPr>
        <w:pStyle w:val="a3"/>
        <w:spacing w:before="0" w:beforeAutospacing="0" w:after="0" w:afterAutospacing="0"/>
        <w:ind w:firstLine="709"/>
        <w:jc w:val="both"/>
        <w:rPr>
          <w:i/>
          <w:sz w:val="20"/>
          <w:szCs w:val="20"/>
        </w:rPr>
      </w:pPr>
    </w:p>
    <w:p w14:paraId="7813B0C5" w14:textId="7520F21F" w:rsidR="00164518" w:rsidRPr="00D63F59" w:rsidRDefault="00164518" w:rsidP="00D63F59">
      <w:pPr>
        <w:pStyle w:val="a3"/>
        <w:spacing w:before="0" w:beforeAutospacing="0" w:after="0" w:afterAutospacing="0"/>
        <w:ind w:firstLine="709"/>
        <w:jc w:val="both"/>
        <w:rPr>
          <w:iCs/>
        </w:rPr>
      </w:pPr>
      <w:r w:rsidRPr="00D63F59">
        <w:rPr>
          <w:iCs/>
        </w:rPr>
        <w:t xml:space="preserve">Таблица 2. </w:t>
      </w:r>
      <w:r w:rsidRPr="00CA1D19">
        <w:rPr>
          <w:b/>
          <w:iCs/>
        </w:rPr>
        <w:t xml:space="preserve">Динамика численности трудящихся-иммигрантов, въехавших в Беларусь на основе </w:t>
      </w:r>
      <w:r w:rsidRPr="00CA1D19">
        <w:rPr>
          <w:rFonts w:eastAsia="Arial"/>
          <w:b/>
          <w:iCs/>
        </w:rPr>
        <w:t>специальных разрешений на право занятия временной трудовой деятельностью</w:t>
      </w:r>
      <w:r w:rsidRPr="00CA1D19">
        <w:rPr>
          <w:b/>
          <w:iCs/>
        </w:rPr>
        <w:t>, в разрезе регионов, чел.</w:t>
      </w:r>
      <w:r w:rsidRPr="00D63F59">
        <w:rPr>
          <w:iCs/>
        </w:rPr>
        <w:t xml:space="preserve"> [сост. по 1-</w:t>
      </w:r>
      <w:r w:rsidR="00CA1D19">
        <w:rPr>
          <w:iCs/>
        </w:rPr>
        <w:t>6</w:t>
      </w:r>
      <w:r w:rsidRPr="00D63F59">
        <w:rPr>
          <w:iCs/>
        </w:rPr>
        <w:t>]</w:t>
      </w:r>
    </w:p>
    <w:p w14:paraId="267163B7" w14:textId="77777777" w:rsidR="00164518" w:rsidRDefault="00164518" w:rsidP="00D63F59">
      <w:pPr>
        <w:pStyle w:val="a3"/>
        <w:spacing w:before="0" w:beforeAutospacing="0" w:after="0" w:afterAutospacing="0"/>
        <w:ind w:firstLine="709"/>
        <w:jc w:val="both"/>
        <w:rPr>
          <w:b/>
          <w:sz w:val="20"/>
          <w:szCs w:val="20"/>
        </w:rPr>
      </w:pPr>
    </w:p>
    <w:tbl>
      <w:tblPr>
        <w:tblStyle w:val="a5"/>
        <w:tblW w:w="0" w:type="auto"/>
        <w:jc w:val="center"/>
        <w:tblLook w:val="04A0" w:firstRow="1" w:lastRow="0" w:firstColumn="1" w:lastColumn="0" w:noHBand="0" w:noVBand="1"/>
      </w:tblPr>
      <w:tblGrid>
        <w:gridCol w:w="1865"/>
        <w:gridCol w:w="834"/>
        <w:gridCol w:w="834"/>
        <w:gridCol w:w="834"/>
        <w:gridCol w:w="834"/>
        <w:gridCol w:w="834"/>
        <w:gridCol w:w="1154"/>
        <w:gridCol w:w="1154"/>
      </w:tblGrid>
      <w:tr w:rsidR="00164518" w14:paraId="28595C94" w14:textId="77777777" w:rsidTr="00164518">
        <w:trPr>
          <w:jc w:val="center"/>
        </w:trPr>
        <w:tc>
          <w:tcPr>
            <w:tcW w:w="1865" w:type="dxa"/>
            <w:tcBorders>
              <w:top w:val="single" w:sz="4" w:space="0" w:color="auto"/>
              <w:left w:val="single" w:sz="4" w:space="0" w:color="auto"/>
              <w:bottom w:val="single" w:sz="4" w:space="0" w:color="auto"/>
              <w:right w:val="single" w:sz="4" w:space="0" w:color="auto"/>
              <w:tl2br w:val="single" w:sz="4" w:space="0" w:color="auto"/>
            </w:tcBorders>
          </w:tcPr>
          <w:p w14:paraId="670B178E" w14:textId="77777777" w:rsidR="00164518" w:rsidRDefault="00164518" w:rsidP="00D63F59">
            <w:pPr>
              <w:pStyle w:val="a3"/>
              <w:spacing w:before="0" w:beforeAutospacing="0" w:after="0" w:afterAutospacing="0"/>
              <w:jc w:val="both"/>
              <w:rPr>
                <w:sz w:val="20"/>
                <w:szCs w:val="20"/>
              </w:rPr>
            </w:pPr>
          </w:p>
          <w:p w14:paraId="497AC35D" w14:textId="77777777" w:rsidR="00164518" w:rsidRDefault="00164518" w:rsidP="00D63F59">
            <w:pPr>
              <w:pStyle w:val="a3"/>
              <w:spacing w:before="0" w:beforeAutospacing="0" w:after="0" w:afterAutospacing="0"/>
              <w:jc w:val="both"/>
              <w:rPr>
                <w:sz w:val="20"/>
                <w:szCs w:val="20"/>
              </w:rPr>
            </w:pPr>
            <w:r>
              <w:rPr>
                <w:sz w:val="20"/>
                <w:szCs w:val="20"/>
              </w:rPr>
              <w:t xml:space="preserve">Регион  </w:t>
            </w:r>
            <w:r>
              <w:rPr>
                <w:sz w:val="20"/>
                <w:szCs w:val="20"/>
                <w:lang w:val="en-US"/>
              </w:rPr>
              <w:t xml:space="preserve">    </w:t>
            </w:r>
            <w:r>
              <w:rPr>
                <w:sz w:val="20"/>
                <w:szCs w:val="20"/>
              </w:rPr>
              <w:t>Год</w:t>
            </w:r>
          </w:p>
        </w:tc>
        <w:tc>
          <w:tcPr>
            <w:tcW w:w="834" w:type="dxa"/>
            <w:tcBorders>
              <w:top w:val="single" w:sz="4" w:space="0" w:color="auto"/>
              <w:left w:val="single" w:sz="4" w:space="0" w:color="auto"/>
              <w:bottom w:val="single" w:sz="4" w:space="0" w:color="auto"/>
              <w:right w:val="single" w:sz="4" w:space="0" w:color="auto"/>
            </w:tcBorders>
            <w:vAlign w:val="center"/>
            <w:hideMark/>
          </w:tcPr>
          <w:p w14:paraId="05A59803" w14:textId="77777777" w:rsidR="00164518" w:rsidRDefault="00164518" w:rsidP="00D63F59">
            <w:pPr>
              <w:pStyle w:val="a3"/>
              <w:spacing w:before="0" w:beforeAutospacing="0" w:after="0" w:afterAutospacing="0"/>
              <w:jc w:val="both"/>
              <w:rPr>
                <w:sz w:val="20"/>
                <w:szCs w:val="20"/>
              </w:rPr>
            </w:pPr>
            <w:r>
              <w:rPr>
                <w:sz w:val="20"/>
                <w:szCs w:val="20"/>
              </w:rPr>
              <w:t>2017</w:t>
            </w:r>
          </w:p>
        </w:tc>
        <w:tc>
          <w:tcPr>
            <w:tcW w:w="834" w:type="dxa"/>
            <w:tcBorders>
              <w:top w:val="single" w:sz="4" w:space="0" w:color="auto"/>
              <w:left w:val="single" w:sz="4" w:space="0" w:color="auto"/>
              <w:bottom w:val="single" w:sz="4" w:space="0" w:color="auto"/>
              <w:right w:val="single" w:sz="4" w:space="0" w:color="auto"/>
            </w:tcBorders>
            <w:vAlign w:val="center"/>
            <w:hideMark/>
          </w:tcPr>
          <w:p w14:paraId="3CC55AAB" w14:textId="77777777" w:rsidR="00164518" w:rsidRDefault="00164518" w:rsidP="00D63F59">
            <w:pPr>
              <w:pStyle w:val="a3"/>
              <w:spacing w:before="0" w:beforeAutospacing="0" w:after="0" w:afterAutospacing="0"/>
              <w:jc w:val="both"/>
              <w:rPr>
                <w:sz w:val="20"/>
                <w:szCs w:val="20"/>
              </w:rPr>
            </w:pPr>
            <w:r>
              <w:rPr>
                <w:sz w:val="20"/>
                <w:szCs w:val="20"/>
              </w:rPr>
              <w:t>2018</w:t>
            </w:r>
          </w:p>
        </w:tc>
        <w:tc>
          <w:tcPr>
            <w:tcW w:w="834" w:type="dxa"/>
            <w:tcBorders>
              <w:top w:val="single" w:sz="4" w:space="0" w:color="auto"/>
              <w:left w:val="single" w:sz="4" w:space="0" w:color="auto"/>
              <w:bottom w:val="single" w:sz="4" w:space="0" w:color="auto"/>
              <w:right w:val="single" w:sz="4" w:space="0" w:color="auto"/>
            </w:tcBorders>
            <w:vAlign w:val="center"/>
            <w:hideMark/>
          </w:tcPr>
          <w:p w14:paraId="7A343912" w14:textId="77777777" w:rsidR="00164518" w:rsidRDefault="00164518" w:rsidP="00D63F59">
            <w:pPr>
              <w:pStyle w:val="a3"/>
              <w:spacing w:before="0" w:beforeAutospacing="0" w:after="0" w:afterAutospacing="0"/>
              <w:jc w:val="both"/>
              <w:rPr>
                <w:sz w:val="20"/>
                <w:szCs w:val="20"/>
              </w:rPr>
            </w:pPr>
            <w:r>
              <w:rPr>
                <w:sz w:val="20"/>
                <w:szCs w:val="20"/>
              </w:rPr>
              <w:t>2019</w:t>
            </w:r>
          </w:p>
        </w:tc>
        <w:tc>
          <w:tcPr>
            <w:tcW w:w="834" w:type="dxa"/>
            <w:tcBorders>
              <w:top w:val="single" w:sz="4" w:space="0" w:color="auto"/>
              <w:left w:val="single" w:sz="4" w:space="0" w:color="auto"/>
              <w:bottom w:val="single" w:sz="4" w:space="0" w:color="auto"/>
              <w:right w:val="single" w:sz="4" w:space="0" w:color="auto"/>
            </w:tcBorders>
            <w:vAlign w:val="center"/>
            <w:hideMark/>
          </w:tcPr>
          <w:p w14:paraId="407E5768" w14:textId="77777777" w:rsidR="00164518" w:rsidRDefault="00164518" w:rsidP="00D63F59">
            <w:pPr>
              <w:pStyle w:val="a3"/>
              <w:spacing w:before="0" w:beforeAutospacing="0" w:after="0" w:afterAutospacing="0"/>
              <w:jc w:val="both"/>
              <w:rPr>
                <w:sz w:val="20"/>
                <w:szCs w:val="20"/>
              </w:rPr>
            </w:pPr>
            <w:r>
              <w:rPr>
                <w:sz w:val="20"/>
                <w:szCs w:val="20"/>
              </w:rPr>
              <w:t>2020</w:t>
            </w:r>
          </w:p>
        </w:tc>
        <w:tc>
          <w:tcPr>
            <w:tcW w:w="834" w:type="dxa"/>
            <w:tcBorders>
              <w:top w:val="single" w:sz="4" w:space="0" w:color="auto"/>
              <w:left w:val="single" w:sz="4" w:space="0" w:color="auto"/>
              <w:bottom w:val="single" w:sz="4" w:space="0" w:color="auto"/>
              <w:right w:val="single" w:sz="4" w:space="0" w:color="auto"/>
            </w:tcBorders>
            <w:vAlign w:val="center"/>
            <w:hideMark/>
          </w:tcPr>
          <w:p w14:paraId="49EC11F7" w14:textId="77777777" w:rsidR="00164518" w:rsidRDefault="00164518" w:rsidP="00D63F59">
            <w:pPr>
              <w:pStyle w:val="a3"/>
              <w:spacing w:before="0" w:beforeAutospacing="0" w:after="0" w:afterAutospacing="0"/>
              <w:jc w:val="both"/>
              <w:rPr>
                <w:sz w:val="20"/>
                <w:szCs w:val="20"/>
              </w:rPr>
            </w:pPr>
            <w:r>
              <w:rPr>
                <w:sz w:val="20"/>
                <w:szCs w:val="20"/>
              </w:rPr>
              <w:t>2021</w:t>
            </w:r>
          </w:p>
        </w:tc>
        <w:tc>
          <w:tcPr>
            <w:tcW w:w="1154" w:type="dxa"/>
            <w:tcBorders>
              <w:top w:val="single" w:sz="4" w:space="0" w:color="auto"/>
              <w:left w:val="single" w:sz="4" w:space="0" w:color="auto"/>
              <w:bottom w:val="single" w:sz="4" w:space="0" w:color="auto"/>
              <w:right w:val="single" w:sz="4" w:space="0" w:color="auto"/>
            </w:tcBorders>
            <w:vAlign w:val="center"/>
            <w:hideMark/>
          </w:tcPr>
          <w:p w14:paraId="0079FAC4" w14:textId="77777777" w:rsidR="00164518" w:rsidRDefault="00164518" w:rsidP="00D63F59">
            <w:pPr>
              <w:pStyle w:val="a3"/>
              <w:spacing w:before="0" w:beforeAutospacing="0" w:after="0" w:afterAutospacing="0"/>
              <w:jc w:val="center"/>
              <w:rPr>
                <w:sz w:val="20"/>
                <w:szCs w:val="20"/>
              </w:rPr>
            </w:pPr>
            <w:r>
              <w:rPr>
                <w:sz w:val="20"/>
                <w:szCs w:val="20"/>
              </w:rPr>
              <w:t>2022</w:t>
            </w:r>
          </w:p>
        </w:tc>
        <w:tc>
          <w:tcPr>
            <w:tcW w:w="1154" w:type="dxa"/>
            <w:tcBorders>
              <w:top w:val="single" w:sz="4" w:space="0" w:color="auto"/>
              <w:left w:val="single" w:sz="4" w:space="0" w:color="auto"/>
              <w:bottom w:val="single" w:sz="4" w:space="0" w:color="auto"/>
              <w:right w:val="single" w:sz="4" w:space="0" w:color="auto"/>
            </w:tcBorders>
            <w:vAlign w:val="center"/>
            <w:hideMark/>
          </w:tcPr>
          <w:p w14:paraId="6295CFFF" w14:textId="77777777" w:rsidR="00164518" w:rsidRDefault="00164518" w:rsidP="00D63F59">
            <w:pPr>
              <w:pStyle w:val="a3"/>
              <w:spacing w:before="0" w:beforeAutospacing="0" w:after="0" w:afterAutospacing="0"/>
              <w:jc w:val="both"/>
              <w:rPr>
                <w:sz w:val="20"/>
                <w:szCs w:val="20"/>
              </w:rPr>
            </w:pPr>
            <w:r>
              <w:rPr>
                <w:sz w:val="20"/>
                <w:szCs w:val="20"/>
              </w:rPr>
              <w:t>Изменение  за 2017-2022 гг.</w:t>
            </w:r>
          </w:p>
        </w:tc>
      </w:tr>
      <w:tr w:rsidR="00164518" w14:paraId="104978F3" w14:textId="77777777" w:rsidTr="00164518">
        <w:trPr>
          <w:jc w:val="center"/>
        </w:trPr>
        <w:tc>
          <w:tcPr>
            <w:tcW w:w="1865" w:type="dxa"/>
            <w:tcBorders>
              <w:top w:val="single" w:sz="4" w:space="0" w:color="auto"/>
              <w:left w:val="single" w:sz="4" w:space="0" w:color="auto"/>
              <w:bottom w:val="single" w:sz="4" w:space="0" w:color="auto"/>
              <w:right w:val="single" w:sz="4" w:space="0" w:color="auto"/>
            </w:tcBorders>
            <w:vAlign w:val="center"/>
            <w:hideMark/>
          </w:tcPr>
          <w:p w14:paraId="07417123" w14:textId="77777777" w:rsidR="00164518" w:rsidRDefault="00164518" w:rsidP="00D63F59">
            <w:pPr>
              <w:pStyle w:val="a3"/>
              <w:spacing w:before="0" w:beforeAutospacing="0" w:after="0" w:afterAutospacing="0"/>
              <w:jc w:val="both"/>
              <w:rPr>
                <w:sz w:val="20"/>
                <w:szCs w:val="20"/>
              </w:rPr>
            </w:pPr>
            <w:r>
              <w:rPr>
                <w:sz w:val="20"/>
                <w:szCs w:val="20"/>
              </w:rPr>
              <w:t>Брестская обл.</w:t>
            </w:r>
          </w:p>
        </w:tc>
        <w:tc>
          <w:tcPr>
            <w:tcW w:w="834" w:type="dxa"/>
            <w:tcBorders>
              <w:top w:val="single" w:sz="4" w:space="0" w:color="auto"/>
              <w:left w:val="single" w:sz="4" w:space="0" w:color="auto"/>
              <w:bottom w:val="single" w:sz="4" w:space="0" w:color="auto"/>
              <w:right w:val="single" w:sz="4" w:space="0" w:color="auto"/>
            </w:tcBorders>
            <w:vAlign w:val="center"/>
            <w:hideMark/>
          </w:tcPr>
          <w:p w14:paraId="749DF73F"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1 005</w:t>
            </w:r>
          </w:p>
        </w:tc>
        <w:tc>
          <w:tcPr>
            <w:tcW w:w="834" w:type="dxa"/>
            <w:tcBorders>
              <w:top w:val="single" w:sz="4" w:space="0" w:color="auto"/>
              <w:left w:val="single" w:sz="4" w:space="0" w:color="auto"/>
              <w:bottom w:val="single" w:sz="4" w:space="0" w:color="auto"/>
              <w:right w:val="single" w:sz="4" w:space="0" w:color="auto"/>
            </w:tcBorders>
            <w:vAlign w:val="center"/>
            <w:hideMark/>
          </w:tcPr>
          <w:p w14:paraId="6B231A2E"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918</w:t>
            </w:r>
          </w:p>
        </w:tc>
        <w:tc>
          <w:tcPr>
            <w:tcW w:w="834" w:type="dxa"/>
            <w:tcBorders>
              <w:top w:val="single" w:sz="4" w:space="0" w:color="auto"/>
              <w:left w:val="single" w:sz="4" w:space="0" w:color="auto"/>
              <w:bottom w:val="single" w:sz="4" w:space="0" w:color="auto"/>
              <w:right w:val="single" w:sz="4" w:space="0" w:color="auto"/>
            </w:tcBorders>
            <w:vAlign w:val="center"/>
            <w:hideMark/>
          </w:tcPr>
          <w:p w14:paraId="3CB03EF0"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940</w:t>
            </w:r>
          </w:p>
        </w:tc>
        <w:tc>
          <w:tcPr>
            <w:tcW w:w="834" w:type="dxa"/>
            <w:tcBorders>
              <w:top w:val="single" w:sz="4" w:space="0" w:color="auto"/>
              <w:left w:val="single" w:sz="4" w:space="0" w:color="auto"/>
              <w:bottom w:val="single" w:sz="4" w:space="0" w:color="auto"/>
              <w:right w:val="single" w:sz="4" w:space="0" w:color="auto"/>
            </w:tcBorders>
            <w:vAlign w:val="center"/>
            <w:hideMark/>
          </w:tcPr>
          <w:p w14:paraId="506B4A23"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542</w:t>
            </w:r>
          </w:p>
        </w:tc>
        <w:tc>
          <w:tcPr>
            <w:tcW w:w="834" w:type="dxa"/>
            <w:tcBorders>
              <w:top w:val="single" w:sz="4" w:space="0" w:color="auto"/>
              <w:left w:val="single" w:sz="4" w:space="0" w:color="auto"/>
              <w:bottom w:val="single" w:sz="4" w:space="0" w:color="auto"/>
              <w:right w:val="single" w:sz="4" w:space="0" w:color="auto"/>
            </w:tcBorders>
            <w:vAlign w:val="center"/>
            <w:hideMark/>
          </w:tcPr>
          <w:p w14:paraId="3F080F76"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478</w:t>
            </w:r>
          </w:p>
        </w:tc>
        <w:tc>
          <w:tcPr>
            <w:tcW w:w="1154" w:type="dxa"/>
            <w:tcBorders>
              <w:top w:val="single" w:sz="4" w:space="0" w:color="auto"/>
              <w:left w:val="single" w:sz="4" w:space="0" w:color="auto"/>
              <w:bottom w:val="single" w:sz="4" w:space="0" w:color="auto"/>
              <w:right w:val="single" w:sz="4" w:space="0" w:color="auto"/>
            </w:tcBorders>
            <w:hideMark/>
          </w:tcPr>
          <w:p w14:paraId="3345E72D"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470</w:t>
            </w:r>
          </w:p>
        </w:tc>
        <w:tc>
          <w:tcPr>
            <w:tcW w:w="1154" w:type="dxa"/>
            <w:tcBorders>
              <w:top w:val="single" w:sz="4" w:space="0" w:color="auto"/>
              <w:left w:val="single" w:sz="4" w:space="0" w:color="auto"/>
              <w:bottom w:val="single" w:sz="4" w:space="0" w:color="auto"/>
              <w:right w:val="single" w:sz="4" w:space="0" w:color="auto"/>
            </w:tcBorders>
            <w:vAlign w:val="center"/>
            <w:hideMark/>
          </w:tcPr>
          <w:p w14:paraId="1BC283DD"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-535</w:t>
            </w:r>
          </w:p>
        </w:tc>
      </w:tr>
      <w:tr w:rsidR="00164518" w14:paraId="72548ABB" w14:textId="77777777" w:rsidTr="00164518">
        <w:trPr>
          <w:jc w:val="center"/>
        </w:trPr>
        <w:tc>
          <w:tcPr>
            <w:tcW w:w="1865" w:type="dxa"/>
            <w:tcBorders>
              <w:top w:val="single" w:sz="4" w:space="0" w:color="auto"/>
              <w:left w:val="single" w:sz="4" w:space="0" w:color="auto"/>
              <w:bottom w:val="single" w:sz="4" w:space="0" w:color="auto"/>
              <w:right w:val="single" w:sz="4" w:space="0" w:color="auto"/>
            </w:tcBorders>
            <w:vAlign w:val="center"/>
            <w:hideMark/>
          </w:tcPr>
          <w:p w14:paraId="6DB1B693" w14:textId="77777777" w:rsidR="00164518" w:rsidRDefault="00164518" w:rsidP="00D63F59">
            <w:pPr>
              <w:pStyle w:val="a3"/>
              <w:spacing w:before="0" w:beforeAutospacing="0" w:after="0" w:afterAutospacing="0"/>
              <w:jc w:val="both"/>
              <w:rPr>
                <w:sz w:val="20"/>
                <w:szCs w:val="20"/>
              </w:rPr>
            </w:pPr>
            <w:r>
              <w:rPr>
                <w:sz w:val="20"/>
                <w:szCs w:val="20"/>
              </w:rPr>
              <w:t>Витебская обл.</w:t>
            </w:r>
          </w:p>
        </w:tc>
        <w:tc>
          <w:tcPr>
            <w:tcW w:w="834" w:type="dxa"/>
            <w:tcBorders>
              <w:top w:val="single" w:sz="4" w:space="0" w:color="auto"/>
              <w:left w:val="single" w:sz="4" w:space="0" w:color="auto"/>
              <w:bottom w:val="single" w:sz="4" w:space="0" w:color="auto"/>
              <w:right w:val="single" w:sz="4" w:space="0" w:color="auto"/>
            </w:tcBorders>
            <w:vAlign w:val="center"/>
            <w:hideMark/>
          </w:tcPr>
          <w:p w14:paraId="55B61D5D"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568</w:t>
            </w:r>
          </w:p>
        </w:tc>
        <w:tc>
          <w:tcPr>
            <w:tcW w:w="834" w:type="dxa"/>
            <w:tcBorders>
              <w:top w:val="single" w:sz="4" w:space="0" w:color="auto"/>
              <w:left w:val="single" w:sz="4" w:space="0" w:color="auto"/>
              <w:bottom w:val="single" w:sz="4" w:space="0" w:color="auto"/>
              <w:right w:val="single" w:sz="4" w:space="0" w:color="auto"/>
            </w:tcBorders>
            <w:vAlign w:val="center"/>
            <w:hideMark/>
          </w:tcPr>
          <w:p w14:paraId="46914B48"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530</w:t>
            </w:r>
          </w:p>
        </w:tc>
        <w:tc>
          <w:tcPr>
            <w:tcW w:w="834" w:type="dxa"/>
            <w:tcBorders>
              <w:top w:val="single" w:sz="4" w:space="0" w:color="auto"/>
              <w:left w:val="single" w:sz="4" w:space="0" w:color="auto"/>
              <w:bottom w:val="single" w:sz="4" w:space="0" w:color="auto"/>
              <w:right w:val="single" w:sz="4" w:space="0" w:color="auto"/>
            </w:tcBorders>
            <w:vAlign w:val="center"/>
            <w:hideMark/>
          </w:tcPr>
          <w:p w14:paraId="4F01E278"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541</w:t>
            </w:r>
          </w:p>
        </w:tc>
        <w:tc>
          <w:tcPr>
            <w:tcW w:w="834" w:type="dxa"/>
            <w:tcBorders>
              <w:top w:val="single" w:sz="4" w:space="0" w:color="auto"/>
              <w:left w:val="single" w:sz="4" w:space="0" w:color="auto"/>
              <w:bottom w:val="single" w:sz="4" w:space="0" w:color="auto"/>
              <w:right w:val="single" w:sz="4" w:space="0" w:color="auto"/>
            </w:tcBorders>
            <w:vAlign w:val="center"/>
            <w:hideMark/>
          </w:tcPr>
          <w:p w14:paraId="165A0337"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525</w:t>
            </w:r>
          </w:p>
        </w:tc>
        <w:tc>
          <w:tcPr>
            <w:tcW w:w="834" w:type="dxa"/>
            <w:tcBorders>
              <w:top w:val="single" w:sz="4" w:space="0" w:color="auto"/>
              <w:left w:val="single" w:sz="4" w:space="0" w:color="auto"/>
              <w:bottom w:val="single" w:sz="4" w:space="0" w:color="auto"/>
              <w:right w:val="single" w:sz="4" w:space="0" w:color="auto"/>
            </w:tcBorders>
            <w:vAlign w:val="center"/>
            <w:hideMark/>
          </w:tcPr>
          <w:p w14:paraId="163A24DB"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560</w:t>
            </w:r>
          </w:p>
        </w:tc>
        <w:tc>
          <w:tcPr>
            <w:tcW w:w="1154" w:type="dxa"/>
            <w:tcBorders>
              <w:top w:val="single" w:sz="4" w:space="0" w:color="auto"/>
              <w:left w:val="single" w:sz="4" w:space="0" w:color="auto"/>
              <w:bottom w:val="single" w:sz="4" w:space="0" w:color="auto"/>
              <w:right w:val="single" w:sz="4" w:space="0" w:color="auto"/>
            </w:tcBorders>
            <w:hideMark/>
          </w:tcPr>
          <w:p w14:paraId="4FA4B129"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474</w:t>
            </w:r>
          </w:p>
        </w:tc>
        <w:tc>
          <w:tcPr>
            <w:tcW w:w="1154" w:type="dxa"/>
            <w:tcBorders>
              <w:top w:val="single" w:sz="4" w:space="0" w:color="auto"/>
              <w:left w:val="single" w:sz="4" w:space="0" w:color="auto"/>
              <w:bottom w:val="single" w:sz="4" w:space="0" w:color="auto"/>
              <w:right w:val="single" w:sz="4" w:space="0" w:color="auto"/>
            </w:tcBorders>
            <w:vAlign w:val="center"/>
            <w:hideMark/>
          </w:tcPr>
          <w:p w14:paraId="7C2D564C"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-94</w:t>
            </w:r>
          </w:p>
        </w:tc>
      </w:tr>
      <w:tr w:rsidR="00164518" w14:paraId="206F6789" w14:textId="77777777" w:rsidTr="00164518">
        <w:trPr>
          <w:trHeight w:val="366"/>
          <w:jc w:val="center"/>
        </w:trPr>
        <w:tc>
          <w:tcPr>
            <w:tcW w:w="1865" w:type="dxa"/>
            <w:tcBorders>
              <w:top w:val="single" w:sz="4" w:space="0" w:color="auto"/>
              <w:left w:val="single" w:sz="4" w:space="0" w:color="auto"/>
              <w:bottom w:val="single" w:sz="4" w:space="0" w:color="auto"/>
              <w:right w:val="single" w:sz="4" w:space="0" w:color="auto"/>
            </w:tcBorders>
            <w:vAlign w:val="center"/>
            <w:hideMark/>
          </w:tcPr>
          <w:p w14:paraId="305B2225" w14:textId="77777777" w:rsidR="00164518" w:rsidRDefault="00164518" w:rsidP="00D63F59">
            <w:pPr>
              <w:pStyle w:val="a3"/>
              <w:spacing w:before="0" w:beforeAutospacing="0" w:after="0" w:afterAutospacing="0"/>
              <w:jc w:val="both"/>
              <w:rPr>
                <w:sz w:val="20"/>
                <w:szCs w:val="20"/>
              </w:rPr>
            </w:pPr>
            <w:r>
              <w:rPr>
                <w:sz w:val="20"/>
                <w:szCs w:val="20"/>
              </w:rPr>
              <w:t>Гомельская обл.</w:t>
            </w:r>
          </w:p>
        </w:tc>
        <w:tc>
          <w:tcPr>
            <w:tcW w:w="834" w:type="dxa"/>
            <w:tcBorders>
              <w:top w:val="single" w:sz="4" w:space="0" w:color="auto"/>
              <w:left w:val="single" w:sz="4" w:space="0" w:color="auto"/>
              <w:bottom w:val="single" w:sz="4" w:space="0" w:color="auto"/>
              <w:right w:val="single" w:sz="4" w:space="0" w:color="auto"/>
            </w:tcBorders>
            <w:vAlign w:val="center"/>
            <w:hideMark/>
          </w:tcPr>
          <w:p w14:paraId="3339A2CF"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1 384</w:t>
            </w:r>
          </w:p>
        </w:tc>
        <w:tc>
          <w:tcPr>
            <w:tcW w:w="834" w:type="dxa"/>
            <w:tcBorders>
              <w:top w:val="single" w:sz="4" w:space="0" w:color="auto"/>
              <w:left w:val="single" w:sz="4" w:space="0" w:color="auto"/>
              <w:bottom w:val="single" w:sz="4" w:space="0" w:color="auto"/>
              <w:right w:val="single" w:sz="4" w:space="0" w:color="auto"/>
            </w:tcBorders>
            <w:vAlign w:val="center"/>
            <w:hideMark/>
          </w:tcPr>
          <w:p w14:paraId="4527AFF9"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759</w:t>
            </w:r>
          </w:p>
        </w:tc>
        <w:tc>
          <w:tcPr>
            <w:tcW w:w="834" w:type="dxa"/>
            <w:tcBorders>
              <w:top w:val="single" w:sz="4" w:space="0" w:color="auto"/>
              <w:left w:val="single" w:sz="4" w:space="0" w:color="auto"/>
              <w:bottom w:val="single" w:sz="4" w:space="0" w:color="auto"/>
              <w:right w:val="single" w:sz="4" w:space="0" w:color="auto"/>
            </w:tcBorders>
            <w:vAlign w:val="center"/>
            <w:hideMark/>
          </w:tcPr>
          <w:p w14:paraId="1E96B5F5"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738</w:t>
            </w:r>
          </w:p>
        </w:tc>
        <w:tc>
          <w:tcPr>
            <w:tcW w:w="834" w:type="dxa"/>
            <w:tcBorders>
              <w:top w:val="single" w:sz="4" w:space="0" w:color="auto"/>
              <w:left w:val="single" w:sz="4" w:space="0" w:color="auto"/>
              <w:bottom w:val="single" w:sz="4" w:space="0" w:color="auto"/>
              <w:right w:val="single" w:sz="4" w:space="0" w:color="auto"/>
            </w:tcBorders>
            <w:vAlign w:val="center"/>
            <w:hideMark/>
          </w:tcPr>
          <w:p w14:paraId="16CF2AF5"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689</w:t>
            </w:r>
          </w:p>
        </w:tc>
        <w:tc>
          <w:tcPr>
            <w:tcW w:w="834" w:type="dxa"/>
            <w:tcBorders>
              <w:top w:val="single" w:sz="4" w:space="0" w:color="auto"/>
              <w:left w:val="single" w:sz="4" w:space="0" w:color="auto"/>
              <w:bottom w:val="single" w:sz="4" w:space="0" w:color="auto"/>
              <w:right w:val="single" w:sz="4" w:space="0" w:color="auto"/>
            </w:tcBorders>
            <w:vAlign w:val="center"/>
            <w:hideMark/>
          </w:tcPr>
          <w:p w14:paraId="24AFC043"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565</w:t>
            </w:r>
          </w:p>
        </w:tc>
        <w:tc>
          <w:tcPr>
            <w:tcW w:w="1154" w:type="dxa"/>
            <w:tcBorders>
              <w:top w:val="single" w:sz="4" w:space="0" w:color="auto"/>
              <w:left w:val="single" w:sz="4" w:space="0" w:color="auto"/>
              <w:bottom w:val="single" w:sz="4" w:space="0" w:color="auto"/>
              <w:right w:val="single" w:sz="4" w:space="0" w:color="auto"/>
            </w:tcBorders>
            <w:hideMark/>
          </w:tcPr>
          <w:p w14:paraId="056F9A38"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620</w:t>
            </w:r>
          </w:p>
        </w:tc>
        <w:tc>
          <w:tcPr>
            <w:tcW w:w="1154" w:type="dxa"/>
            <w:tcBorders>
              <w:top w:val="single" w:sz="4" w:space="0" w:color="auto"/>
              <w:left w:val="single" w:sz="4" w:space="0" w:color="auto"/>
              <w:bottom w:val="single" w:sz="4" w:space="0" w:color="auto"/>
              <w:right w:val="single" w:sz="4" w:space="0" w:color="auto"/>
            </w:tcBorders>
            <w:vAlign w:val="center"/>
            <w:hideMark/>
          </w:tcPr>
          <w:p w14:paraId="257BFB96"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-764</w:t>
            </w:r>
          </w:p>
        </w:tc>
      </w:tr>
      <w:tr w:rsidR="00164518" w14:paraId="1997BC3E" w14:textId="77777777" w:rsidTr="00164518">
        <w:trPr>
          <w:jc w:val="center"/>
        </w:trPr>
        <w:tc>
          <w:tcPr>
            <w:tcW w:w="1865" w:type="dxa"/>
            <w:tcBorders>
              <w:top w:val="single" w:sz="4" w:space="0" w:color="auto"/>
              <w:left w:val="single" w:sz="4" w:space="0" w:color="auto"/>
              <w:bottom w:val="single" w:sz="4" w:space="0" w:color="auto"/>
              <w:right w:val="single" w:sz="4" w:space="0" w:color="auto"/>
            </w:tcBorders>
            <w:vAlign w:val="center"/>
            <w:hideMark/>
          </w:tcPr>
          <w:p w14:paraId="6CE3B587" w14:textId="77777777" w:rsidR="00164518" w:rsidRDefault="00164518" w:rsidP="00D63F59">
            <w:pPr>
              <w:pStyle w:val="a3"/>
              <w:spacing w:before="0" w:beforeAutospacing="0" w:after="0" w:afterAutospacing="0"/>
              <w:jc w:val="both"/>
              <w:rPr>
                <w:sz w:val="20"/>
                <w:szCs w:val="20"/>
              </w:rPr>
            </w:pPr>
            <w:r>
              <w:rPr>
                <w:sz w:val="20"/>
                <w:szCs w:val="20"/>
              </w:rPr>
              <w:t>Гродненская обл.</w:t>
            </w:r>
          </w:p>
        </w:tc>
        <w:tc>
          <w:tcPr>
            <w:tcW w:w="834" w:type="dxa"/>
            <w:tcBorders>
              <w:top w:val="single" w:sz="4" w:space="0" w:color="auto"/>
              <w:left w:val="single" w:sz="4" w:space="0" w:color="auto"/>
              <w:bottom w:val="single" w:sz="4" w:space="0" w:color="auto"/>
              <w:right w:val="single" w:sz="4" w:space="0" w:color="auto"/>
            </w:tcBorders>
            <w:vAlign w:val="center"/>
            <w:hideMark/>
          </w:tcPr>
          <w:p w14:paraId="76B7F62C"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2 199</w:t>
            </w:r>
          </w:p>
        </w:tc>
        <w:tc>
          <w:tcPr>
            <w:tcW w:w="834" w:type="dxa"/>
            <w:tcBorders>
              <w:top w:val="single" w:sz="4" w:space="0" w:color="auto"/>
              <w:left w:val="single" w:sz="4" w:space="0" w:color="auto"/>
              <w:bottom w:val="single" w:sz="4" w:space="0" w:color="auto"/>
              <w:right w:val="single" w:sz="4" w:space="0" w:color="auto"/>
            </w:tcBorders>
            <w:vAlign w:val="center"/>
            <w:hideMark/>
          </w:tcPr>
          <w:p w14:paraId="0A6BF930"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3 289</w:t>
            </w:r>
          </w:p>
        </w:tc>
        <w:tc>
          <w:tcPr>
            <w:tcW w:w="834" w:type="dxa"/>
            <w:tcBorders>
              <w:top w:val="single" w:sz="4" w:space="0" w:color="auto"/>
              <w:left w:val="single" w:sz="4" w:space="0" w:color="auto"/>
              <w:bottom w:val="single" w:sz="4" w:space="0" w:color="auto"/>
              <w:right w:val="single" w:sz="4" w:space="0" w:color="auto"/>
            </w:tcBorders>
            <w:vAlign w:val="center"/>
            <w:hideMark/>
          </w:tcPr>
          <w:p w14:paraId="6B435C02"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4 834</w:t>
            </w:r>
          </w:p>
        </w:tc>
        <w:tc>
          <w:tcPr>
            <w:tcW w:w="834" w:type="dxa"/>
            <w:tcBorders>
              <w:top w:val="single" w:sz="4" w:space="0" w:color="auto"/>
              <w:left w:val="single" w:sz="4" w:space="0" w:color="auto"/>
              <w:bottom w:val="single" w:sz="4" w:space="0" w:color="auto"/>
              <w:right w:val="single" w:sz="4" w:space="0" w:color="auto"/>
            </w:tcBorders>
            <w:vAlign w:val="center"/>
            <w:hideMark/>
          </w:tcPr>
          <w:p w14:paraId="122DB410"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3 461</w:t>
            </w:r>
          </w:p>
        </w:tc>
        <w:tc>
          <w:tcPr>
            <w:tcW w:w="834" w:type="dxa"/>
            <w:tcBorders>
              <w:top w:val="single" w:sz="4" w:space="0" w:color="auto"/>
              <w:left w:val="single" w:sz="4" w:space="0" w:color="auto"/>
              <w:bottom w:val="single" w:sz="4" w:space="0" w:color="auto"/>
              <w:right w:val="single" w:sz="4" w:space="0" w:color="auto"/>
            </w:tcBorders>
            <w:vAlign w:val="center"/>
            <w:hideMark/>
          </w:tcPr>
          <w:p w14:paraId="7E617CAF"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2 627</w:t>
            </w:r>
          </w:p>
        </w:tc>
        <w:tc>
          <w:tcPr>
            <w:tcW w:w="1154" w:type="dxa"/>
            <w:tcBorders>
              <w:top w:val="single" w:sz="4" w:space="0" w:color="auto"/>
              <w:left w:val="single" w:sz="4" w:space="0" w:color="auto"/>
              <w:bottom w:val="single" w:sz="4" w:space="0" w:color="auto"/>
              <w:right w:val="single" w:sz="4" w:space="0" w:color="auto"/>
            </w:tcBorders>
            <w:hideMark/>
          </w:tcPr>
          <w:p w14:paraId="7CF95296"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1640</w:t>
            </w:r>
          </w:p>
        </w:tc>
        <w:tc>
          <w:tcPr>
            <w:tcW w:w="1154" w:type="dxa"/>
            <w:tcBorders>
              <w:top w:val="single" w:sz="4" w:space="0" w:color="auto"/>
              <w:left w:val="single" w:sz="4" w:space="0" w:color="auto"/>
              <w:bottom w:val="single" w:sz="4" w:space="0" w:color="auto"/>
              <w:right w:val="single" w:sz="4" w:space="0" w:color="auto"/>
            </w:tcBorders>
            <w:vAlign w:val="center"/>
            <w:hideMark/>
          </w:tcPr>
          <w:p w14:paraId="03E23F01"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-559</w:t>
            </w:r>
          </w:p>
        </w:tc>
      </w:tr>
      <w:tr w:rsidR="00164518" w14:paraId="794AA517" w14:textId="77777777" w:rsidTr="00164518">
        <w:trPr>
          <w:jc w:val="center"/>
        </w:trPr>
        <w:tc>
          <w:tcPr>
            <w:tcW w:w="1865" w:type="dxa"/>
            <w:tcBorders>
              <w:top w:val="single" w:sz="4" w:space="0" w:color="auto"/>
              <w:left w:val="single" w:sz="4" w:space="0" w:color="auto"/>
              <w:bottom w:val="single" w:sz="4" w:space="0" w:color="auto"/>
              <w:right w:val="single" w:sz="4" w:space="0" w:color="auto"/>
            </w:tcBorders>
            <w:vAlign w:val="center"/>
            <w:hideMark/>
          </w:tcPr>
          <w:p w14:paraId="6D1D56CF" w14:textId="77777777" w:rsidR="00164518" w:rsidRDefault="00164518" w:rsidP="00D63F59">
            <w:pPr>
              <w:pStyle w:val="a3"/>
              <w:spacing w:before="0" w:beforeAutospacing="0" w:after="0" w:afterAutospacing="0"/>
              <w:jc w:val="both"/>
              <w:rPr>
                <w:sz w:val="20"/>
                <w:szCs w:val="20"/>
              </w:rPr>
            </w:pPr>
            <w:r>
              <w:rPr>
                <w:sz w:val="20"/>
                <w:szCs w:val="20"/>
              </w:rPr>
              <w:t>г. Минск</w:t>
            </w:r>
          </w:p>
        </w:tc>
        <w:tc>
          <w:tcPr>
            <w:tcW w:w="834" w:type="dxa"/>
            <w:tcBorders>
              <w:top w:val="single" w:sz="4" w:space="0" w:color="auto"/>
              <w:left w:val="single" w:sz="4" w:space="0" w:color="auto"/>
              <w:bottom w:val="single" w:sz="4" w:space="0" w:color="auto"/>
              <w:right w:val="single" w:sz="4" w:space="0" w:color="auto"/>
            </w:tcBorders>
            <w:vAlign w:val="center"/>
            <w:hideMark/>
          </w:tcPr>
          <w:p w14:paraId="19983D8F"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8 308</w:t>
            </w:r>
          </w:p>
        </w:tc>
        <w:tc>
          <w:tcPr>
            <w:tcW w:w="834" w:type="dxa"/>
            <w:tcBorders>
              <w:top w:val="single" w:sz="4" w:space="0" w:color="auto"/>
              <w:left w:val="single" w:sz="4" w:space="0" w:color="auto"/>
              <w:bottom w:val="single" w:sz="4" w:space="0" w:color="auto"/>
              <w:right w:val="single" w:sz="4" w:space="0" w:color="auto"/>
            </w:tcBorders>
            <w:vAlign w:val="center"/>
            <w:hideMark/>
          </w:tcPr>
          <w:p w14:paraId="007E6242"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8 024</w:t>
            </w:r>
          </w:p>
        </w:tc>
        <w:tc>
          <w:tcPr>
            <w:tcW w:w="834" w:type="dxa"/>
            <w:tcBorders>
              <w:top w:val="single" w:sz="4" w:space="0" w:color="auto"/>
              <w:left w:val="single" w:sz="4" w:space="0" w:color="auto"/>
              <w:bottom w:val="single" w:sz="4" w:space="0" w:color="auto"/>
              <w:right w:val="single" w:sz="4" w:space="0" w:color="auto"/>
            </w:tcBorders>
            <w:vAlign w:val="center"/>
            <w:hideMark/>
          </w:tcPr>
          <w:p w14:paraId="0B8C2026"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10593</w:t>
            </w:r>
          </w:p>
        </w:tc>
        <w:tc>
          <w:tcPr>
            <w:tcW w:w="834" w:type="dxa"/>
            <w:tcBorders>
              <w:top w:val="single" w:sz="4" w:space="0" w:color="auto"/>
              <w:left w:val="single" w:sz="4" w:space="0" w:color="auto"/>
              <w:bottom w:val="single" w:sz="4" w:space="0" w:color="auto"/>
              <w:right w:val="single" w:sz="4" w:space="0" w:color="auto"/>
            </w:tcBorders>
            <w:vAlign w:val="center"/>
            <w:hideMark/>
          </w:tcPr>
          <w:p w14:paraId="19B9FEB1"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8 357</w:t>
            </w:r>
          </w:p>
        </w:tc>
        <w:tc>
          <w:tcPr>
            <w:tcW w:w="834" w:type="dxa"/>
            <w:tcBorders>
              <w:top w:val="single" w:sz="4" w:space="0" w:color="auto"/>
              <w:left w:val="single" w:sz="4" w:space="0" w:color="auto"/>
              <w:bottom w:val="single" w:sz="4" w:space="0" w:color="auto"/>
              <w:right w:val="single" w:sz="4" w:space="0" w:color="auto"/>
            </w:tcBorders>
            <w:vAlign w:val="center"/>
            <w:hideMark/>
          </w:tcPr>
          <w:p w14:paraId="0F6C83B7"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7 062</w:t>
            </w:r>
          </w:p>
        </w:tc>
        <w:tc>
          <w:tcPr>
            <w:tcW w:w="1154" w:type="dxa"/>
            <w:tcBorders>
              <w:top w:val="single" w:sz="4" w:space="0" w:color="auto"/>
              <w:left w:val="single" w:sz="4" w:space="0" w:color="auto"/>
              <w:bottom w:val="single" w:sz="4" w:space="0" w:color="auto"/>
              <w:right w:val="single" w:sz="4" w:space="0" w:color="auto"/>
            </w:tcBorders>
            <w:hideMark/>
          </w:tcPr>
          <w:p w14:paraId="5105B02D"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5806</w:t>
            </w:r>
          </w:p>
        </w:tc>
        <w:tc>
          <w:tcPr>
            <w:tcW w:w="1154" w:type="dxa"/>
            <w:tcBorders>
              <w:top w:val="single" w:sz="4" w:space="0" w:color="auto"/>
              <w:left w:val="single" w:sz="4" w:space="0" w:color="auto"/>
              <w:bottom w:val="single" w:sz="4" w:space="0" w:color="auto"/>
              <w:right w:val="single" w:sz="4" w:space="0" w:color="auto"/>
            </w:tcBorders>
            <w:vAlign w:val="center"/>
            <w:hideMark/>
          </w:tcPr>
          <w:p w14:paraId="62448261"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-2502</w:t>
            </w:r>
          </w:p>
        </w:tc>
      </w:tr>
      <w:tr w:rsidR="00164518" w14:paraId="0633ABA5" w14:textId="77777777" w:rsidTr="00164518">
        <w:trPr>
          <w:jc w:val="center"/>
        </w:trPr>
        <w:tc>
          <w:tcPr>
            <w:tcW w:w="1865" w:type="dxa"/>
            <w:tcBorders>
              <w:top w:val="single" w:sz="4" w:space="0" w:color="auto"/>
              <w:left w:val="single" w:sz="4" w:space="0" w:color="auto"/>
              <w:bottom w:val="single" w:sz="4" w:space="0" w:color="auto"/>
              <w:right w:val="single" w:sz="4" w:space="0" w:color="auto"/>
            </w:tcBorders>
            <w:vAlign w:val="center"/>
            <w:hideMark/>
          </w:tcPr>
          <w:p w14:paraId="3FAC6C1A" w14:textId="77777777" w:rsidR="00164518" w:rsidRDefault="00164518" w:rsidP="00D63F59">
            <w:pPr>
              <w:pStyle w:val="a3"/>
              <w:spacing w:before="0" w:beforeAutospacing="0" w:after="0" w:afterAutospacing="0"/>
              <w:jc w:val="both"/>
              <w:rPr>
                <w:sz w:val="20"/>
                <w:szCs w:val="20"/>
              </w:rPr>
            </w:pPr>
            <w:r>
              <w:rPr>
                <w:sz w:val="20"/>
                <w:szCs w:val="20"/>
              </w:rPr>
              <w:t>Минская обл.</w:t>
            </w:r>
          </w:p>
        </w:tc>
        <w:tc>
          <w:tcPr>
            <w:tcW w:w="834" w:type="dxa"/>
            <w:tcBorders>
              <w:top w:val="single" w:sz="4" w:space="0" w:color="auto"/>
              <w:left w:val="single" w:sz="4" w:space="0" w:color="auto"/>
              <w:bottom w:val="single" w:sz="4" w:space="0" w:color="auto"/>
              <w:right w:val="single" w:sz="4" w:space="0" w:color="auto"/>
            </w:tcBorders>
            <w:vAlign w:val="center"/>
            <w:hideMark/>
          </w:tcPr>
          <w:p w14:paraId="54BBE7F4"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1 984</w:t>
            </w:r>
          </w:p>
        </w:tc>
        <w:tc>
          <w:tcPr>
            <w:tcW w:w="834" w:type="dxa"/>
            <w:tcBorders>
              <w:top w:val="single" w:sz="4" w:space="0" w:color="auto"/>
              <w:left w:val="single" w:sz="4" w:space="0" w:color="auto"/>
              <w:bottom w:val="single" w:sz="4" w:space="0" w:color="auto"/>
              <w:right w:val="single" w:sz="4" w:space="0" w:color="auto"/>
            </w:tcBorders>
            <w:vAlign w:val="center"/>
            <w:hideMark/>
          </w:tcPr>
          <w:p w14:paraId="47BE528F"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2 279</w:t>
            </w:r>
          </w:p>
        </w:tc>
        <w:tc>
          <w:tcPr>
            <w:tcW w:w="834" w:type="dxa"/>
            <w:tcBorders>
              <w:top w:val="single" w:sz="4" w:space="0" w:color="auto"/>
              <w:left w:val="single" w:sz="4" w:space="0" w:color="auto"/>
              <w:bottom w:val="single" w:sz="4" w:space="0" w:color="auto"/>
              <w:right w:val="single" w:sz="4" w:space="0" w:color="auto"/>
            </w:tcBorders>
            <w:vAlign w:val="center"/>
            <w:hideMark/>
          </w:tcPr>
          <w:p w14:paraId="6B720666"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2 821</w:t>
            </w:r>
          </w:p>
        </w:tc>
        <w:tc>
          <w:tcPr>
            <w:tcW w:w="834" w:type="dxa"/>
            <w:tcBorders>
              <w:top w:val="single" w:sz="4" w:space="0" w:color="auto"/>
              <w:left w:val="single" w:sz="4" w:space="0" w:color="auto"/>
              <w:bottom w:val="single" w:sz="4" w:space="0" w:color="auto"/>
              <w:right w:val="single" w:sz="4" w:space="0" w:color="auto"/>
            </w:tcBorders>
            <w:vAlign w:val="center"/>
            <w:hideMark/>
          </w:tcPr>
          <w:p w14:paraId="106C57B7"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2 369</w:t>
            </w:r>
          </w:p>
        </w:tc>
        <w:tc>
          <w:tcPr>
            <w:tcW w:w="834" w:type="dxa"/>
            <w:tcBorders>
              <w:top w:val="single" w:sz="4" w:space="0" w:color="auto"/>
              <w:left w:val="single" w:sz="4" w:space="0" w:color="auto"/>
              <w:bottom w:val="single" w:sz="4" w:space="0" w:color="auto"/>
              <w:right w:val="single" w:sz="4" w:space="0" w:color="auto"/>
            </w:tcBorders>
            <w:vAlign w:val="center"/>
            <w:hideMark/>
          </w:tcPr>
          <w:p w14:paraId="276DC73F"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2 032</w:t>
            </w:r>
          </w:p>
        </w:tc>
        <w:tc>
          <w:tcPr>
            <w:tcW w:w="1154" w:type="dxa"/>
            <w:tcBorders>
              <w:top w:val="single" w:sz="4" w:space="0" w:color="auto"/>
              <w:left w:val="single" w:sz="4" w:space="0" w:color="auto"/>
              <w:bottom w:val="single" w:sz="4" w:space="0" w:color="auto"/>
              <w:right w:val="single" w:sz="4" w:space="0" w:color="auto"/>
            </w:tcBorders>
            <w:hideMark/>
          </w:tcPr>
          <w:p w14:paraId="39818578"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1671</w:t>
            </w:r>
          </w:p>
        </w:tc>
        <w:tc>
          <w:tcPr>
            <w:tcW w:w="1154" w:type="dxa"/>
            <w:tcBorders>
              <w:top w:val="single" w:sz="4" w:space="0" w:color="auto"/>
              <w:left w:val="single" w:sz="4" w:space="0" w:color="auto"/>
              <w:bottom w:val="single" w:sz="4" w:space="0" w:color="auto"/>
              <w:right w:val="single" w:sz="4" w:space="0" w:color="auto"/>
            </w:tcBorders>
            <w:vAlign w:val="center"/>
            <w:hideMark/>
          </w:tcPr>
          <w:p w14:paraId="38EA0E4E"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-313</w:t>
            </w:r>
          </w:p>
        </w:tc>
      </w:tr>
      <w:tr w:rsidR="00164518" w14:paraId="537A7763" w14:textId="77777777" w:rsidTr="00164518">
        <w:trPr>
          <w:jc w:val="center"/>
        </w:trPr>
        <w:tc>
          <w:tcPr>
            <w:tcW w:w="1865" w:type="dxa"/>
            <w:tcBorders>
              <w:top w:val="single" w:sz="4" w:space="0" w:color="auto"/>
              <w:left w:val="single" w:sz="4" w:space="0" w:color="auto"/>
              <w:bottom w:val="single" w:sz="4" w:space="0" w:color="auto"/>
              <w:right w:val="single" w:sz="4" w:space="0" w:color="auto"/>
            </w:tcBorders>
            <w:vAlign w:val="center"/>
            <w:hideMark/>
          </w:tcPr>
          <w:p w14:paraId="074C7C3D" w14:textId="77777777" w:rsidR="00164518" w:rsidRDefault="00164518" w:rsidP="00D63F59">
            <w:pPr>
              <w:pStyle w:val="a3"/>
              <w:spacing w:before="0" w:beforeAutospacing="0" w:after="0" w:afterAutospacing="0"/>
              <w:jc w:val="both"/>
              <w:rPr>
                <w:sz w:val="20"/>
                <w:szCs w:val="20"/>
              </w:rPr>
            </w:pPr>
            <w:r>
              <w:rPr>
                <w:sz w:val="20"/>
                <w:szCs w:val="20"/>
              </w:rPr>
              <w:t>Могилевская обл.</w:t>
            </w:r>
          </w:p>
        </w:tc>
        <w:tc>
          <w:tcPr>
            <w:tcW w:w="834" w:type="dxa"/>
            <w:tcBorders>
              <w:top w:val="single" w:sz="4" w:space="0" w:color="auto"/>
              <w:left w:val="single" w:sz="4" w:space="0" w:color="auto"/>
              <w:bottom w:val="single" w:sz="4" w:space="0" w:color="auto"/>
              <w:right w:val="single" w:sz="4" w:space="0" w:color="auto"/>
            </w:tcBorders>
            <w:vAlign w:val="center"/>
            <w:hideMark/>
          </w:tcPr>
          <w:p w14:paraId="1C46D27B"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396</w:t>
            </w:r>
          </w:p>
        </w:tc>
        <w:tc>
          <w:tcPr>
            <w:tcW w:w="834" w:type="dxa"/>
            <w:tcBorders>
              <w:top w:val="single" w:sz="4" w:space="0" w:color="auto"/>
              <w:left w:val="single" w:sz="4" w:space="0" w:color="auto"/>
              <w:bottom w:val="single" w:sz="4" w:space="0" w:color="auto"/>
              <w:right w:val="single" w:sz="4" w:space="0" w:color="auto"/>
            </w:tcBorders>
            <w:vAlign w:val="center"/>
            <w:hideMark/>
          </w:tcPr>
          <w:p w14:paraId="64057380"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373</w:t>
            </w:r>
          </w:p>
        </w:tc>
        <w:tc>
          <w:tcPr>
            <w:tcW w:w="834" w:type="dxa"/>
            <w:tcBorders>
              <w:top w:val="single" w:sz="4" w:space="0" w:color="auto"/>
              <w:left w:val="single" w:sz="4" w:space="0" w:color="auto"/>
              <w:bottom w:val="single" w:sz="4" w:space="0" w:color="auto"/>
              <w:right w:val="single" w:sz="4" w:space="0" w:color="auto"/>
            </w:tcBorders>
            <w:vAlign w:val="center"/>
            <w:hideMark/>
          </w:tcPr>
          <w:p w14:paraId="402CE5E5"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395</w:t>
            </w:r>
          </w:p>
        </w:tc>
        <w:tc>
          <w:tcPr>
            <w:tcW w:w="834" w:type="dxa"/>
            <w:tcBorders>
              <w:top w:val="single" w:sz="4" w:space="0" w:color="auto"/>
              <w:left w:val="single" w:sz="4" w:space="0" w:color="auto"/>
              <w:bottom w:val="single" w:sz="4" w:space="0" w:color="auto"/>
              <w:right w:val="single" w:sz="4" w:space="0" w:color="auto"/>
            </w:tcBorders>
            <w:vAlign w:val="center"/>
            <w:hideMark/>
          </w:tcPr>
          <w:p w14:paraId="157C475A"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425</w:t>
            </w:r>
          </w:p>
        </w:tc>
        <w:tc>
          <w:tcPr>
            <w:tcW w:w="834" w:type="dxa"/>
            <w:tcBorders>
              <w:top w:val="single" w:sz="4" w:space="0" w:color="auto"/>
              <w:left w:val="single" w:sz="4" w:space="0" w:color="auto"/>
              <w:bottom w:val="single" w:sz="4" w:space="0" w:color="auto"/>
              <w:right w:val="single" w:sz="4" w:space="0" w:color="auto"/>
            </w:tcBorders>
            <w:vAlign w:val="center"/>
            <w:hideMark/>
          </w:tcPr>
          <w:p w14:paraId="5BCA1445" w14:textId="77777777" w:rsidR="00164518" w:rsidRDefault="00164518" w:rsidP="00D63F5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381</w:t>
            </w:r>
          </w:p>
        </w:tc>
        <w:tc>
          <w:tcPr>
            <w:tcW w:w="1154" w:type="dxa"/>
            <w:tcBorders>
              <w:top w:val="single" w:sz="4" w:space="0" w:color="auto"/>
              <w:left w:val="single" w:sz="4" w:space="0" w:color="auto"/>
              <w:bottom w:val="single" w:sz="4" w:space="0" w:color="auto"/>
              <w:right w:val="single" w:sz="4" w:space="0" w:color="auto"/>
            </w:tcBorders>
            <w:hideMark/>
          </w:tcPr>
          <w:p w14:paraId="72788D54"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390</w:t>
            </w:r>
          </w:p>
        </w:tc>
        <w:tc>
          <w:tcPr>
            <w:tcW w:w="1154" w:type="dxa"/>
            <w:tcBorders>
              <w:top w:val="single" w:sz="4" w:space="0" w:color="auto"/>
              <w:left w:val="single" w:sz="4" w:space="0" w:color="auto"/>
              <w:bottom w:val="single" w:sz="4" w:space="0" w:color="auto"/>
              <w:right w:val="single" w:sz="4" w:space="0" w:color="auto"/>
            </w:tcBorders>
            <w:vAlign w:val="center"/>
            <w:hideMark/>
          </w:tcPr>
          <w:p w14:paraId="15D2CFCC" w14:textId="77777777" w:rsidR="00164518" w:rsidRDefault="00164518" w:rsidP="00D63F5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-6</w:t>
            </w:r>
          </w:p>
        </w:tc>
      </w:tr>
    </w:tbl>
    <w:p w14:paraId="56FBBAAC" w14:textId="77777777" w:rsidR="00D63F59" w:rsidRDefault="00D63F59" w:rsidP="00D63F59">
      <w:pPr>
        <w:pStyle w:val="a3"/>
        <w:spacing w:before="0" w:beforeAutospacing="0" w:after="0" w:afterAutospacing="0"/>
        <w:ind w:firstLine="709"/>
        <w:jc w:val="both"/>
      </w:pPr>
    </w:p>
    <w:p w14:paraId="5164AC6C" w14:textId="215EEC71" w:rsidR="00164518" w:rsidRDefault="00164518" w:rsidP="00D63F59">
      <w:pPr>
        <w:pStyle w:val="a3"/>
        <w:spacing w:before="0" w:beforeAutospacing="0" w:after="0" w:afterAutospacing="0"/>
        <w:ind w:firstLine="709"/>
        <w:jc w:val="both"/>
        <w:rPr>
          <w:spacing w:val="2"/>
        </w:rPr>
      </w:pPr>
      <w:r>
        <w:t>За период 2017</w:t>
      </w:r>
      <w:r w:rsidR="00E01243">
        <w:t>-</w:t>
      </w:r>
      <w:r>
        <w:t xml:space="preserve">2022 гг. наиболее привлекательными странами выезда для белорусских трудовых эмигрантов, выехавших за границу для работы на основе подписанных договоров и контрактов, были Россия (21432 </w:t>
      </w:r>
      <w:r>
        <w:rPr>
          <w:spacing w:val="2"/>
        </w:rPr>
        <w:t xml:space="preserve">чел. </w:t>
      </w:r>
      <w:r>
        <w:t>или 45,8 % от общего количества трудовых эмигрантов</w:t>
      </w:r>
      <w:r w:rsidR="0095379C">
        <w:t xml:space="preserve"> за период </w:t>
      </w:r>
      <w:r w:rsidR="0095379C">
        <w:t>2017-2022 гг.</w:t>
      </w:r>
      <w:r>
        <w:t xml:space="preserve">), Польша (12816 </w:t>
      </w:r>
      <w:r>
        <w:rPr>
          <w:spacing w:val="2"/>
        </w:rPr>
        <w:t xml:space="preserve">чел. </w:t>
      </w:r>
      <w:r>
        <w:t xml:space="preserve">или 27,4 %), Литва (6203 </w:t>
      </w:r>
      <w:r>
        <w:rPr>
          <w:spacing w:val="2"/>
        </w:rPr>
        <w:t xml:space="preserve">чел. </w:t>
      </w:r>
      <w:r>
        <w:t>или 13,2 %)</w:t>
      </w:r>
      <w:r w:rsidR="00A32FD3">
        <w:t>. Р</w:t>
      </w:r>
      <w:r>
        <w:t>ис. 2.</w:t>
      </w:r>
    </w:p>
    <w:p w14:paraId="1E378CF1" w14:textId="67AD0D0B" w:rsidR="00164518" w:rsidRPr="00D63F59" w:rsidRDefault="00164518" w:rsidP="00D63F59">
      <w:pPr>
        <w:pStyle w:val="msonormalmrcssattr"/>
        <w:shd w:val="clear" w:color="auto" w:fill="FFFFFF"/>
        <w:spacing w:before="0" w:beforeAutospacing="0" w:after="0" w:afterAutospacing="0"/>
        <w:ind w:firstLine="709"/>
        <w:jc w:val="both"/>
      </w:pPr>
      <w:r>
        <w:rPr>
          <w:noProof/>
        </w:rPr>
        <w:drawing>
          <wp:inline distT="0" distB="0" distL="0" distR="0" wp14:anchorId="624DF1E6" wp14:editId="6570A4CF">
            <wp:extent cx="5486400" cy="3204210"/>
            <wp:effectExtent l="0" t="0" r="0" b="0"/>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Pr="00D63F59">
        <w:t xml:space="preserve">Рис. 2. </w:t>
      </w:r>
      <w:r w:rsidRPr="00CA1D19">
        <w:rPr>
          <w:b/>
        </w:rPr>
        <w:t>Динамика странового распределения численности трудящихся-эмигрантов, выехавших за границу для работы на основе подписанных договоров и контрактов, за период 2017-2022 </w:t>
      </w:r>
      <w:proofErr w:type="spellStart"/>
      <w:r w:rsidRPr="00CA1D19">
        <w:rPr>
          <w:b/>
        </w:rPr>
        <w:t>гг</w:t>
      </w:r>
      <w:proofErr w:type="spellEnd"/>
      <w:r w:rsidRPr="00CA1D19">
        <w:rPr>
          <w:b/>
          <w:lang w:val="be-BY"/>
        </w:rPr>
        <w:t>.</w:t>
      </w:r>
      <w:r w:rsidRPr="00CA1D19">
        <w:rPr>
          <w:b/>
        </w:rPr>
        <w:t>, чел.</w:t>
      </w:r>
      <w:r w:rsidRPr="00D63F59">
        <w:t xml:space="preserve"> [сост. по 1-</w:t>
      </w:r>
      <w:r w:rsidR="00CA1D19">
        <w:t>6</w:t>
      </w:r>
      <w:r w:rsidRPr="00D63F59">
        <w:t>]</w:t>
      </w:r>
    </w:p>
    <w:p w14:paraId="5426CDFE" w14:textId="77777777" w:rsidR="00164518" w:rsidRPr="00D63F59" w:rsidRDefault="00164518" w:rsidP="00D63F59">
      <w:pPr>
        <w:pStyle w:val="msonormalmrcssattr"/>
        <w:shd w:val="clear" w:color="auto" w:fill="FFFFFF"/>
        <w:spacing w:before="0" w:beforeAutospacing="0" w:after="0" w:afterAutospacing="0"/>
        <w:ind w:firstLine="709"/>
        <w:jc w:val="both"/>
      </w:pPr>
    </w:p>
    <w:p w14:paraId="4E0AEE07" w14:textId="085533B6" w:rsidR="00164518" w:rsidRDefault="00164518" w:rsidP="00D63F59">
      <w:pPr>
        <w:pStyle w:val="msonormalmrcssattr"/>
        <w:shd w:val="clear" w:color="auto" w:fill="FFFFFF"/>
        <w:spacing w:before="0" w:beforeAutospacing="0" w:after="0" w:afterAutospacing="0"/>
        <w:ind w:firstLine="709"/>
        <w:jc w:val="both"/>
        <w:rPr>
          <w:spacing w:val="2"/>
        </w:rPr>
      </w:pPr>
      <w:r>
        <w:lastRenderedPageBreak/>
        <w:t>За период 2017</w:t>
      </w:r>
      <w:r w:rsidR="00D22EA0">
        <w:t>-</w:t>
      </w:r>
      <w:r>
        <w:t>2022 гг. о</w:t>
      </w:r>
      <w:r>
        <w:rPr>
          <w:spacing w:val="2"/>
        </w:rPr>
        <w:t xml:space="preserve">сновными странами-донорами трудовых иммигрантов для Беларуси явились Россия (25914 чел. или 27,6% </w:t>
      </w:r>
      <w:r>
        <w:t>от общего количества трудовых иммигрантов</w:t>
      </w:r>
      <w:r>
        <w:rPr>
          <w:spacing w:val="2"/>
        </w:rPr>
        <w:t>), Китай (19373 чел. или 20,6 %), Украина (16852 чел. или 17,9 %), Узбекистан (6004 чел. или 6,4 %)</w:t>
      </w:r>
      <w:r w:rsidR="00D22EA0">
        <w:rPr>
          <w:spacing w:val="2"/>
        </w:rPr>
        <w:t>.</w:t>
      </w:r>
      <w:r>
        <w:rPr>
          <w:spacing w:val="2"/>
        </w:rPr>
        <w:t xml:space="preserve"> </w:t>
      </w:r>
      <w:r w:rsidR="00D22EA0">
        <w:rPr>
          <w:spacing w:val="2"/>
        </w:rPr>
        <w:t>Р</w:t>
      </w:r>
      <w:r>
        <w:rPr>
          <w:spacing w:val="2"/>
        </w:rPr>
        <w:t>ис. 3.</w:t>
      </w:r>
    </w:p>
    <w:p w14:paraId="145A6CA5" w14:textId="77777777" w:rsidR="00164518" w:rsidRDefault="00164518" w:rsidP="00D63F59">
      <w:pPr>
        <w:pStyle w:val="msonormalmrcssattr"/>
        <w:shd w:val="clear" w:color="auto" w:fill="FFFFFF"/>
        <w:spacing w:before="0" w:beforeAutospacing="0" w:after="0" w:afterAutospacing="0"/>
        <w:ind w:firstLine="709"/>
        <w:jc w:val="both"/>
        <w:rPr>
          <w:spacing w:val="2"/>
        </w:rPr>
      </w:pPr>
    </w:p>
    <w:p w14:paraId="6C06B135" w14:textId="4B35E5B9" w:rsidR="00164518" w:rsidRDefault="00164518" w:rsidP="00D63F59">
      <w:pPr>
        <w:pStyle w:val="msonormalmrcssattr"/>
        <w:shd w:val="clear" w:color="auto" w:fill="FFFFFF"/>
        <w:spacing w:before="0" w:beforeAutospacing="0" w:after="0" w:afterAutospacing="0"/>
        <w:ind w:firstLine="709"/>
        <w:jc w:val="both"/>
      </w:pPr>
      <w:r>
        <w:rPr>
          <w:noProof/>
        </w:rPr>
        <w:drawing>
          <wp:inline distT="0" distB="0" distL="0" distR="0" wp14:anchorId="6345F77E" wp14:editId="5A0349DF">
            <wp:extent cx="5486400" cy="3204210"/>
            <wp:effectExtent l="0" t="0" r="0" b="0"/>
            <wp:docPr id="76372710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7C93218" w14:textId="267FA34C" w:rsidR="00164518" w:rsidRPr="00D63F59" w:rsidRDefault="00164518" w:rsidP="00D63F59">
      <w:pPr>
        <w:spacing w:after="0" w:line="240" w:lineRule="auto"/>
        <w:ind w:firstLine="709"/>
        <w:jc w:val="both"/>
        <w:rPr>
          <w:rFonts w:ascii="Times New Roman" w:hAnsi="Times New Roman" w:cs="Times New Roman"/>
          <w:sz w:val="24"/>
          <w:szCs w:val="24"/>
        </w:rPr>
      </w:pPr>
      <w:r w:rsidRPr="00D63F59">
        <w:rPr>
          <w:rFonts w:ascii="Times New Roman" w:hAnsi="Times New Roman" w:cs="Times New Roman"/>
          <w:sz w:val="24"/>
          <w:szCs w:val="24"/>
        </w:rPr>
        <w:t>Рис. 3.</w:t>
      </w:r>
      <w:r w:rsidR="00CA1D19">
        <w:rPr>
          <w:rFonts w:ascii="Times New Roman" w:hAnsi="Times New Roman" w:cs="Times New Roman"/>
          <w:sz w:val="24"/>
          <w:szCs w:val="24"/>
        </w:rPr>
        <w:t xml:space="preserve"> </w:t>
      </w:r>
      <w:r w:rsidRPr="00CA1D19">
        <w:rPr>
          <w:rFonts w:ascii="Times New Roman" w:hAnsi="Times New Roman" w:cs="Times New Roman"/>
          <w:b/>
          <w:sz w:val="24"/>
          <w:szCs w:val="24"/>
        </w:rPr>
        <w:t xml:space="preserve">Динамика странового распределения численности трудящихся-иммигрантов, въехавших в Беларусь для работы </w:t>
      </w:r>
      <w:r w:rsidRPr="00CA1D19">
        <w:rPr>
          <w:rFonts w:ascii="Times New Roman" w:eastAsia="Arial" w:hAnsi="Times New Roman" w:cs="Times New Roman"/>
          <w:b/>
          <w:sz w:val="24"/>
          <w:szCs w:val="24"/>
        </w:rPr>
        <w:t>на основании специальных разрешений</w:t>
      </w:r>
      <w:r w:rsidR="00D22EA0" w:rsidRPr="00CA1D19">
        <w:rPr>
          <w:rFonts w:ascii="Times New Roman" w:eastAsia="Arial" w:hAnsi="Times New Roman" w:cs="Times New Roman"/>
          <w:b/>
          <w:sz w:val="24"/>
          <w:szCs w:val="24"/>
        </w:rPr>
        <w:t xml:space="preserve"> </w:t>
      </w:r>
      <w:r w:rsidR="00D22EA0" w:rsidRPr="00CA1D19">
        <w:rPr>
          <w:rFonts w:ascii="Times New Roman" w:eastAsia="Arial" w:hAnsi="Times New Roman" w:cs="Times New Roman"/>
          <w:b/>
          <w:bCs/>
          <w:sz w:val="24"/>
          <w:szCs w:val="24"/>
        </w:rPr>
        <w:t>на право занятия временной трудовой деятельностью</w:t>
      </w:r>
      <w:r w:rsidRPr="00CA1D19">
        <w:rPr>
          <w:rFonts w:ascii="Times New Roman" w:eastAsia="Arial" w:hAnsi="Times New Roman" w:cs="Times New Roman"/>
          <w:b/>
          <w:sz w:val="24"/>
          <w:szCs w:val="24"/>
        </w:rPr>
        <w:t xml:space="preserve">, </w:t>
      </w:r>
      <w:r w:rsidRPr="00CA1D19">
        <w:rPr>
          <w:rFonts w:ascii="Times New Roman" w:hAnsi="Times New Roman" w:cs="Times New Roman"/>
          <w:b/>
          <w:sz w:val="24"/>
          <w:szCs w:val="24"/>
        </w:rPr>
        <w:t>за период 2017-2022 гг.</w:t>
      </w:r>
      <w:r w:rsidR="00CA1D19" w:rsidRPr="00CA1D19">
        <w:rPr>
          <w:rFonts w:ascii="Times New Roman" w:hAnsi="Times New Roman" w:cs="Times New Roman"/>
          <w:b/>
          <w:sz w:val="24"/>
          <w:szCs w:val="24"/>
        </w:rPr>
        <w:t>,</w:t>
      </w:r>
      <w:r w:rsidRPr="00CA1D19">
        <w:rPr>
          <w:rFonts w:ascii="Times New Roman" w:hAnsi="Times New Roman" w:cs="Times New Roman"/>
          <w:b/>
          <w:sz w:val="24"/>
          <w:szCs w:val="24"/>
          <w:lang w:val="be-BY"/>
        </w:rPr>
        <w:t xml:space="preserve"> чел.</w:t>
      </w:r>
      <w:r w:rsidRPr="00D63F59">
        <w:rPr>
          <w:rFonts w:ascii="Times New Roman" w:eastAsia="Arial" w:hAnsi="Times New Roman" w:cs="Times New Roman"/>
          <w:sz w:val="24"/>
          <w:szCs w:val="24"/>
          <w:lang w:val="be-BY"/>
        </w:rPr>
        <w:t xml:space="preserve"> </w:t>
      </w:r>
      <w:r w:rsidRPr="00D63F59">
        <w:rPr>
          <w:rFonts w:ascii="Times New Roman" w:hAnsi="Times New Roman" w:cs="Times New Roman"/>
          <w:sz w:val="24"/>
          <w:szCs w:val="24"/>
        </w:rPr>
        <w:t>[сост. по 1-</w:t>
      </w:r>
      <w:r w:rsidR="00CA1D19">
        <w:rPr>
          <w:rFonts w:ascii="Times New Roman" w:hAnsi="Times New Roman" w:cs="Times New Roman"/>
          <w:sz w:val="24"/>
          <w:szCs w:val="24"/>
        </w:rPr>
        <w:t>6</w:t>
      </w:r>
      <w:r w:rsidRPr="00D63F59">
        <w:rPr>
          <w:rFonts w:ascii="Times New Roman" w:hAnsi="Times New Roman" w:cs="Times New Roman"/>
          <w:sz w:val="24"/>
          <w:szCs w:val="24"/>
        </w:rPr>
        <w:t>]</w:t>
      </w:r>
    </w:p>
    <w:p w14:paraId="5C9395AA" w14:textId="77777777" w:rsidR="00164518" w:rsidRDefault="00164518" w:rsidP="00D63F59">
      <w:pPr>
        <w:spacing w:after="0" w:line="240" w:lineRule="auto"/>
        <w:ind w:firstLine="709"/>
        <w:jc w:val="center"/>
        <w:rPr>
          <w:rFonts w:ascii="Times New Roman" w:hAnsi="Times New Roman" w:cs="Times New Roman"/>
          <w:sz w:val="20"/>
          <w:szCs w:val="20"/>
        </w:rPr>
      </w:pPr>
    </w:p>
    <w:p w14:paraId="3ABB000A" w14:textId="5F12215F" w:rsidR="00DF0466" w:rsidRPr="0074583D" w:rsidRDefault="00FC4824" w:rsidP="00D63F59">
      <w:pPr>
        <w:spacing w:after="0" w:line="240" w:lineRule="auto"/>
        <w:ind w:firstLine="709"/>
        <w:jc w:val="both"/>
        <w:rPr>
          <w:rFonts w:ascii="Times New Roman" w:hAnsi="Times New Roman" w:cs="Times New Roman"/>
          <w:sz w:val="24"/>
        </w:rPr>
      </w:pPr>
      <w:r>
        <w:rPr>
          <w:rFonts w:ascii="Times New Roman" w:hAnsi="Times New Roman" w:cs="Times New Roman"/>
          <w:sz w:val="24"/>
        </w:rPr>
        <w:t>Следует отметить, что п</w:t>
      </w:r>
      <w:r w:rsidR="00DF0466" w:rsidRPr="0074583D">
        <w:rPr>
          <w:rFonts w:ascii="Times New Roman" w:hAnsi="Times New Roman" w:cs="Times New Roman"/>
          <w:sz w:val="24"/>
        </w:rPr>
        <w:t xml:space="preserve">андемия коронавируса оказала существенное влияние </w:t>
      </w:r>
      <w:r w:rsidR="00DF0466">
        <w:rPr>
          <w:rFonts w:ascii="Times New Roman" w:hAnsi="Times New Roman" w:cs="Times New Roman"/>
          <w:sz w:val="24"/>
        </w:rPr>
        <w:t xml:space="preserve">и </w:t>
      </w:r>
      <w:r w:rsidR="00DF0466" w:rsidRPr="0074583D">
        <w:rPr>
          <w:rFonts w:ascii="Times New Roman" w:hAnsi="Times New Roman" w:cs="Times New Roman"/>
          <w:sz w:val="24"/>
        </w:rPr>
        <w:t xml:space="preserve">на объемы трудовой иммиграции. </w:t>
      </w:r>
      <w:r w:rsidR="00DF0466">
        <w:rPr>
          <w:rFonts w:ascii="Times New Roman" w:hAnsi="Times New Roman" w:cs="Times New Roman"/>
          <w:sz w:val="24"/>
        </w:rPr>
        <w:t>Так</w:t>
      </w:r>
      <w:r w:rsidR="00DF0466" w:rsidRPr="0074583D">
        <w:rPr>
          <w:rFonts w:ascii="Times New Roman" w:hAnsi="Times New Roman" w:cs="Times New Roman"/>
          <w:sz w:val="24"/>
        </w:rPr>
        <w:t xml:space="preserve">, с 2019 г. резко </w:t>
      </w:r>
      <w:r w:rsidR="00DF0466">
        <w:rPr>
          <w:rFonts w:ascii="Times New Roman" w:hAnsi="Times New Roman" w:cs="Times New Roman"/>
          <w:sz w:val="24"/>
        </w:rPr>
        <w:t>уменьшилась</w:t>
      </w:r>
      <w:r w:rsidR="00DF0466" w:rsidRPr="0074583D">
        <w:rPr>
          <w:rFonts w:ascii="Times New Roman" w:hAnsi="Times New Roman" w:cs="Times New Roman"/>
          <w:sz w:val="24"/>
        </w:rPr>
        <w:t xml:space="preserve"> ежегодн</w:t>
      </w:r>
      <w:r w:rsidR="00DF0466">
        <w:rPr>
          <w:rFonts w:ascii="Times New Roman" w:hAnsi="Times New Roman" w:cs="Times New Roman"/>
          <w:sz w:val="24"/>
        </w:rPr>
        <w:t>ая</w:t>
      </w:r>
      <w:r w:rsidR="00DF0466" w:rsidRPr="0074583D">
        <w:rPr>
          <w:rFonts w:ascii="Times New Roman" w:hAnsi="Times New Roman" w:cs="Times New Roman"/>
          <w:sz w:val="24"/>
        </w:rPr>
        <w:t xml:space="preserve"> </w:t>
      </w:r>
      <w:r w:rsidR="00DF0466">
        <w:rPr>
          <w:rFonts w:ascii="Times New Roman" w:hAnsi="Times New Roman" w:cs="Times New Roman"/>
          <w:sz w:val="24"/>
        </w:rPr>
        <w:t xml:space="preserve">численность </w:t>
      </w:r>
      <w:r w:rsidR="00DF0466" w:rsidRPr="0074583D">
        <w:rPr>
          <w:rFonts w:ascii="Times New Roman" w:hAnsi="Times New Roman" w:cs="Times New Roman"/>
          <w:sz w:val="24"/>
        </w:rPr>
        <w:t>трудов</w:t>
      </w:r>
      <w:r w:rsidR="00DF0466">
        <w:rPr>
          <w:rFonts w:ascii="Times New Roman" w:hAnsi="Times New Roman" w:cs="Times New Roman"/>
          <w:sz w:val="24"/>
        </w:rPr>
        <w:t>ых</w:t>
      </w:r>
      <w:r w:rsidR="00DF0466" w:rsidRPr="0074583D">
        <w:rPr>
          <w:rFonts w:ascii="Times New Roman" w:hAnsi="Times New Roman" w:cs="Times New Roman"/>
          <w:sz w:val="24"/>
        </w:rPr>
        <w:t xml:space="preserve"> иммигра</w:t>
      </w:r>
      <w:r w:rsidR="00DF0466">
        <w:rPr>
          <w:rFonts w:ascii="Times New Roman" w:hAnsi="Times New Roman" w:cs="Times New Roman"/>
          <w:sz w:val="24"/>
        </w:rPr>
        <w:t xml:space="preserve">нтов </w:t>
      </w:r>
      <w:r w:rsidR="00DF0466" w:rsidRPr="0074583D">
        <w:rPr>
          <w:rFonts w:ascii="Times New Roman" w:hAnsi="Times New Roman" w:cs="Times New Roman"/>
          <w:sz w:val="24"/>
        </w:rPr>
        <w:t>из России – с 6741 чел. в 2019 г. до 3080 чел. в 2022 г., или в 2,2 раза</w:t>
      </w:r>
      <w:r w:rsidR="00DF0466">
        <w:rPr>
          <w:rFonts w:ascii="Times New Roman" w:hAnsi="Times New Roman" w:cs="Times New Roman"/>
          <w:sz w:val="24"/>
        </w:rPr>
        <w:t>;</w:t>
      </w:r>
      <w:r w:rsidR="00DF0466" w:rsidRPr="0074583D">
        <w:rPr>
          <w:rFonts w:ascii="Times New Roman" w:hAnsi="Times New Roman" w:cs="Times New Roman"/>
          <w:sz w:val="24"/>
        </w:rPr>
        <w:t xml:space="preserve"> Украины – с 3145 чел. до 1265 чел. или в 2,5 раза. Значительно сократилась численность трудовых иммигрантов из Китая – с 4318 чел. в 2019 г. до 2018 чел. в 2022 г. или на 53,3 %</w:t>
      </w:r>
      <w:r w:rsidR="00DF0466">
        <w:rPr>
          <w:rFonts w:ascii="Times New Roman" w:hAnsi="Times New Roman" w:cs="Times New Roman"/>
          <w:sz w:val="24"/>
        </w:rPr>
        <w:t xml:space="preserve">; </w:t>
      </w:r>
      <w:r w:rsidR="00DF0466" w:rsidRPr="0074583D">
        <w:rPr>
          <w:rFonts w:ascii="Times New Roman" w:hAnsi="Times New Roman" w:cs="Times New Roman"/>
          <w:sz w:val="24"/>
        </w:rPr>
        <w:t xml:space="preserve">Узбекистана – с 1336 чел. до 750 чел. или на 43,9 %. </w:t>
      </w:r>
    </w:p>
    <w:p w14:paraId="21C00A1F" w14:textId="0DD773F2" w:rsidR="00164518" w:rsidRDefault="00164518" w:rsidP="00D63F59">
      <w:pPr>
        <w:pStyle w:val="msonormalmrcssattr"/>
        <w:shd w:val="clear" w:color="auto" w:fill="FFFFFF"/>
        <w:spacing w:before="0" w:beforeAutospacing="0" w:after="0" w:afterAutospacing="0"/>
        <w:ind w:firstLine="709"/>
        <w:jc w:val="both"/>
      </w:pPr>
      <w:r>
        <w:t>Как будет дальше развиваться ситуация с трудовой миграцией в Беларуси прогнозировать довольно сложно, так как пандемия коронавируса в той или иной степени продолжается.</w:t>
      </w:r>
      <w:r w:rsidR="00D52C29">
        <w:t xml:space="preserve"> Кроме того, на миграционные процессы европейского региона большое влияние могут оказать и другие внешние факторы, главным из которых является рост международной напряженности, вызванной военным конфликтом на Украине.</w:t>
      </w:r>
    </w:p>
    <w:p w14:paraId="19668C8E" w14:textId="77777777" w:rsidR="00CA1D19" w:rsidRDefault="00CA1D19" w:rsidP="00CA1D19">
      <w:pPr>
        <w:pStyle w:val="a3"/>
        <w:shd w:val="clear" w:color="auto" w:fill="FFFFFF"/>
        <w:spacing w:before="0" w:beforeAutospacing="0" w:after="0" w:afterAutospacing="0"/>
        <w:ind w:firstLine="567"/>
        <w:jc w:val="center"/>
        <w:rPr>
          <w:b/>
        </w:rPr>
      </w:pPr>
    </w:p>
    <w:p w14:paraId="37BA7ADF" w14:textId="1628FCEA" w:rsidR="00CA1D19" w:rsidRPr="00CA1D19" w:rsidRDefault="00CA1D19" w:rsidP="00CA1D19">
      <w:pPr>
        <w:pStyle w:val="a3"/>
        <w:shd w:val="clear" w:color="auto" w:fill="FFFFFF"/>
        <w:spacing w:before="0" w:beforeAutospacing="0" w:after="0" w:afterAutospacing="0"/>
        <w:ind w:firstLine="567"/>
        <w:jc w:val="center"/>
        <w:rPr>
          <w:b/>
        </w:rPr>
      </w:pPr>
      <w:r w:rsidRPr="00CA1D19">
        <w:rPr>
          <w:b/>
        </w:rPr>
        <w:t>ЛИТЕРАТУРА</w:t>
      </w:r>
    </w:p>
    <w:p w14:paraId="080881CD" w14:textId="77777777" w:rsidR="00CA1D19" w:rsidRDefault="00CA1D19" w:rsidP="00CA1D19">
      <w:pPr>
        <w:pStyle w:val="a3"/>
        <w:shd w:val="clear" w:color="auto" w:fill="FFFFFF"/>
        <w:spacing w:before="0" w:beforeAutospacing="0" w:after="0" w:afterAutospacing="0"/>
        <w:ind w:firstLine="567"/>
        <w:jc w:val="both"/>
      </w:pPr>
      <w:r>
        <w:t>1.</w:t>
      </w:r>
      <w:r w:rsidRPr="00D761FC">
        <w:t xml:space="preserve"> Сведения о трудящихся - мигрантах въехавших на работу  в Республику Беларусь и выехавших на работу за границу в январе-декабре 20</w:t>
      </w:r>
      <w:r>
        <w:t>17</w:t>
      </w:r>
      <w:r w:rsidRPr="00D761FC">
        <w:t xml:space="preserve"> года</w:t>
      </w:r>
      <w:r>
        <w:t xml:space="preserve"> </w:t>
      </w:r>
      <w:r w:rsidRPr="00D761FC">
        <w:t>[</w:t>
      </w:r>
      <w:r>
        <w:t>Электронный ресурс</w:t>
      </w:r>
      <w:r w:rsidRPr="00D761FC">
        <w:t>]</w:t>
      </w:r>
      <w:r>
        <w:t xml:space="preserve"> / Министерство внутренних дел Республики Беларусь. – Режим доступа: </w:t>
      </w:r>
      <w:r w:rsidRPr="009C6D4B">
        <w:t xml:space="preserve">https://mvd.gov.by/uploads/pages/508/bc88db4b2a60b2a8dd019ee0f55521353cf6d0fb.zip </w:t>
      </w:r>
      <w:r>
        <w:t>- Дата доступа: 05.05.2023</w:t>
      </w:r>
    </w:p>
    <w:p w14:paraId="49683F35" w14:textId="77777777" w:rsidR="00CA1D19" w:rsidRDefault="00CA1D19" w:rsidP="00CA1D19">
      <w:pPr>
        <w:pStyle w:val="a3"/>
        <w:shd w:val="clear" w:color="auto" w:fill="FFFFFF"/>
        <w:spacing w:before="0" w:beforeAutospacing="0" w:after="0" w:afterAutospacing="0"/>
        <w:ind w:firstLine="567"/>
        <w:jc w:val="both"/>
      </w:pPr>
      <w:r>
        <w:t>2.</w:t>
      </w:r>
      <w:r w:rsidRPr="00D761FC">
        <w:t xml:space="preserve"> Сведения о трудящихся - мигрантах въехавших на работу  в Республику Беларусь и выехавших на работу за границу в январе-декабре 20</w:t>
      </w:r>
      <w:r>
        <w:t>18</w:t>
      </w:r>
      <w:r w:rsidRPr="00D761FC">
        <w:t xml:space="preserve"> года</w:t>
      </w:r>
      <w:r>
        <w:t xml:space="preserve"> </w:t>
      </w:r>
      <w:r w:rsidRPr="00D761FC">
        <w:t>[</w:t>
      </w:r>
      <w:r>
        <w:t>Электронный ресурс</w:t>
      </w:r>
      <w:r w:rsidRPr="00D761FC">
        <w:t>]</w:t>
      </w:r>
      <w:r>
        <w:t xml:space="preserve"> / Министерство внутренних дел Республики Беларусь. – Режим доступа: </w:t>
      </w:r>
      <w:r w:rsidRPr="009C6D4B">
        <w:t xml:space="preserve">https://mvd.gov.by/uploads/pages/508/68cfee544aa0553fe4ceb2ece41249cee8f09eb5.zip </w:t>
      </w:r>
      <w:r>
        <w:t>- Дата доступа: 05.05.2023</w:t>
      </w:r>
    </w:p>
    <w:p w14:paraId="3F4DB4C3" w14:textId="77777777" w:rsidR="00CA1D19" w:rsidRDefault="00CA1D19" w:rsidP="00CA1D19">
      <w:pPr>
        <w:pStyle w:val="a3"/>
        <w:shd w:val="clear" w:color="auto" w:fill="FFFFFF"/>
        <w:spacing w:before="0" w:beforeAutospacing="0" w:after="0" w:afterAutospacing="0"/>
        <w:ind w:firstLine="567"/>
        <w:jc w:val="both"/>
      </w:pPr>
      <w:r>
        <w:lastRenderedPageBreak/>
        <w:t>3.</w:t>
      </w:r>
      <w:r w:rsidRPr="00D761FC">
        <w:t xml:space="preserve"> Сведения о трудящихся - мигрантах въехавших на работу  в Республику Беларусь и выехавших на работу за границу в январе-декабре 20</w:t>
      </w:r>
      <w:r>
        <w:t>19</w:t>
      </w:r>
      <w:r w:rsidRPr="00D761FC">
        <w:t xml:space="preserve"> года</w:t>
      </w:r>
      <w:r>
        <w:t xml:space="preserve"> </w:t>
      </w:r>
      <w:r w:rsidRPr="00D761FC">
        <w:t>[</w:t>
      </w:r>
      <w:r>
        <w:t>Электронный ресурс</w:t>
      </w:r>
      <w:r w:rsidRPr="00D761FC">
        <w:t>]</w:t>
      </w:r>
      <w:r>
        <w:t xml:space="preserve"> / Министерство внутренних дел Республики Беларусь. – Режим доступа: </w:t>
      </w:r>
      <w:r w:rsidRPr="009C6D4B">
        <w:t xml:space="preserve">https://mvd.gov.by/uploads/pages/508/d0b0d032964dba416b4a1bd9828188d034f0b51a.zip </w:t>
      </w:r>
      <w:r>
        <w:t>- Дата доступа: 05.05.2023</w:t>
      </w:r>
    </w:p>
    <w:p w14:paraId="231C74E2" w14:textId="77777777" w:rsidR="00CA1D19" w:rsidRDefault="00CA1D19" w:rsidP="00CA1D19">
      <w:pPr>
        <w:pStyle w:val="a3"/>
        <w:shd w:val="clear" w:color="auto" w:fill="FFFFFF"/>
        <w:spacing w:before="0" w:beforeAutospacing="0" w:after="0" w:afterAutospacing="0"/>
        <w:ind w:firstLine="567"/>
        <w:jc w:val="both"/>
      </w:pPr>
      <w:r>
        <w:t>4.</w:t>
      </w:r>
      <w:r w:rsidRPr="00D761FC">
        <w:t xml:space="preserve"> Сведения о трудящихся - мигрантах въехавших на работу  в Республику Беларусь и выехавших на работу за границу в январе-декабре 202</w:t>
      </w:r>
      <w:r>
        <w:t>0</w:t>
      </w:r>
      <w:r w:rsidRPr="00D761FC">
        <w:t xml:space="preserve"> года</w:t>
      </w:r>
      <w:r>
        <w:t xml:space="preserve"> </w:t>
      </w:r>
      <w:r w:rsidRPr="00D761FC">
        <w:t>[</w:t>
      </w:r>
      <w:r>
        <w:t>Электронный ресурс</w:t>
      </w:r>
      <w:r w:rsidRPr="00D761FC">
        <w:t>]</w:t>
      </w:r>
      <w:r>
        <w:t xml:space="preserve"> / Министерство внутренних дел Республики Беларусь. – Режим доступа:</w:t>
      </w:r>
      <w:r w:rsidRPr="009C6D4B">
        <w:t xml:space="preserve"> https://mvd.gov.by/uploads/pages/508/6c1c07b2785df36d0f00148a3110b0c3c025d64c.rar</w:t>
      </w:r>
      <w:r>
        <w:t xml:space="preserve"> - Дата доступа: 05.05.2023</w:t>
      </w:r>
    </w:p>
    <w:p w14:paraId="15BCC5FD" w14:textId="77777777" w:rsidR="00CA1D19" w:rsidRDefault="00CA1D19" w:rsidP="00CA1D19">
      <w:pPr>
        <w:pStyle w:val="a3"/>
        <w:shd w:val="clear" w:color="auto" w:fill="FFFFFF"/>
        <w:spacing w:before="0" w:beforeAutospacing="0" w:after="0" w:afterAutospacing="0"/>
        <w:ind w:firstLine="567"/>
        <w:jc w:val="both"/>
      </w:pPr>
      <w:r>
        <w:t>5.</w:t>
      </w:r>
      <w:r w:rsidRPr="00D761FC">
        <w:t xml:space="preserve"> Сведения о трудящихся - мигрантах въехавших на работу  в Республику Беларусь и выехавших на работу за границу в январе-декабре 202</w:t>
      </w:r>
      <w:r>
        <w:t>1</w:t>
      </w:r>
      <w:r w:rsidRPr="00D761FC">
        <w:t xml:space="preserve"> года</w:t>
      </w:r>
      <w:r>
        <w:t xml:space="preserve"> </w:t>
      </w:r>
      <w:r w:rsidRPr="00D761FC">
        <w:t>[</w:t>
      </w:r>
      <w:r>
        <w:t>Электронный ресурс</w:t>
      </w:r>
      <w:r w:rsidRPr="00D761FC">
        <w:t>]</w:t>
      </w:r>
      <w:r>
        <w:t xml:space="preserve"> / Министерство внутренних дел Республики Беларусь. – Режим доступа: </w:t>
      </w:r>
      <w:r w:rsidRPr="009C6D4B">
        <w:t>https://mvd.gov.by/uploads/pages/508/176589027f07f6923fcf34ab7785255e2c580e61.rar</w:t>
      </w:r>
      <w:r>
        <w:t xml:space="preserve"> - Дата доступа: 05.05.2023</w:t>
      </w:r>
    </w:p>
    <w:p w14:paraId="7E3A0767" w14:textId="09A85236" w:rsidR="00A32FD3" w:rsidRDefault="00CA1D19" w:rsidP="00CA1D19">
      <w:pPr>
        <w:pStyle w:val="a3"/>
        <w:shd w:val="clear" w:color="auto" w:fill="FFFFFF"/>
        <w:spacing w:before="0" w:beforeAutospacing="0" w:after="0" w:afterAutospacing="0"/>
        <w:ind w:firstLine="567"/>
        <w:jc w:val="both"/>
      </w:pPr>
      <w:r>
        <w:t>6.</w:t>
      </w:r>
      <w:r w:rsidRPr="00D761FC">
        <w:t xml:space="preserve"> Сведения о трудящихся - мигрантах въехавших на работу  в Республику Беларусь и выехавших на работу за границу в январе-декабре 2022 года</w:t>
      </w:r>
      <w:r>
        <w:t xml:space="preserve"> </w:t>
      </w:r>
      <w:r w:rsidRPr="00D761FC">
        <w:t>[</w:t>
      </w:r>
      <w:r>
        <w:t>Электронный ресурс</w:t>
      </w:r>
      <w:r w:rsidRPr="00D761FC">
        <w:t>]</w:t>
      </w:r>
      <w:r>
        <w:t xml:space="preserve"> / Министерство внутренних дел Республики Беларусь. – Режим доступа: </w:t>
      </w:r>
      <w:r w:rsidRPr="009C6D4B">
        <w:t>https://mvd.gov.by/uploads/pages/508/7dbff204818e33febafded79944b48bcde1098be.rar</w:t>
      </w:r>
      <w:r>
        <w:t xml:space="preserve"> - Дата доступа: 05.05.2023</w:t>
      </w:r>
    </w:p>
    <w:sectPr w:rsidR="00A32FD3" w:rsidSect="00CA1D19">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E454FF" w14:textId="77777777" w:rsidR="00370CF3" w:rsidRDefault="00370CF3" w:rsidP="00200E9A">
      <w:pPr>
        <w:spacing w:after="0" w:line="240" w:lineRule="auto"/>
      </w:pPr>
      <w:r>
        <w:separator/>
      </w:r>
    </w:p>
  </w:endnote>
  <w:endnote w:type="continuationSeparator" w:id="0">
    <w:p w14:paraId="5357B8F4" w14:textId="77777777" w:rsidR="00370CF3" w:rsidRDefault="00370CF3" w:rsidP="00200E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B5F9C9" w14:textId="77777777" w:rsidR="00370CF3" w:rsidRDefault="00370CF3" w:rsidP="00200E9A">
      <w:pPr>
        <w:spacing w:after="0" w:line="240" w:lineRule="auto"/>
      </w:pPr>
      <w:r>
        <w:separator/>
      </w:r>
    </w:p>
  </w:footnote>
  <w:footnote w:type="continuationSeparator" w:id="0">
    <w:p w14:paraId="6A6B7355" w14:textId="77777777" w:rsidR="00370CF3" w:rsidRDefault="00370CF3" w:rsidP="00200E9A">
      <w:pPr>
        <w:spacing w:after="0" w:line="240" w:lineRule="auto"/>
      </w:pPr>
      <w:r>
        <w:continuationSeparator/>
      </w:r>
    </w:p>
  </w:footnote>
  <w:footnote w:id="1">
    <w:p w14:paraId="17E25333" w14:textId="4BA59A89" w:rsidR="00CA1D19" w:rsidRPr="00CA1D19" w:rsidRDefault="00CA1D19" w:rsidP="00626ECA">
      <w:pPr>
        <w:pStyle w:val="ac"/>
        <w:jc w:val="both"/>
        <w:rPr>
          <w:rFonts w:ascii="Times New Roman" w:hAnsi="Times New Roman" w:cs="Times New Roman"/>
        </w:rPr>
      </w:pPr>
      <w:r>
        <w:rPr>
          <w:rStyle w:val="ae"/>
        </w:rPr>
        <w:footnoteRef/>
      </w:r>
      <w:r>
        <w:t xml:space="preserve"> </w:t>
      </w:r>
      <w:r>
        <w:rPr>
          <w:rFonts w:ascii="Times New Roman" w:hAnsi="Times New Roman" w:cs="Times New Roman"/>
        </w:rPr>
        <w:t xml:space="preserve">Артюхин Михаил Иванович, кандидат философских наук, доцент, руководитель Центра мониторинга миграции </w:t>
      </w:r>
      <w:r w:rsidR="00626ECA">
        <w:rPr>
          <w:rFonts w:ascii="Times New Roman" w:hAnsi="Times New Roman" w:cs="Times New Roman"/>
        </w:rPr>
        <w:t xml:space="preserve">научных и научно-педагогических кадров </w:t>
      </w:r>
      <w:r>
        <w:rPr>
          <w:rFonts w:ascii="Times New Roman" w:hAnsi="Times New Roman" w:cs="Times New Roman"/>
        </w:rPr>
        <w:t>Института социологии НАН Беларуси (</w:t>
      </w:r>
      <w:r w:rsidR="00626ECA">
        <w:rPr>
          <w:rFonts w:ascii="Times New Roman" w:hAnsi="Times New Roman" w:cs="Times New Roman"/>
        </w:rPr>
        <w:t xml:space="preserve">220072, Республика Беларусь, г. Минск, ул. Сурганова, д.1, корп. 2; </w:t>
      </w:r>
      <w:r w:rsidR="00626ECA">
        <w:rPr>
          <w:rFonts w:ascii="Times New Roman" w:hAnsi="Times New Roman" w:cs="Times New Roman"/>
          <w:lang w:val="en-US"/>
        </w:rPr>
        <w:t>e</w:t>
      </w:r>
      <w:r w:rsidR="00626ECA" w:rsidRPr="0095379C">
        <w:rPr>
          <w:rFonts w:ascii="Times New Roman" w:hAnsi="Times New Roman" w:cs="Times New Roman"/>
        </w:rPr>
        <w:t>-</w:t>
      </w:r>
      <w:r w:rsidR="00626ECA">
        <w:rPr>
          <w:rFonts w:ascii="Times New Roman" w:hAnsi="Times New Roman" w:cs="Times New Roman"/>
          <w:lang w:val="en-US"/>
        </w:rPr>
        <w:t>mail</w:t>
      </w:r>
      <w:r w:rsidR="00626ECA" w:rsidRPr="0095379C">
        <w:rPr>
          <w:rFonts w:ascii="Times New Roman" w:hAnsi="Times New Roman" w:cs="Times New Roman"/>
        </w:rPr>
        <w:t xml:space="preserve">: </w:t>
      </w:r>
      <w:r w:rsidR="00626ECA">
        <w:rPr>
          <w:rFonts w:ascii="Times New Roman" w:hAnsi="Times New Roman" w:cs="Times New Roman"/>
          <w:lang w:val="en-US"/>
        </w:rPr>
        <w:t>art</w:t>
      </w:r>
      <w:r w:rsidR="00626ECA" w:rsidRPr="0095379C">
        <w:rPr>
          <w:rFonts w:ascii="Times New Roman" w:hAnsi="Times New Roman" w:cs="Times New Roman"/>
        </w:rPr>
        <w:t>47@</w:t>
      </w:r>
      <w:r w:rsidR="00626ECA">
        <w:rPr>
          <w:rFonts w:ascii="Times New Roman" w:hAnsi="Times New Roman" w:cs="Times New Roman"/>
          <w:lang w:val="en-US"/>
        </w:rPr>
        <w:t>mail</w:t>
      </w:r>
      <w:r w:rsidR="00626ECA" w:rsidRPr="0095379C">
        <w:rPr>
          <w:rFonts w:ascii="Times New Roman" w:hAnsi="Times New Roman" w:cs="Times New Roman"/>
        </w:rPr>
        <w:t>.</w:t>
      </w:r>
      <w:r w:rsidR="00626ECA">
        <w:rPr>
          <w:rFonts w:ascii="Times New Roman" w:hAnsi="Times New Roman" w:cs="Times New Roman"/>
          <w:lang w:val="en-US"/>
        </w:rPr>
        <w:t>ru</w:t>
      </w:r>
      <w:r>
        <w:rPr>
          <w:rFonts w:ascii="Times New Roman" w:hAnsi="Times New Roman" w:cs="Times New Roman"/>
        </w:rPr>
        <w:t>)</w:t>
      </w:r>
    </w:p>
  </w:footnote>
  <w:footnote w:id="2">
    <w:p w14:paraId="78E01BB4" w14:textId="6A8D757B" w:rsidR="00626ECA" w:rsidRPr="00626ECA" w:rsidRDefault="00626ECA" w:rsidP="00626ECA">
      <w:pPr>
        <w:pStyle w:val="ac"/>
        <w:jc w:val="both"/>
        <w:rPr>
          <w:lang w:val="en-US"/>
        </w:rPr>
      </w:pPr>
      <w:r>
        <w:rPr>
          <w:rStyle w:val="ae"/>
        </w:rPr>
        <w:footnoteRef/>
      </w:r>
      <w:r>
        <w:t xml:space="preserve"> </w:t>
      </w:r>
      <w:proofErr w:type="spellStart"/>
      <w:r>
        <w:rPr>
          <w:rFonts w:ascii="Times New Roman" w:hAnsi="Times New Roman" w:cs="Times New Roman"/>
        </w:rPr>
        <w:t>Пушкевич</w:t>
      </w:r>
      <w:proofErr w:type="spellEnd"/>
      <w:r>
        <w:rPr>
          <w:rFonts w:ascii="Times New Roman" w:hAnsi="Times New Roman" w:cs="Times New Roman"/>
        </w:rPr>
        <w:t xml:space="preserve"> Сергей Александрович, научный сотрудник Центра мониторинга миграции научных и научно-педагогических кадров Института социологии НАН Беларуси (220072, Республика Беларусь, г. Минск, ул. Сурганова, д.1, корп. 2; </w:t>
      </w:r>
      <w:r>
        <w:rPr>
          <w:rFonts w:ascii="Times New Roman" w:hAnsi="Times New Roman" w:cs="Times New Roman"/>
          <w:lang w:val="en-US"/>
        </w:rPr>
        <w:t>e-mail: pushkevich@gmail.com)</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3758037"/>
      <w:docPartObj>
        <w:docPartGallery w:val="Page Numbers (Top of Page)"/>
        <w:docPartUnique/>
      </w:docPartObj>
    </w:sdtPr>
    <w:sdtContent>
      <w:p w14:paraId="59C746F3" w14:textId="3C623FB3" w:rsidR="00200E9A" w:rsidRDefault="00200E9A" w:rsidP="00CA1D19">
        <w:pPr>
          <w:pStyle w:val="a6"/>
          <w:jc w:val="right"/>
        </w:pPr>
        <w:r>
          <w:fldChar w:fldCharType="begin"/>
        </w:r>
        <w:r>
          <w:instrText>PAGE   \* MERGEFORMAT</w:instrText>
        </w:r>
        <w:r>
          <w:fldChar w:fldCharType="separate"/>
        </w:r>
        <w:r w:rsidR="00D121AC">
          <w:rPr>
            <w:noProof/>
          </w:rPr>
          <w:t>1</w:t>
        </w:r>
        <w:r>
          <w:fldChar w:fldCharType="end"/>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0F07"/>
    <w:rsid w:val="001571EC"/>
    <w:rsid w:val="00164518"/>
    <w:rsid w:val="00200E9A"/>
    <w:rsid w:val="00370CF3"/>
    <w:rsid w:val="004F18DE"/>
    <w:rsid w:val="004F45CA"/>
    <w:rsid w:val="00626ECA"/>
    <w:rsid w:val="00645E3E"/>
    <w:rsid w:val="00860F07"/>
    <w:rsid w:val="0095379C"/>
    <w:rsid w:val="009C1ACF"/>
    <w:rsid w:val="00A32FD3"/>
    <w:rsid w:val="00CA1D19"/>
    <w:rsid w:val="00CD6CFA"/>
    <w:rsid w:val="00D121AC"/>
    <w:rsid w:val="00D22EA0"/>
    <w:rsid w:val="00D52C29"/>
    <w:rsid w:val="00D63F59"/>
    <w:rsid w:val="00DF0466"/>
    <w:rsid w:val="00E01243"/>
    <w:rsid w:val="00EB3907"/>
    <w:rsid w:val="00F61EE8"/>
    <w:rsid w:val="00FA127F"/>
    <w:rsid w:val="00FC482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5DC00D"/>
  <w15:docId w15:val="{9EC9D9A0-FB5F-4FF1-B1F3-73D1138117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60F0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normalmrcssattr">
    <w:name w:val="msonormal_mr_css_attr"/>
    <w:basedOn w:val="a"/>
    <w:uiPriority w:val="99"/>
    <w:qFormat/>
    <w:rsid w:val="00860F0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aliases w:val="Обычный (веб) Знак1,Обычный (веб) Знак Знак,Обычный (веб) Знак1 Знак Знак,Обычный (веб) Знак Знак Знак Знак Знак,Обычный (веб) Знак,Обычный (веб) Знак1 Знак,Обычный (веб) Знак Знак Знак,Обычный (Web),webb,Îáû÷íûé (Web), webb"/>
    <w:basedOn w:val="a"/>
    <w:link w:val="a4"/>
    <w:uiPriority w:val="99"/>
    <w:unhideWhenUsed/>
    <w:qFormat/>
    <w:rsid w:val="00860F07"/>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5">
    <w:name w:val="Table Grid"/>
    <w:basedOn w:val="a1"/>
    <w:uiPriority w:val="59"/>
    <w:rsid w:val="00860F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Обычный (Интернет) Знак"/>
    <w:aliases w:val="Обычный (веб) Знак1 Знак1,Обычный (веб) Знак Знак Знак1,Обычный (веб) Знак1 Знак Знак Знак,Обычный (веб) Знак Знак Знак Знак Знак Знак,Обычный (веб) Знак Знак1,Обычный (веб) Знак1 Знак Знак1,Обычный (веб) Знак Знак Знак Знак"/>
    <w:link w:val="a3"/>
    <w:uiPriority w:val="99"/>
    <w:locked/>
    <w:rsid w:val="00860F07"/>
    <w:rPr>
      <w:rFonts w:ascii="Times New Roman" w:eastAsia="Times New Roman" w:hAnsi="Times New Roman" w:cs="Times New Roman"/>
      <w:sz w:val="24"/>
      <w:szCs w:val="24"/>
      <w:lang w:val="ru-RU" w:eastAsia="ru-RU"/>
    </w:rPr>
  </w:style>
  <w:style w:type="paragraph" w:styleId="a6">
    <w:name w:val="header"/>
    <w:basedOn w:val="a"/>
    <w:link w:val="a7"/>
    <w:uiPriority w:val="99"/>
    <w:unhideWhenUsed/>
    <w:rsid w:val="00200E9A"/>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200E9A"/>
    <w:rPr>
      <w:lang w:val="ru-RU"/>
    </w:rPr>
  </w:style>
  <w:style w:type="paragraph" w:styleId="a8">
    <w:name w:val="footer"/>
    <w:basedOn w:val="a"/>
    <w:link w:val="a9"/>
    <w:uiPriority w:val="99"/>
    <w:unhideWhenUsed/>
    <w:rsid w:val="00200E9A"/>
    <w:pPr>
      <w:tabs>
        <w:tab w:val="center" w:pos="4677"/>
        <w:tab w:val="right" w:pos="9355"/>
      </w:tabs>
      <w:spacing w:after="0" w:line="240" w:lineRule="auto"/>
    </w:pPr>
  </w:style>
  <w:style w:type="character" w:customStyle="1" w:styleId="a9">
    <w:name w:val="Нижний колонтитул Знак"/>
    <w:basedOn w:val="a0"/>
    <w:link w:val="a8"/>
    <w:uiPriority w:val="99"/>
    <w:rsid w:val="00200E9A"/>
    <w:rPr>
      <w:lang w:val="ru-RU"/>
    </w:rPr>
  </w:style>
  <w:style w:type="paragraph" w:styleId="aa">
    <w:name w:val="Balloon Text"/>
    <w:basedOn w:val="a"/>
    <w:link w:val="ab"/>
    <w:uiPriority w:val="99"/>
    <w:semiHidden/>
    <w:unhideWhenUsed/>
    <w:rsid w:val="00CA1D19"/>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CA1D19"/>
    <w:rPr>
      <w:rFonts w:ascii="Tahoma" w:hAnsi="Tahoma" w:cs="Tahoma"/>
      <w:sz w:val="16"/>
      <w:szCs w:val="16"/>
    </w:rPr>
  </w:style>
  <w:style w:type="paragraph" w:styleId="ac">
    <w:name w:val="footnote text"/>
    <w:basedOn w:val="a"/>
    <w:link w:val="ad"/>
    <w:uiPriority w:val="99"/>
    <w:semiHidden/>
    <w:unhideWhenUsed/>
    <w:rsid w:val="00CA1D19"/>
    <w:pPr>
      <w:spacing w:after="0" w:line="240" w:lineRule="auto"/>
    </w:pPr>
    <w:rPr>
      <w:sz w:val="20"/>
      <w:szCs w:val="20"/>
    </w:rPr>
  </w:style>
  <w:style w:type="character" w:customStyle="1" w:styleId="ad">
    <w:name w:val="Текст сноски Знак"/>
    <w:basedOn w:val="a0"/>
    <w:link w:val="ac"/>
    <w:uiPriority w:val="99"/>
    <w:semiHidden/>
    <w:rsid w:val="00CA1D19"/>
    <w:rPr>
      <w:sz w:val="20"/>
      <w:szCs w:val="20"/>
    </w:rPr>
  </w:style>
  <w:style w:type="character" w:styleId="ae">
    <w:name w:val="footnote reference"/>
    <w:basedOn w:val="a0"/>
    <w:uiPriority w:val="99"/>
    <w:semiHidden/>
    <w:unhideWhenUsed/>
    <w:rsid w:val="00CA1D1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2257023">
      <w:bodyDiv w:val="1"/>
      <w:marLeft w:val="0"/>
      <w:marRight w:val="0"/>
      <w:marTop w:val="0"/>
      <w:marBottom w:val="0"/>
      <w:divBdr>
        <w:top w:val="none" w:sz="0" w:space="0" w:color="auto"/>
        <w:left w:val="none" w:sz="0" w:space="0" w:color="auto"/>
        <w:bottom w:val="none" w:sz="0" w:space="0" w:color="auto"/>
        <w:right w:val="none" w:sz="0" w:space="0" w:color="auto"/>
      </w:divBdr>
    </w:div>
    <w:div w:id="1862162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4428441236512102"/>
          <c:y val="3.6121109861267341E-2"/>
          <c:w val="0.63430355059784194"/>
          <c:h val="0.77238407699037626"/>
        </c:manualLayout>
      </c:layout>
      <c:lineChart>
        <c:grouping val="standard"/>
        <c:varyColors val="0"/>
        <c:ser>
          <c:idx val="0"/>
          <c:order val="0"/>
          <c:tx>
            <c:strRef>
              <c:f>Лист1!$B$1</c:f>
              <c:strCache>
                <c:ptCount val="1"/>
                <c:pt idx="0">
                  <c:v>Въехавшие</c:v>
                </c:pt>
              </c:strCache>
            </c:strRef>
          </c:tx>
          <c:dLbls>
            <c:spPr>
              <a:noFill/>
              <a:ln>
                <a:noFill/>
              </a:ln>
              <a:effectLst/>
            </c:spPr>
            <c:txPr>
              <a:bodyPr wrap="square" lIns="38100" tIns="19050" rIns="38100" bIns="19050" anchor="ctr">
                <a:spAutoFit/>
              </a:bodyPr>
              <a:lstStyle/>
              <a:p>
                <a:pPr>
                  <a:defRPr baseline="0">
                    <a:latin typeface="Times New Roman" panose="02020603050405020304" pitchFamily="18" charset="0"/>
                  </a:defRPr>
                </a:pPr>
                <a:endParaRPr lang="ru-BY"/>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2017 г.</c:v>
                </c:pt>
                <c:pt idx="1">
                  <c:v>2018 г.</c:v>
                </c:pt>
                <c:pt idx="2">
                  <c:v>2019 г.</c:v>
                </c:pt>
                <c:pt idx="3">
                  <c:v>2020 г.</c:v>
                </c:pt>
                <c:pt idx="4">
                  <c:v>2021 г.</c:v>
                </c:pt>
                <c:pt idx="5">
                  <c:v>2022 г.</c:v>
                </c:pt>
              </c:strCache>
            </c:strRef>
          </c:cat>
          <c:val>
            <c:numRef>
              <c:f>Лист1!$B$2:$B$7</c:f>
              <c:numCache>
                <c:formatCode>General</c:formatCode>
                <c:ptCount val="6"/>
                <c:pt idx="0">
                  <c:v>15844</c:v>
                </c:pt>
                <c:pt idx="1">
                  <c:v>16172</c:v>
                </c:pt>
                <c:pt idx="2">
                  <c:v>20862</c:v>
                </c:pt>
                <c:pt idx="3">
                  <c:v>16368</c:v>
                </c:pt>
                <c:pt idx="4">
                  <c:v>13705</c:v>
                </c:pt>
                <c:pt idx="5">
                  <c:v>11071</c:v>
                </c:pt>
              </c:numCache>
            </c:numRef>
          </c:val>
          <c:smooth val="0"/>
          <c:extLst>
            <c:ext xmlns:c16="http://schemas.microsoft.com/office/drawing/2014/chart" uri="{C3380CC4-5D6E-409C-BE32-E72D297353CC}">
              <c16:uniqueId val="{00000000-CD9B-4E0F-BD75-0E42A4828C49}"/>
            </c:ext>
          </c:extLst>
        </c:ser>
        <c:ser>
          <c:idx val="1"/>
          <c:order val="1"/>
          <c:tx>
            <c:strRef>
              <c:f>Лист1!$C$1</c:f>
              <c:strCache>
                <c:ptCount val="1"/>
                <c:pt idx="0">
                  <c:v>Выехавшие</c:v>
                </c:pt>
              </c:strCache>
            </c:strRef>
          </c:tx>
          <c:dLbls>
            <c:spPr>
              <a:noFill/>
              <a:ln>
                <a:noFill/>
              </a:ln>
              <a:effectLst/>
            </c:spPr>
            <c:txPr>
              <a:bodyPr wrap="square" lIns="38100" tIns="19050" rIns="38100" bIns="19050" anchor="ctr">
                <a:spAutoFit/>
              </a:bodyPr>
              <a:lstStyle/>
              <a:p>
                <a:pPr>
                  <a:defRPr baseline="0">
                    <a:latin typeface="Times New Roman" panose="02020603050405020304" pitchFamily="18" charset="0"/>
                  </a:defRPr>
                </a:pPr>
                <a:endParaRPr lang="ru-BY"/>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2017 г.</c:v>
                </c:pt>
                <c:pt idx="1">
                  <c:v>2018 г.</c:v>
                </c:pt>
                <c:pt idx="2">
                  <c:v>2019 г.</c:v>
                </c:pt>
                <c:pt idx="3">
                  <c:v>2020 г.</c:v>
                </c:pt>
                <c:pt idx="4">
                  <c:v>2021 г.</c:v>
                </c:pt>
                <c:pt idx="5">
                  <c:v>2022 г.</c:v>
                </c:pt>
              </c:strCache>
            </c:strRef>
          </c:cat>
          <c:val>
            <c:numRef>
              <c:f>Лист1!$C$2:$C$7</c:f>
              <c:numCache>
                <c:formatCode>General</c:formatCode>
                <c:ptCount val="6"/>
                <c:pt idx="0">
                  <c:v>10703</c:v>
                </c:pt>
                <c:pt idx="1">
                  <c:v>11093</c:v>
                </c:pt>
                <c:pt idx="2">
                  <c:v>9061</c:v>
                </c:pt>
                <c:pt idx="3">
                  <c:v>4723</c:v>
                </c:pt>
                <c:pt idx="4">
                  <c:v>5732</c:v>
                </c:pt>
                <c:pt idx="5">
                  <c:v>5590</c:v>
                </c:pt>
              </c:numCache>
            </c:numRef>
          </c:val>
          <c:smooth val="0"/>
          <c:extLst>
            <c:ext xmlns:c16="http://schemas.microsoft.com/office/drawing/2014/chart" uri="{C3380CC4-5D6E-409C-BE32-E72D297353CC}">
              <c16:uniqueId val="{00000001-CD9B-4E0F-BD75-0E42A4828C49}"/>
            </c:ext>
          </c:extLst>
        </c:ser>
        <c:dLbls>
          <c:showLegendKey val="0"/>
          <c:showVal val="0"/>
          <c:showCatName val="0"/>
          <c:showSerName val="0"/>
          <c:showPercent val="0"/>
          <c:showBubbleSize val="0"/>
        </c:dLbls>
        <c:marker val="1"/>
        <c:smooth val="0"/>
        <c:axId val="124863616"/>
        <c:axId val="124865152"/>
      </c:lineChart>
      <c:catAx>
        <c:axId val="124863616"/>
        <c:scaling>
          <c:orientation val="minMax"/>
        </c:scaling>
        <c:delete val="0"/>
        <c:axPos val="b"/>
        <c:numFmt formatCode="General" sourceLinked="1"/>
        <c:majorTickMark val="out"/>
        <c:minorTickMark val="none"/>
        <c:tickLblPos val="nextTo"/>
        <c:txPr>
          <a:bodyPr/>
          <a:lstStyle/>
          <a:p>
            <a:pPr>
              <a:defRPr baseline="0">
                <a:latin typeface="Times New Roman" panose="02020603050405020304" pitchFamily="18" charset="0"/>
              </a:defRPr>
            </a:pPr>
            <a:endParaRPr lang="ru-BY"/>
          </a:p>
        </c:txPr>
        <c:crossAx val="124865152"/>
        <c:crosses val="autoZero"/>
        <c:auto val="1"/>
        <c:lblAlgn val="ctr"/>
        <c:lblOffset val="100"/>
        <c:noMultiLvlLbl val="0"/>
      </c:catAx>
      <c:valAx>
        <c:axId val="124865152"/>
        <c:scaling>
          <c:orientation val="minMax"/>
        </c:scaling>
        <c:delete val="0"/>
        <c:axPos val="l"/>
        <c:majorGridlines/>
        <c:title>
          <c:tx>
            <c:rich>
              <a:bodyPr rot="-5400000" vert="horz"/>
              <a:lstStyle/>
              <a:p>
                <a:pPr>
                  <a:defRPr baseline="0">
                    <a:latin typeface="Times New Roman" panose="02020603050405020304" pitchFamily="18" charset="0"/>
                  </a:defRPr>
                </a:pPr>
                <a:r>
                  <a:rPr lang="ru-RU" baseline="0">
                    <a:latin typeface="Times New Roman" panose="02020603050405020304" pitchFamily="18" charset="0"/>
                  </a:rPr>
                  <a:t>Человек</a:t>
                </a:r>
              </a:p>
            </c:rich>
          </c:tx>
          <c:overlay val="0"/>
        </c:title>
        <c:numFmt formatCode="General" sourceLinked="1"/>
        <c:majorTickMark val="out"/>
        <c:minorTickMark val="none"/>
        <c:tickLblPos val="nextTo"/>
        <c:txPr>
          <a:bodyPr/>
          <a:lstStyle/>
          <a:p>
            <a:pPr>
              <a:defRPr baseline="0">
                <a:latin typeface="Times New Roman" panose="02020603050405020304" pitchFamily="18" charset="0"/>
              </a:defRPr>
            </a:pPr>
            <a:endParaRPr lang="ru-BY"/>
          </a:p>
        </c:txPr>
        <c:crossAx val="124863616"/>
        <c:crosses val="autoZero"/>
        <c:crossBetween val="between"/>
      </c:valAx>
    </c:plotArea>
    <c:legend>
      <c:legendPos val="r"/>
      <c:overlay val="0"/>
      <c:txPr>
        <a:bodyPr/>
        <a:lstStyle/>
        <a:p>
          <a:pPr>
            <a:defRPr baseline="0">
              <a:latin typeface="Times New Roman" panose="02020603050405020304" pitchFamily="18" charset="0"/>
            </a:defRPr>
          </a:pPr>
          <a:endParaRPr lang="ru-BY"/>
        </a:p>
      </c:txPr>
    </c:legend>
    <c:plotVisOnly val="1"/>
    <c:dispBlanksAs val="gap"/>
    <c:showDLblsOverMax val="0"/>
  </c:chart>
  <c:spPr>
    <a:ln>
      <a:noFill/>
    </a:ln>
  </c:spPr>
  <c:txPr>
    <a:bodyPr/>
    <a:lstStyle/>
    <a:p>
      <a:pPr>
        <a:defRPr b="0" i="1">
          <a:latin typeface="Arial" panose="020B0604020202020204" pitchFamily="34" charset="0"/>
          <a:cs typeface="Arial" panose="020B0604020202020204" pitchFamily="34" charset="0"/>
        </a:defRPr>
      </a:pPr>
      <a:endParaRPr lang="ru-BY"/>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3"/>
    </mc:Choice>
    <mc:Fallback>
      <c:style val="33"/>
    </mc:Fallback>
  </mc:AlternateContent>
  <c:chart>
    <c:autoTitleDeleted val="0"/>
    <c:plotArea>
      <c:layout/>
      <c:barChart>
        <c:barDir val="col"/>
        <c:grouping val="stacked"/>
        <c:varyColors val="0"/>
        <c:ser>
          <c:idx val="0"/>
          <c:order val="0"/>
          <c:tx>
            <c:strRef>
              <c:f>Лист1!$A$2</c:f>
              <c:strCache>
                <c:ptCount val="1"/>
                <c:pt idx="0">
                  <c:v>Россия</c:v>
                </c:pt>
              </c:strCache>
            </c:strRef>
          </c:tx>
          <c:invertIfNegative val="0"/>
          <c:cat>
            <c:strRef>
              <c:f>Лист1!$B$1:$G$1</c:f>
              <c:strCache>
                <c:ptCount val="6"/>
                <c:pt idx="0">
                  <c:v>2017 г.</c:v>
                </c:pt>
                <c:pt idx="1">
                  <c:v>2018 г.</c:v>
                </c:pt>
                <c:pt idx="2">
                  <c:v>2019 г.</c:v>
                </c:pt>
                <c:pt idx="3">
                  <c:v>2020 г.</c:v>
                </c:pt>
                <c:pt idx="4">
                  <c:v>2021 г.</c:v>
                </c:pt>
                <c:pt idx="5">
                  <c:v>2022 г.</c:v>
                </c:pt>
              </c:strCache>
            </c:strRef>
          </c:cat>
          <c:val>
            <c:numRef>
              <c:f>Лист1!$B$2:$G$2</c:f>
              <c:numCache>
                <c:formatCode>General</c:formatCode>
                <c:ptCount val="6"/>
                <c:pt idx="0">
                  <c:v>6160</c:v>
                </c:pt>
                <c:pt idx="1">
                  <c:v>4978</c:v>
                </c:pt>
                <c:pt idx="2">
                  <c:v>4173</c:v>
                </c:pt>
                <c:pt idx="3">
                  <c:v>1452</c:v>
                </c:pt>
                <c:pt idx="4">
                  <c:v>2693</c:v>
                </c:pt>
                <c:pt idx="5">
                  <c:v>1976</c:v>
                </c:pt>
              </c:numCache>
            </c:numRef>
          </c:val>
          <c:extLst>
            <c:ext xmlns:c16="http://schemas.microsoft.com/office/drawing/2014/chart" uri="{C3380CC4-5D6E-409C-BE32-E72D297353CC}">
              <c16:uniqueId val="{00000000-556D-44E4-B570-AF9A6954C66E}"/>
            </c:ext>
          </c:extLst>
        </c:ser>
        <c:ser>
          <c:idx val="1"/>
          <c:order val="1"/>
          <c:tx>
            <c:strRef>
              <c:f>Лист1!$A$3</c:f>
              <c:strCache>
                <c:ptCount val="1"/>
                <c:pt idx="0">
                  <c:v>Китай</c:v>
                </c:pt>
              </c:strCache>
            </c:strRef>
          </c:tx>
          <c:spPr>
            <a:pattFill prst="pct25">
              <a:fgClr>
                <a:schemeClr val="tx1"/>
              </a:fgClr>
              <a:bgClr>
                <a:schemeClr val="bg1"/>
              </a:bgClr>
            </a:pattFill>
          </c:spPr>
          <c:invertIfNegative val="0"/>
          <c:cat>
            <c:strRef>
              <c:f>Лист1!$B$1:$G$1</c:f>
              <c:strCache>
                <c:ptCount val="6"/>
                <c:pt idx="0">
                  <c:v>2017 г.</c:v>
                </c:pt>
                <c:pt idx="1">
                  <c:v>2018 г.</c:v>
                </c:pt>
                <c:pt idx="2">
                  <c:v>2019 г.</c:v>
                </c:pt>
                <c:pt idx="3">
                  <c:v>2020 г.</c:v>
                </c:pt>
                <c:pt idx="4">
                  <c:v>2021 г.</c:v>
                </c:pt>
                <c:pt idx="5">
                  <c:v>2022 г.</c:v>
                </c:pt>
              </c:strCache>
            </c:strRef>
          </c:cat>
          <c:val>
            <c:numRef>
              <c:f>Лист1!$B$3:$G$3</c:f>
              <c:numCache>
                <c:formatCode>General</c:formatCode>
                <c:ptCount val="6"/>
                <c:pt idx="0">
                  <c:v>76</c:v>
                </c:pt>
                <c:pt idx="1">
                  <c:v>97</c:v>
                </c:pt>
                <c:pt idx="2">
                  <c:v>69</c:v>
                </c:pt>
                <c:pt idx="3">
                  <c:v>21</c:v>
                </c:pt>
                <c:pt idx="4">
                  <c:v>33</c:v>
                </c:pt>
                <c:pt idx="5">
                  <c:v>45</c:v>
                </c:pt>
              </c:numCache>
            </c:numRef>
          </c:val>
          <c:extLst>
            <c:ext xmlns:c16="http://schemas.microsoft.com/office/drawing/2014/chart" uri="{C3380CC4-5D6E-409C-BE32-E72D297353CC}">
              <c16:uniqueId val="{00000001-556D-44E4-B570-AF9A6954C66E}"/>
            </c:ext>
          </c:extLst>
        </c:ser>
        <c:ser>
          <c:idx val="2"/>
          <c:order val="2"/>
          <c:tx>
            <c:strRef>
              <c:f>Лист1!$A$4</c:f>
              <c:strCache>
                <c:ptCount val="1"/>
                <c:pt idx="0">
                  <c:v>Литва</c:v>
                </c:pt>
              </c:strCache>
            </c:strRef>
          </c:tx>
          <c:spPr>
            <a:pattFill prst="ltVert">
              <a:fgClr>
                <a:schemeClr val="tx1"/>
              </a:fgClr>
              <a:bgClr>
                <a:schemeClr val="bg1"/>
              </a:bgClr>
            </a:pattFill>
          </c:spPr>
          <c:invertIfNegative val="0"/>
          <c:cat>
            <c:strRef>
              <c:f>Лист1!$B$1:$G$1</c:f>
              <c:strCache>
                <c:ptCount val="6"/>
                <c:pt idx="0">
                  <c:v>2017 г.</c:v>
                </c:pt>
                <c:pt idx="1">
                  <c:v>2018 г.</c:v>
                </c:pt>
                <c:pt idx="2">
                  <c:v>2019 г.</c:v>
                </c:pt>
                <c:pt idx="3">
                  <c:v>2020 г.</c:v>
                </c:pt>
                <c:pt idx="4">
                  <c:v>2021 г.</c:v>
                </c:pt>
                <c:pt idx="5">
                  <c:v>2022 г.</c:v>
                </c:pt>
              </c:strCache>
            </c:strRef>
          </c:cat>
          <c:val>
            <c:numRef>
              <c:f>Лист1!$B$4:$G$4</c:f>
              <c:numCache>
                <c:formatCode>General</c:formatCode>
                <c:ptCount val="6"/>
                <c:pt idx="0">
                  <c:v>410</c:v>
                </c:pt>
                <c:pt idx="1">
                  <c:v>1289</c:v>
                </c:pt>
                <c:pt idx="2">
                  <c:v>1260</c:v>
                </c:pt>
                <c:pt idx="3">
                  <c:v>1685</c:v>
                </c:pt>
                <c:pt idx="4">
                  <c:v>1235</c:v>
                </c:pt>
                <c:pt idx="5">
                  <c:v>324</c:v>
                </c:pt>
              </c:numCache>
            </c:numRef>
          </c:val>
          <c:extLst>
            <c:ext xmlns:c16="http://schemas.microsoft.com/office/drawing/2014/chart" uri="{C3380CC4-5D6E-409C-BE32-E72D297353CC}">
              <c16:uniqueId val="{00000002-556D-44E4-B570-AF9A6954C66E}"/>
            </c:ext>
          </c:extLst>
        </c:ser>
        <c:ser>
          <c:idx val="3"/>
          <c:order val="3"/>
          <c:tx>
            <c:strRef>
              <c:f>Лист1!$A$5</c:f>
              <c:strCache>
                <c:ptCount val="1"/>
                <c:pt idx="0">
                  <c:v>Латвия</c:v>
                </c:pt>
              </c:strCache>
            </c:strRef>
          </c:tx>
          <c:spPr>
            <a:pattFill prst="lgCheck">
              <a:fgClr>
                <a:schemeClr val="tx1"/>
              </a:fgClr>
              <a:bgClr>
                <a:schemeClr val="bg1"/>
              </a:bgClr>
            </a:pattFill>
          </c:spPr>
          <c:invertIfNegative val="0"/>
          <c:cat>
            <c:strRef>
              <c:f>Лист1!$B$1:$G$1</c:f>
              <c:strCache>
                <c:ptCount val="6"/>
                <c:pt idx="0">
                  <c:v>2017 г.</c:v>
                </c:pt>
                <c:pt idx="1">
                  <c:v>2018 г.</c:v>
                </c:pt>
                <c:pt idx="2">
                  <c:v>2019 г.</c:v>
                </c:pt>
                <c:pt idx="3">
                  <c:v>2020 г.</c:v>
                </c:pt>
                <c:pt idx="4">
                  <c:v>2021 г.</c:v>
                </c:pt>
                <c:pt idx="5">
                  <c:v>2022 г.</c:v>
                </c:pt>
              </c:strCache>
            </c:strRef>
          </c:cat>
          <c:val>
            <c:numRef>
              <c:f>Лист1!$B$5:$G$5</c:f>
              <c:numCache>
                <c:formatCode>General</c:formatCode>
                <c:ptCount val="6"/>
                <c:pt idx="0">
                  <c:v>18</c:v>
                </c:pt>
                <c:pt idx="1">
                  <c:v>2</c:v>
                </c:pt>
                <c:pt idx="2">
                  <c:v>31</c:v>
                </c:pt>
                <c:pt idx="3">
                  <c:v>2</c:v>
                </c:pt>
                <c:pt idx="4">
                  <c:v>17</c:v>
                </c:pt>
                <c:pt idx="5">
                  <c:v>42</c:v>
                </c:pt>
              </c:numCache>
            </c:numRef>
          </c:val>
          <c:extLst>
            <c:ext xmlns:c16="http://schemas.microsoft.com/office/drawing/2014/chart" uri="{C3380CC4-5D6E-409C-BE32-E72D297353CC}">
              <c16:uniqueId val="{00000003-556D-44E4-B570-AF9A6954C66E}"/>
            </c:ext>
          </c:extLst>
        </c:ser>
        <c:ser>
          <c:idx val="4"/>
          <c:order val="4"/>
          <c:tx>
            <c:strRef>
              <c:f>Лист1!$A$6</c:f>
              <c:strCache>
                <c:ptCount val="1"/>
                <c:pt idx="0">
                  <c:v>Польша</c:v>
                </c:pt>
              </c:strCache>
            </c:strRef>
          </c:tx>
          <c:spPr>
            <a:pattFill prst="smGrid">
              <a:fgClr>
                <a:schemeClr val="tx1"/>
              </a:fgClr>
              <a:bgClr>
                <a:schemeClr val="bg1"/>
              </a:bgClr>
            </a:pattFill>
          </c:spPr>
          <c:invertIfNegative val="0"/>
          <c:cat>
            <c:strRef>
              <c:f>Лист1!$B$1:$G$1</c:f>
              <c:strCache>
                <c:ptCount val="6"/>
                <c:pt idx="0">
                  <c:v>2017 г.</c:v>
                </c:pt>
                <c:pt idx="1">
                  <c:v>2018 г.</c:v>
                </c:pt>
                <c:pt idx="2">
                  <c:v>2019 г.</c:v>
                </c:pt>
                <c:pt idx="3">
                  <c:v>2020 г.</c:v>
                </c:pt>
                <c:pt idx="4">
                  <c:v>2021 г.</c:v>
                </c:pt>
                <c:pt idx="5">
                  <c:v>2022 г.</c:v>
                </c:pt>
              </c:strCache>
            </c:strRef>
          </c:cat>
          <c:val>
            <c:numRef>
              <c:f>Лист1!$B$6:$G$6</c:f>
              <c:numCache>
                <c:formatCode>General</c:formatCode>
                <c:ptCount val="6"/>
                <c:pt idx="0">
                  <c:v>2978</c:v>
                </c:pt>
                <c:pt idx="1">
                  <c:v>3181</c:v>
                </c:pt>
                <c:pt idx="2">
                  <c:v>1606</c:v>
                </c:pt>
                <c:pt idx="3">
                  <c:v>1126</c:v>
                </c:pt>
                <c:pt idx="4">
                  <c:v>1319</c:v>
                </c:pt>
                <c:pt idx="5">
                  <c:v>2606</c:v>
                </c:pt>
              </c:numCache>
            </c:numRef>
          </c:val>
          <c:extLst>
            <c:ext xmlns:c16="http://schemas.microsoft.com/office/drawing/2014/chart" uri="{C3380CC4-5D6E-409C-BE32-E72D297353CC}">
              <c16:uniqueId val="{00000004-556D-44E4-B570-AF9A6954C66E}"/>
            </c:ext>
          </c:extLst>
        </c:ser>
        <c:ser>
          <c:idx val="5"/>
          <c:order val="5"/>
          <c:tx>
            <c:strRef>
              <c:f>Лист1!$A$7</c:f>
              <c:strCache>
                <c:ptCount val="1"/>
                <c:pt idx="0">
                  <c:v>Другие</c:v>
                </c:pt>
              </c:strCache>
            </c:strRef>
          </c:tx>
          <c:invertIfNegative val="0"/>
          <c:cat>
            <c:strRef>
              <c:f>Лист1!$B$1:$G$1</c:f>
              <c:strCache>
                <c:ptCount val="6"/>
                <c:pt idx="0">
                  <c:v>2017 г.</c:v>
                </c:pt>
                <c:pt idx="1">
                  <c:v>2018 г.</c:v>
                </c:pt>
                <c:pt idx="2">
                  <c:v>2019 г.</c:v>
                </c:pt>
                <c:pt idx="3">
                  <c:v>2020 г.</c:v>
                </c:pt>
                <c:pt idx="4">
                  <c:v>2021 г.</c:v>
                </c:pt>
                <c:pt idx="5">
                  <c:v>2022 г.</c:v>
                </c:pt>
              </c:strCache>
            </c:strRef>
          </c:cat>
          <c:val>
            <c:numRef>
              <c:f>Лист1!$B$7:$G$7</c:f>
              <c:numCache>
                <c:formatCode>General</c:formatCode>
                <c:ptCount val="6"/>
                <c:pt idx="0">
                  <c:v>1061</c:v>
                </c:pt>
                <c:pt idx="1">
                  <c:v>1515</c:v>
                </c:pt>
                <c:pt idx="2">
                  <c:v>1892</c:v>
                </c:pt>
                <c:pt idx="3">
                  <c:v>437</c:v>
                </c:pt>
                <c:pt idx="4">
                  <c:v>435</c:v>
                </c:pt>
                <c:pt idx="5">
                  <c:v>597</c:v>
                </c:pt>
              </c:numCache>
            </c:numRef>
          </c:val>
          <c:extLst>
            <c:ext xmlns:c16="http://schemas.microsoft.com/office/drawing/2014/chart" uri="{C3380CC4-5D6E-409C-BE32-E72D297353CC}">
              <c16:uniqueId val="{00000005-556D-44E4-B570-AF9A6954C66E}"/>
            </c:ext>
          </c:extLst>
        </c:ser>
        <c:dLbls>
          <c:showLegendKey val="0"/>
          <c:showVal val="0"/>
          <c:showCatName val="0"/>
          <c:showSerName val="0"/>
          <c:showPercent val="0"/>
          <c:showBubbleSize val="0"/>
        </c:dLbls>
        <c:gapWidth val="150"/>
        <c:overlap val="100"/>
        <c:axId val="128451712"/>
        <c:axId val="128453248"/>
      </c:barChart>
      <c:catAx>
        <c:axId val="128451712"/>
        <c:scaling>
          <c:orientation val="minMax"/>
        </c:scaling>
        <c:delete val="0"/>
        <c:axPos val="b"/>
        <c:numFmt formatCode="General" sourceLinked="0"/>
        <c:majorTickMark val="out"/>
        <c:minorTickMark val="none"/>
        <c:tickLblPos val="nextTo"/>
        <c:txPr>
          <a:bodyPr/>
          <a:lstStyle/>
          <a:p>
            <a:pPr>
              <a:defRPr baseline="0">
                <a:latin typeface="Times New Roman" panose="02020603050405020304" pitchFamily="18" charset="0"/>
              </a:defRPr>
            </a:pPr>
            <a:endParaRPr lang="ru-BY"/>
          </a:p>
        </c:txPr>
        <c:crossAx val="128453248"/>
        <c:crosses val="autoZero"/>
        <c:auto val="1"/>
        <c:lblAlgn val="ctr"/>
        <c:lblOffset val="100"/>
        <c:noMultiLvlLbl val="0"/>
      </c:catAx>
      <c:valAx>
        <c:axId val="128453248"/>
        <c:scaling>
          <c:orientation val="minMax"/>
        </c:scaling>
        <c:delete val="0"/>
        <c:axPos val="l"/>
        <c:majorGridlines/>
        <c:title>
          <c:tx>
            <c:rich>
              <a:bodyPr rot="-5400000" vert="horz"/>
              <a:lstStyle/>
              <a:p>
                <a:pPr>
                  <a:defRPr b="0" i="0" baseline="0">
                    <a:latin typeface="Times New Roman" panose="02020603050405020304" pitchFamily="18" charset="0"/>
                  </a:defRPr>
                </a:pPr>
                <a:r>
                  <a:rPr lang="ru-RU" b="0" i="0" baseline="0">
                    <a:latin typeface="Times New Roman" panose="02020603050405020304" pitchFamily="18" charset="0"/>
                  </a:rPr>
                  <a:t>Человек</a:t>
                </a:r>
              </a:p>
            </c:rich>
          </c:tx>
          <c:overlay val="0"/>
        </c:title>
        <c:numFmt formatCode="General" sourceLinked="1"/>
        <c:majorTickMark val="out"/>
        <c:minorTickMark val="none"/>
        <c:tickLblPos val="nextTo"/>
        <c:txPr>
          <a:bodyPr/>
          <a:lstStyle/>
          <a:p>
            <a:pPr>
              <a:defRPr baseline="0">
                <a:latin typeface="Times New Roman" panose="02020603050405020304" pitchFamily="18" charset="0"/>
              </a:defRPr>
            </a:pPr>
            <a:endParaRPr lang="ru-BY"/>
          </a:p>
        </c:txPr>
        <c:crossAx val="128451712"/>
        <c:crosses val="autoZero"/>
        <c:crossBetween val="between"/>
      </c:valAx>
      <c:spPr>
        <a:noFill/>
      </c:spPr>
    </c:plotArea>
    <c:legend>
      <c:legendPos val="r"/>
      <c:overlay val="0"/>
      <c:txPr>
        <a:bodyPr/>
        <a:lstStyle/>
        <a:p>
          <a:pPr>
            <a:defRPr baseline="0">
              <a:latin typeface="Times New Roman" panose="02020603050405020304" pitchFamily="18" charset="0"/>
            </a:defRPr>
          </a:pPr>
          <a:endParaRPr lang="ru-BY"/>
        </a:p>
      </c:txPr>
    </c:legend>
    <c:plotVisOnly val="1"/>
    <c:dispBlanksAs val="gap"/>
    <c:showDLblsOverMax val="0"/>
  </c:chart>
  <c:spPr>
    <a:ln>
      <a:noFill/>
    </a:ln>
  </c:spPr>
  <c:txPr>
    <a:bodyPr/>
    <a:lstStyle/>
    <a:p>
      <a:pPr>
        <a:defRPr i="1">
          <a:latin typeface="Arial" panose="020B0604020202020204" pitchFamily="34" charset="0"/>
          <a:cs typeface="Arial" panose="020B0604020202020204" pitchFamily="34" charset="0"/>
        </a:defRPr>
      </a:pPr>
      <a:endParaRPr lang="ru-BY"/>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0"/>
    <c:plotArea>
      <c:layout/>
      <c:barChart>
        <c:barDir val="col"/>
        <c:grouping val="stacked"/>
        <c:varyColors val="0"/>
        <c:ser>
          <c:idx val="0"/>
          <c:order val="0"/>
          <c:tx>
            <c:strRef>
              <c:f>Лист1!$A$2</c:f>
              <c:strCache>
                <c:ptCount val="1"/>
                <c:pt idx="0">
                  <c:v>Россия</c:v>
                </c:pt>
              </c:strCache>
            </c:strRef>
          </c:tx>
          <c:spPr>
            <a:solidFill>
              <a:schemeClr val="tx1">
                <a:lumMod val="65000"/>
                <a:lumOff val="35000"/>
              </a:schemeClr>
            </a:solidFill>
          </c:spPr>
          <c:invertIfNegative val="0"/>
          <c:cat>
            <c:strRef>
              <c:f>Лист1!$B$1:$G$1</c:f>
              <c:strCache>
                <c:ptCount val="6"/>
                <c:pt idx="0">
                  <c:v>2017 г.</c:v>
                </c:pt>
                <c:pt idx="1">
                  <c:v>2018 г.</c:v>
                </c:pt>
                <c:pt idx="2">
                  <c:v>2019 г.</c:v>
                </c:pt>
                <c:pt idx="3">
                  <c:v>2020 г.</c:v>
                </c:pt>
                <c:pt idx="4">
                  <c:v>2021 г.</c:v>
                </c:pt>
                <c:pt idx="5">
                  <c:v>2022 г.</c:v>
                </c:pt>
              </c:strCache>
            </c:strRef>
          </c:cat>
          <c:val>
            <c:numRef>
              <c:f>Лист1!$B$2:$G$2</c:f>
              <c:numCache>
                <c:formatCode>General</c:formatCode>
                <c:ptCount val="6"/>
                <c:pt idx="0">
                  <c:v>2453</c:v>
                </c:pt>
                <c:pt idx="1">
                  <c:v>4126</c:v>
                </c:pt>
                <c:pt idx="2">
                  <c:v>6741</c:v>
                </c:pt>
                <c:pt idx="3">
                  <c:v>5189</c:v>
                </c:pt>
                <c:pt idx="4">
                  <c:v>4325</c:v>
                </c:pt>
                <c:pt idx="5">
                  <c:v>3080</c:v>
                </c:pt>
              </c:numCache>
            </c:numRef>
          </c:val>
          <c:extLst>
            <c:ext xmlns:c16="http://schemas.microsoft.com/office/drawing/2014/chart" uri="{C3380CC4-5D6E-409C-BE32-E72D297353CC}">
              <c16:uniqueId val="{00000000-59A9-452B-85EC-4BD4010810DF}"/>
            </c:ext>
          </c:extLst>
        </c:ser>
        <c:ser>
          <c:idx val="1"/>
          <c:order val="1"/>
          <c:tx>
            <c:strRef>
              <c:f>Лист1!$A$3</c:f>
              <c:strCache>
                <c:ptCount val="1"/>
                <c:pt idx="0">
                  <c:v>Китай</c:v>
                </c:pt>
              </c:strCache>
            </c:strRef>
          </c:tx>
          <c:spPr>
            <a:pattFill prst="pct25">
              <a:fgClr>
                <a:schemeClr val="tx1">
                  <a:lumMod val="65000"/>
                  <a:lumOff val="35000"/>
                </a:schemeClr>
              </a:fgClr>
              <a:bgClr>
                <a:schemeClr val="bg1"/>
              </a:bgClr>
            </a:pattFill>
          </c:spPr>
          <c:invertIfNegative val="0"/>
          <c:cat>
            <c:strRef>
              <c:f>Лист1!$B$1:$G$1</c:f>
              <c:strCache>
                <c:ptCount val="6"/>
                <c:pt idx="0">
                  <c:v>2017 г.</c:v>
                </c:pt>
                <c:pt idx="1">
                  <c:v>2018 г.</c:v>
                </c:pt>
                <c:pt idx="2">
                  <c:v>2019 г.</c:v>
                </c:pt>
                <c:pt idx="3">
                  <c:v>2020 г.</c:v>
                </c:pt>
                <c:pt idx="4">
                  <c:v>2021 г.</c:v>
                </c:pt>
                <c:pt idx="5">
                  <c:v>2022 г.</c:v>
                </c:pt>
              </c:strCache>
            </c:strRef>
          </c:cat>
          <c:val>
            <c:numRef>
              <c:f>Лист1!$B$3:$G$3</c:f>
              <c:numCache>
                <c:formatCode>General</c:formatCode>
                <c:ptCount val="6"/>
                <c:pt idx="0">
                  <c:v>4581</c:v>
                </c:pt>
                <c:pt idx="1">
                  <c:v>2718</c:v>
                </c:pt>
                <c:pt idx="2">
                  <c:v>4318</c:v>
                </c:pt>
                <c:pt idx="3">
                  <c:v>3206</c:v>
                </c:pt>
                <c:pt idx="4">
                  <c:v>2532</c:v>
                </c:pt>
                <c:pt idx="5">
                  <c:v>2018</c:v>
                </c:pt>
              </c:numCache>
            </c:numRef>
          </c:val>
          <c:extLst>
            <c:ext xmlns:c16="http://schemas.microsoft.com/office/drawing/2014/chart" uri="{C3380CC4-5D6E-409C-BE32-E72D297353CC}">
              <c16:uniqueId val="{00000001-59A9-452B-85EC-4BD4010810DF}"/>
            </c:ext>
          </c:extLst>
        </c:ser>
        <c:ser>
          <c:idx val="2"/>
          <c:order val="2"/>
          <c:tx>
            <c:strRef>
              <c:f>Лист1!$A$4</c:f>
              <c:strCache>
                <c:ptCount val="1"/>
                <c:pt idx="0">
                  <c:v>Украина</c:v>
                </c:pt>
              </c:strCache>
            </c:strRef>
          </c:tx>
          <c:spPr>
            <a:pattFill prst="pct5">
              <a:fgClr>
                <a:schemeClr val="tx1"/>
              </a:fgClr>
              <a:bgClr>
                <a:schemeClr val="bg1"/>
              </a:bgClr>
            </a:pattFill>
          </c:spPr>
          <c:invertIfNegative val="0"/>
          <c:cat>
            <c:strRef>
              <c:f>Лист1!$B$1:$G$1</c:f>
              <c:strCache>
                <c:ptCount val="6"/>
                <c:pt idx="0">
                  <c:v>2017 г.</c:v>
                </c:pt>
                <c:pt idx="1">
                  <c:v>2018 г.</c:v>
                </c:pt>
                <c:pt idx="2">
                  <c:v>2019 г.</c:v>
                </c:pt>
                <c:pt idx="3">
                  <c:v>2020 г.</c:v>
                </c:pt>
                <c:pt idx="4">
                  <c:v>2021 г.</c:v>
                </c:pt>
                <c:pt idx="5">
                  <c:v>2022 г.</c:v>
                </c:pt>
              </c:strCache>
            </c:strRef>
          </c:cat>
          <c:val>
            <c:numRef>
              <c:f>Лист1!$B$4:$G$4</c:f>
              <c:numCache>
                <c:formatCode>General</c:formatCode>
                <c:ptCount val="6"/>
                <c:pt idx="0">
                  <c:v>4680</c:v>
                </c:pt>
                <c:pt idx="1">
                  <c:v>3970</c:v>
                </c:pt>
                <c:pt idx="2">
                  <c:v>3145</c:v>
                </c:pt>
                <c:pt idx="3">
                  <c:v>2249</c:v>
                </c:pt>
                <c:pt idx="4">
                  <c:v>1543</c:v>
                </c:pt>
                <c:pt idx="5">
                  <c:v>1265</c:v>
                </c:pt>
              </c:numCache>
            </c:numRef>
          </c:val>
          <c:extLst>
            <c:ext xmlns:c16="http://schemas.microsoft.com/office/drawing/2014/chart" uri="{C3380CC4-5D6E-409C-BE32-E72D297353CC}">
              <c16:uniqueId val="{00000002-59A9-452B-85EC-4BD4010810DF}"/>
            </c:ext>
          </c:extLst>
        </c:ser>
        <c:ser>
          <c:idx val="3"/>
          <c:order val="3"/>
          <c:tx>
            <c:strRef>
              <c:f>Лист1!$A$5</c:f>
              <c:strCache>
                <c:ptCount val="1"/>
                <c:pt idx="0">
                  <c:v>Узбекистан</c:v>
                </c:pt>
              </c:strCache>
            </c:strRef>
          </c:tx>
          <c:spPr>
            <a:pattFill prst="trellis">
              <a:fgClr>
                <a:schemeClr val="tx1"/>
              </a:fgClr>
              <a:bgClr>
                <a:schemeClr val="bg1"/>
              </a:bgClr>
            </a:pattFill>
          </c:spPr>
          <c:invertIfNegative val="0"/>
          <c:cat>
            <c:strRef>
              <c:f>Лист1!$B$1:$G$1</c:f>
              <c:strCache>
                <c:ptCount val="6"/>
                <c:pt idx="0">
                  <c:v>2017 г.</c:v>
                </c:pt>
                <c:pt idx="1">
                  <c:v>2018 г.</c:v>
                </c:pt>
                <c:pt idx="2">
                  <c:v>2019 г.</c:v>
                </c:pt>
                <c:pt idx="3">
                  <c:v>2020 г.</c:v>
                </c:pt>
                <c:pt idx="4">
                  <c:v>2021 г.</c:v>
                </c:pt>
                <c:pt idx="5">
                  <c:v>2022 г.</c:v>
                </c:pt>
              </c:strCache>
            </c:strRef>
          </c:cat>
          <c:val>
            <c:numRef>
              <c:f>Лист1!$B$5:$G$5</c:f>
              <c:numCache>
                <c:formatCode>General</c:formatCode>
                <c:ptCount val="6"/>
                <c:pt idx="0">
                  <c:v>581</c:v>
                </c:pt>
                <c:pt idx="1">
                  <c:v>1226</c:v>
                </c:pt>
                <c:pt idx="2">
                  <c:v>1336</c:v>
                </c:pt>
                <c:pt idx="3">
                  <c:v>1197</c:v>
                </c:pt>
                <c:pt idx="4">
                  <c:v>914</c:v>
                </c:pt>
                <c:pt idx="5">
                  <c:v>750</c:v>
                </c:pt>
              </c:numCache>
            </c:numRef>
          </c:val>
          <c:extLst>
            <c:ext xmlns:c16="http://schemas.microsoft.com/office/drawing/2014/chart" uri="{C3380CC4-5D6E-409C-BE32-E72D297353CC}">
              <c16:uniqueId val="{00000003-59A9-452B-85EC-4BD4010810DF}"/>
            </c:ext>
          </c:extLst>
        </c:ser>
        <c:ser>
          <c:idx val="4"/>
          <c:order val="4"/>
          <c:tx>
            <c:strRef>
              <c:f>Лист1!$A$6</c:f>
              <c:strCache>
                <c:ptCount val="1"/>
                <c:pt idx="0">
                  <c:v>Молдова</c:v>
                </c:pt>
              </c:strCache>
            </c:strRef>
          </c:tx>
          <c:spPr>
            <a:pattFill prst="solidDmnd">
              <a:fgClr>
                <a:schemeClr val="tx1"/>
              </a:fgClr>
              <a:bgClr>
                <a:schemeClr val="bg1"/>
              </a:bgClr>
            </a:pattFill>
            <a:ln>
              <a:solidFill>
                <a:schemeClr val="tx1"/>
              </a:solidFill>
            </a:ln>
          </c:spPr>
          <c:invertIfNegative val="0"/>
          <c:cat>
            <c:strRef>
              <c:f>Лист1!$B$1:$G$1</c:f>
              <c:strCache>
                <c:ptCount val="6"/>
                <c:pt idx="0">
                  <c:v>2017 г.</c:v>
                </c:pt>
                <c:pt idx="1">
                  <c:v>2018 г.</c:v>
                </c:pt>
                <c:pt idx="2">
                  <c:v>2019 г.</c:v>
                </c:pt>
                <c:pt idx="3">
                  <c:v>2020 г.</c:v>
                </c:pt>
                <c:pt idx="4">
                  <c:v>2021 г.</c:v>
                </c:pt>
                <c:pt idx="5">
                  <c:v>2022 г.</c:v>
                </c:pt>
              </c:strCache>
            </c:strRef>
          </c:cat>
          <c:val>
            <c:numRef>
              <c:f>Лист1!$B$6:$G$6</c:f>
              <c:numCache>
                <c:formatCode>General</c:formatCode>
                <c:ptCount val="6"/>
                <c:pt idx="0">
                  <c:v>136</c:v>
                </c:pt>
                <c:pt idx="1">
                  <c:v>109</c:v>
                </c:pt>
                <c:pt idx="2">
                  <c:v>100</c:v>
                </c:pt>
                <c:pt idx="3">
                  <c:v>98</c:v>
                </c:pt>
                <c:pt idx="4">
                  <c:v>97</c:v>
                </c:pt>
                <c:pt idx="5">
                  <c:v>88</c:v>
                </c:pt>
              </c:numCache>
            </c:numRef>
          </c:val>
          <c:extLst>
            <c:ext xmlns:c16="http://schemas.microsoft.com/office/drawing/2014/chart" uri="{C3380CC4-5D6E-409C-BE32-E72D297353CC}">
              <c16:uniqueId val="{00000004-59A9-452B-85EC-4BD4010810DF}"/>
            </c:ext>
          </c:extLst>
        </c:ser>
        <c:ser>
          <c:idx val="5"/>
          <c:order val="5"/>
          <c:tx>
            <c:strRef>
              <c:f>Лист1!$A$7</c:f>
              <c:strCache>
                <c:ptCount val="1"/>
                <c:pt idx="0">
                  <c:v>Литва</c:v>
                </c:pt>
              </c:strCache>
            </c:strRef>
          </c:tx>
          <c:spPr>
            <a:pattFill prst="ltVert">
              <a:fgClr>
                <a:schemeClr val="tx1"/>
              </a:fgClr>
              <a:bgClr>
                <a:schemeClr val="bg1"/>
              </a:bgClr>
            </a:pattFill>
            <a:ln>
              <a:solidFill>
                <a:schemeClr val="tx1"/>
              </a:solidFill>
            </a:ln>
          </c:spPr>
          <c:invertIfNegative val="0"/>
          <c:cat>
            <c:strRef>
              <c:f>Лист1!$B$1:$G$1</c:f>
              <c:strCache>
                <c:ptCount val="6"/>
                <c:pt idx="0">
                  <c:v>2017 г.</c:v>
                </c:pt>
                <c:pt idx="1">
                  <c:v>2018 г.</c:v>
                </c:pt>
                <c:pt idx="2">
                  <c:v>2019 г.</c:v>
                </c:pt>
                <c:pt idx="3">
                  <c:v>2020 г.</c:v>
                </c:pt>
                <c:pt idx="4">
                  <c:v>2021 г.</c:v>
                </c:pt>
                <c:pt idx="5">
                  <c:v>2022 г.</c:v>
                </c:pt>
              </c:strCache>
            </c:strRef>
          </c:cat>
          <c:val>
            <c:numRef>
              <c:f>Лист1!$B$7:$G$7</c:f>
              <c:numCache>
                <c:formatCode>General</c:formatCode>
                <c:ptCount val="6"/>
                <c:pt idx="0">
                  <c:v>312</c:v>
                </c:pt>
                <c:pt idx="1">
                  <c:v>244</c:v>
                </c:pt>
                <c:pt idx="2">
                  <c:v>236</c:v>
                </c:pt>
                <c:pt idx="3">
                  <c:v>195</c:v>
                </c:pt>
                <c:pt idx="4">
                  <c:v>145</c:v>
                </c:pt>
                <c:pt idx="5">
                  <c:v>104</c:v>
                </c:pt>
              </c:numCache>
            </c:numRef>
          </c:val>
          <c:extLst>
            <c:ext xmlns:c16="http://schemas.microsoft.com/office/drawing/2014/chart" uri="{C3380CC4-5D6E-409C-BE32-E72D297353CC}">
              <c16:uniqueId val="{00000005-59A9-452B-85EC-4BD4010810DF}"/>
            </c:ext>
          </c:extLst>
        </c:ser>
        <c:ser>
          <c:idx val="6"/>
          <c:order val="6"/>
          <c:tx>
            <c:strRef>
              <c:f>Лист1!$A$8</c:f>
              <c:strCache>
                <c:ptCount val="1"/>
                <c:pt idx="0">
                  <c:v>Латвия</c:v>
                </c:pt>
              </c:strCache>
            </c:strRef>
          </c:tx>
          <c:spPr>
            <a:pattFill prst="lgCheck">
              <a:fgClr>
                <a:schemeClr val="tx1"/>
              </a:fgClr>
              <a:bgClr>
                <a:schemeClr val="bg1"/>
              </a:bgClr>
            </a:pattFill>
          </c:spPr>
          <c:invertIfNegative val="0"/>
          <c:cat>
            <c:strRef>
              <c:f>Лист1!$B$1:$G$1</c:f>
              <c:strCache>
                <c:ptCount val="6"/>
                <c:pt idx="0">
                  <c:v>2017 г.</c:v>
                </c:pt>
                <c:pt idx="1">
                  <c:v>2018 г.</c:v>
                </c:pt>
                <c:pt idx="2">
                  <c:v>2019 г.</c:v>
                </c:pt>
                <c:pt idx="3">
                  <c:v>2020 г.</c:v>
                </c:pt>
                <c:pt idx="4">
                  <c:v>2021 г.</c:v>
                </c:pt>
                <c:pt idx="5">
                  <c:v>2022 г.</c:v>
                </c:pt>
              </c:strCache>
            </c:strRef>
          </c:cat>
          <c:val>
            <c:numRef>
              <c:f>Лист1!$B$8:$G$8</c:f>
              <c:numCache>
                <c:formatCode>General</c:formatCode>
                <c:ptCount val="6"/>
                <c:pt idx="0">
                  <c:v>147</c:v>
                </c:pt>
                <c:pt idx="1">
                  <c:v>116</c:v>
                </c:pt>
                <c:pt idx="2">
                  <c:v>101</c:v>
                </c:pt>
                <c:pt idx="3">
                  <c:v>96</c:v>
                </c:pt>
                <c:pt idx="4">
                  <c:v>78</c:v>
                </c:pt>
                <c:pt idx="5">
                  <c:v>66</c:v>
                </c:pt>
              </c:numCache>
            </c:numRef>
          </c:val>
          <c:extLst>
            <c:ext xmlns:c16="http://schemas.microsoft.com/office/drawing/2014/chart" uri="{C3380CC4-5D6E-409C-BE32-E72D297353CC}">
              <c16:uniqueId val="{00000006-59A9-452B-85EC-4BD4010810DF}"/>
            </c:ext>
          </c:extLst>
        </c:ser>
        <c:ser>
          <c:idx val="7"/>
          <c:order val="7"/>
          <c:tx>
            <c:strRef>
              <c:f>Лист1!$A$9</c:f>
              <c:strCache>
                <c:ptCount val="1"/>
                <c:pt idx="0">
                  <c:v>Польша</c:v>
                </c:pt>
              </c:strCache>
            </c:strRef>
          </c:tx>
          <c:spPr>
            <a:pattFill prst="smGrid">
              <a:fgClr>
                <a:schemeClr val="tx1"/>
              </a:fgClr>
              <a:bgClr>
                <a:schemeClr val="bg1"/>
              </a:bgClr>
            </a:pattFill>
          </c:spPr>
          <c:invertIfNegative val="0"/>
          <c:cat>
            <c:strRef>
              <c:f>Лист1!$B$1:$G$1</c:f>
              <c:strCache>
                <c:ptCount val="6"/>
                <c:pt idx="0">
                  <c:v>2017 г.</c:v>
                </c:pt>
                <c:pt idx="1">
                  <c:v>2018 г.</c:v>
                </c:pt>
                <c:pt idx="2">
                  <c:v>2019 г.</c:v>
                </c:pt>
                <c:pt idx="3">
                  <c:v>2020 г.</c:v>
                </c:pt>
                <c:pt idx="4">
                  <c:v>2021 г.</c:v>
                </c:pt>
                <c:pt idx="5">
                  <c:v>2022 г.</c:v>
                </c:pt>
              </c:strCache>
            </c:strRef>
          </c:cat>
          <c:val>
            <c:numRef>
              <c:f>Лист1!$B$9:$G$9</c:f>
              <c:numCache>
                <c:formatCode>General</c:formatCode>
                <c:ptCount val="6"/>
                <c:pt idx="0">
                  <c:v>120</c:v>
                </c:pt>
                <c:pt idx="1">
                  <c:v>124</c:v>
                </c:pt>
                <c:pt idx="2">
                  <c:v>138</c:v>
                </c:pt>
                <c:pt idx="3">
                  <c:v>110</c:v>
                </c:pt>
                <c:pt idx="4">
                  <c:v>93</c:v>
                </c:pt>
                <c:pt idx="5">
                  <c:v>62</c:v>
                </c:pt>
              </c:numCache>
            </c:numRef>
          </c:val>
          <c:extLst>
            <c:ext xmlns:c16="http://schemas.microsoft.com/office/drawing/2014/chart" uri="{C3380CC4-5D6E-409C-BE32-E72D297353CC}">
              <c16:uniqueId val="{00000007-59A9-452B-85EC-4BD4010810DF}"/>
            </c:ext>
          </c:extLst>
        </c:ser>
        <c:ser>
          <c:idx val="8"/>
          <c:order val="8"/>
          <c:tx>
            <c:strRef>
              <c:f>Лист1!$A$10</c:f>
              <c:strCache>
                <c:ptCount val="1"/>
                <c:pt idx="0">
                  <c:v>Другие</c:v>
                </c:pt>
              </c:strCache>
            </c:strRef>
          </c:tx>
          <c:spPr>
            <a:solidFill>
              <a:schemeClr val="bg1">
                <a:lumMod val="85000"/>
              </a:schemeClr>
            </a:solidFill>
            <a:ln>
              <a:solidFill>
                <a:schemeClr val="tx1"/>
              </a:solidFill>
            </a:ln>
          </c:spPr>
          <c:invertIfNegative val="0"/>
          <c:cat>
            <c:strRef>
              <c:f>Лист1!$B$1:$G$1</c:f>
              <c:strCache>
                <c:ptCount val="6"/>
                <c:pt idx="0">
                  <c:v>2017 г.</c:v>
                </c:pt>
                <c:pt idx="1">
                  <c:v>2018 г.</c:v>
                </c:pt>
                <c:pt idx="2">
                  <c:v>2019 г.</c:v>
                </c:pt>
                <c:pt idx="3">
                  <c:v>2020 г.</c:v>
                </c:pt>
                <c:pt idx="4">
                  <c:v>2021 г.</c:v>
                </c:pt>
                <c:pt idx="5">
                  <c:v>2022 г.</c:v>
                </c:pt>
              </c:strCache>
            </c:strRef>
          </c:cat>
          <c:val>
            <c:numRef>
              <c:f>Лист1!$B$10:$G$10</c:f>
              <c:numCache>
                <c:formatCode>General</c:formatCode>
                <c:ptCount val="6"/>
                <c:pt idx="0">
                  <c:v>2834</c:v>
                </c:pt>
                <c:pt idx="1">
                  <c:v>3539</c:v>
                </c:pt>
                <c:pt idx="2">
                  <c:v>4747</c:v>
                </c:pt>
                <c:pt idx="3">
                  <c:v>4028</c:v>
                </c:pt>
                <c:pt idx="4">
                  <c:v>3978</c:v>
                </c:pt>
                <c:pt idx="5">
                  <c:v>3638</c:v>
                </c:pt>
              </c:numCache>
            </c:numRef>
          </c:val>
          <c:extLst>
            <c:ext xmlns:c16="http://schemas.microsoft.com/office/drawing/2014/chart" uri="{C3380CC4-5D6E-409C-BE32-E72D297353CC}">
              <c16:uniqueId val="{00000008-59A9-452B-85EC-4BD4010810DF}"/>
            </c:ext>
          </c:extLst>
        </c:ser>
        <c:dLbls>
          <c:showLegendKey val="0"/>
          <c:showVal val="0"/>
          <c:showCatName val="0"/>
          <c:showSerName val="0"/>
          <c:showPercent val="0"/>
          <c:showBubbleSize val="0"/>
        </c:dLbls>
        <c:gapWidth val="150"/>
        <c:overlap val="100"/>
        <c:axId val="128517632"/>
        <c:axId val="128519168"/>
      </c:barChart>
      <c:catAx>
        <c:axId val="128517632"/>
        <c:scaling>
          <c:orientation val="minMax"/>
        </c:scaling>
        <c:delete val="0"/>
        <c:axPos val="b"/>
        <c:numFmt formatCode="General" sourceLinked="0"/>
        <c:majorTickMark val="out"/>
        <c:minorTickMark val="none"/>
        <c:tickLblPos val="nextTo"/>
        <c:txPr>
          <a:bodyPr/>
          <a:lstStyle/>
          <a:p>
            <a:pPr>
              <a:defRPr baseline="0">
                <a:latin typeface="Times New Roman" panose="02020603050405020304" pitchFamily="18" charset="0"/>
              </a:defRPr>
            </a:pPr>
            <a:endParaRPr lang="ru-BY"/>
          </a:p>
        </c:txPr>
        <c:crossAx val="128519168"/>
        <c:crosses val="autoZero"/>
        <c:auto val="1"/>
        <c:lblAlgn val="ctr"/>
        <c:lblOffset val="100"/>
        <c:noMultiLvlLbl val="0"/>
      </c:catAx>
      <c:valAx>
        <c:axId val="128519168"/>
        <c:scaling>
          <c:orientation val="minMax"/>
        </c:scaling>
        <c:delete val="0"/>
        <c:axPos val="l"/>
        <c:majorGridlines/>
        <c:title>
          <c:tx>
            <c:rich>
              <a:bodyPr rot="-5400000" vert="horz"/>
              <a:lstStyle/>
              <a:p>
                <a:pPr>
                  <a:defRPr b="0" i="0" baseline="0">
                    <a:latin typeface="Times New Roman" panose="02020603050405020304" pitchFamily="18" charset="0"/>
                  </a:defRPr>
                </a:pPr>
                <a:r>
                  <a:rPr lang="ru-RU" b="0" i="0" baseline="0">
                    <a:latin typeface="Times New Roman" panose="02020603050405020304" pitchFamily="18" charset="0"/>
                  </a:rPr>
                  <a:t>Человек</a:t>
                </a:r>
              </a:p>
            </c:rich>
          </c:tx>
          <c:overlay val="0"/>
        </c:title>
        <c:numFmt formatCode="General" sourceLinked="1"/>
        <c:majorTickMark val="out"/>
        <c:minorTickMark val="none"/>
        <c:tickLblPos val="nextTo"/>
        <c:txPr>
          <a:bodyPr/>
          <a:lstStyle/>
          <a:p>
            <a:pPr>
              <a:defRPr baseline="0">
                <a:latin typeface="Times New Roman" panose="02020603050405020304" pitchFamily="18" charset="0"/>
              </a:defRPr>
            </a:pPr>
            <a:endParaRPr lang="ru-BY"/>
          </a:p>
        </c:txPr>
        <c:crossAx val="128517632"/>
        <c:crosses val="autoZero"/>
        <c:crossBetween val="between"/>
      </c:valAx>
      <c:spPr>
        <a:noFill/>
      </c:spPr>
    </c:plotArea>
    <c:legend>
      <c:legendPos val="r"/>
      <c:overlay val="0"/>
      <c:spPr>
        <a:solidFill>
          <a:schemeClr val="bg1"/>
        </a:solidFill>
      </c:spPr>
      <c:txPr>
        <a:bodyPr/>
        <a:lstStyle/>
        <a:p>
          <a:pPr>
            <a:defRPr baseline="0">
              <a:latin typeface="Times New Roman" panose="02020603050405020304" pitchFamily="18" charset="0"/>
            </a:defRPr>
          </a:pPr>
          <a:endParaRPr lang="ru-BY"/>
        </a:p>
      </c:txPr>
    </c:legend>
    <c:plotVisOnly val="1"/>
    <c:dispBlanksAs val="gap"/>
    <c:showDLblsOverMax val="0"/>
  </c:chart>
  <c:spPr>
    <a:noFill/>
    <a:ln>
      <a:noFill/>
    </a:ln>
  </c:spPr>
  <c:txPr>
    <a:bodyPr/>
    <a:lstStyle/>
    <a:p>
      <a:pPr>
        <a:defRPr i="1">
          <a:latin typeface="Arial" panose="020B0604020202020204" pitchFamily="34" charset="0"/>
          <a:cs typeface="Arial" panose="020B0604020202020204" pitchFamily="34" charset="0"/>
        </a:defRPr>
      </a:pPr>
      <a:endParaRPr lang="ru-BY"/>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1B96AB-E131-4CAC-909E-8C1FF19924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1607</Words>
  <Characters>9164</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Mihail</dc:creator>
  <cp:lastModifiedBy>Mihail</cp:lastModifiedBy>
  <cp:revision>2</cp:revision>
  <dcterms:created xsi:type="dcterms:W3CDTF">2023-05-05T13:57:00Z</dcterms:created>
  <dcterms:modified xsi:type="dcterms:W3CDTF">2023-05-05T13:57:00Z</dcterms:modified>
</cp:coreProperties>
</file>