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1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27321" w14:textId="47A7519E" w:rsidR="00F156E5" w:rsidRDefault="00F156E5" w:rsidP="00EB33C2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156E5">
        <w:rPr>
          <w:rFonts w:ascii="Times New Roman" w:hAnsi="Times New Roman" w:cs="Times New Roman"/>
          <w:b/>
          <w:bCs/>
          <w:sz w:val="24"/>
          <w:szCs w:val="24"/>
        </w:rPr>
        <w:t>Пугачев А.А.</w:t>
      </w:r>
      <w:r>
        <w:rPr>
          <w:rStyle w:val="ab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77D76CE8" w14:textId="024369C6" w:rsidR="00EB33C2" w:rsidRPr="00EB33C2" w:rsidRDefault="003E60F4" w:rsidP="00EB33C2">
      <w:pPr>
        <w:spacing w:after="0" w:line="36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Способствуют ли налоговые вычеты по НДФЛ сглаживанию неравенства граждан?</w:t>
      </w:r>
      <w:r w:rsidR="00EB33C2" w:rsidRPr="00EB33C2">
        <w:rPr>
          <w:rStyle w:val="ab"/>
          <w:rFonts w:ascii="Times New Roman" w:hAnsi="Times New Roman" w:cs="Times New Roman"/>
          <w:b/>
          <w:bCs/>
          <w:caps/>
          <w:sz w:val="24"/>
          <w:szCs w:val="24"/>
        </w:rPr>
        <w:footnoteReference w:id="2"/>
      </w:r>
    </w:p>
    <w:p w14:paraId="11C2A7F3" w14:textId="77777777" w:rsidR="003774E6" w:rsidRDefault="003774E6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</w:p>
    <w:p w14:paraId="6F9EE500" w14:textId="530A1D51" w:rsidR="00807F0A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Аннотация</w:t>
      </w:r>
      <w:r w:rsidRPr="00EB33C2">
        <w:rPr>
          <w:rFonts w:ascii="Times New Roman" w:hAnsi="Times New Roman" w:cs="Times New Roman"/>
          <w:i/>
          <w:iCs/>
        </w:rPr>
        <w:t xml:space="preserve">. Неравенство </w:t>
      </w:r>
      <w:r w:rsidR="00935357">
        <w:rPr>
          <w:rFonts w:ascii="Times New Roman" w:hAnsi="Times New Roman" w:cs="Times New Roman"/>
          <w:i/>
          <w:iCs/>
        </w:rPr>
        <w:t>россиян</w:t>
      </w:r>
      <w:r w:rsidRPr="00EB33C2">
        <w:rPr>
          <w:rFonts w:ascii="Times New Roman" w:hAnsi="Times New Roman" w:cs="Times New Roman"/>
          <w:i/>
          <w:iCs/>
        </w:rPr>
        <w:t xml:space="preserve"> по доход</w:t>
      </w:r>
      <w:r w:rsidR="00807F0A">
        <w:rPr>
          <w:rFonts w:ascii="Times New Roman" w:hAnsi="Times New Roman" w:cs="Times New Roman"/>
          <w:i/>
          <w:iCs/>
        </w:rPr>
        <w:t>ам</w:t>
      </w:r>
      <w:r w:rsidRPr="00EB33C2">
        <w:rPr>
          <w:rFonts w:ascii="Times New Roman" w:hAnsi="Times New Roman" w:cs="Times New Roman"/>
          <w:i/>
          <w:iCs/>
        </w:rPr>
        <w:t xml:space="preserve"> </w:t>
      </w:r>
      <w:r w:rsidR="00935357">
        <w:rPr>
          <w:rFonts w:ascii="Times New Roman" w:hAnsi="Times New Roman" w:cs="Times New Roman"/>
          <w:i/>
          <w:iCs/>
        </w:rPr>
        <w:t xml:space="preserve">– </w:t>
      </w:r>
      <w:r w:rsidRPr="00EB33C2">
        <w:rPr>
          <w:rFonts w:ascii="Times New Roman" w:hAnsi="Times New Roman" w:cs="Times New Roman"/>
          <w:i/>
          <w:iCs/>
        </w:rPr>
        <w:t>одн</w:t>
      </w:r>
      <w:r w:rsidR="00935357">
        <w:rPr>
          <w:rFonts w:ascii="Times New Roman" w:hAnsi="Times New Roman" w:cs="Times New Roman"/>
          <w:i/>
          <w:iCs/>
        </w:rPr>
        <w:t xml:space="preserve">а </w:t>
      </w:r>
      <w:r w:rsidRPr="00EB33C2">
        <w:rPr>
          <w:rFonts w:ascii="Times New Roman" w:hAnsi="Times New Roman" w:cs="Times New Roman"/>
          <w:i/>
          <w:iCs/>
        </w:rPr>
        <w:t>из ключевых социально-экономических проблем.</w:t>
      </w:r>
      <w:r w:rsidR="004437A3">
        <w:rPr>
          <w:rFonts w:ascii="Times New Roman" w:hAnsi="Times New Roman" w:cs="Times New Roman"/>
          <w:i/>
          <w:iCs/>
        </w:rPr>
        <w:t xml:space="preserve"> </w:t>
      </w:r>
      <w:r w:rsidR="00935357">
        <w:rPr>
          <w:rFonts w:ascii="Times New Roman" w:hAnsi="Times New Roman" w:cs="Times New Roman"/>
          <w:i/>
          <w:iCs/>
        </w:rPr>
        <w:t>П</w:t>
      </w:r>
      <w:r w:rsidR="0049102A" w:rsidRPr="0049102A">
        <w:rPr>
          <w:rFonts w:ascii="Times New Roman" w:hAnsi="Times New Roman" w:cs="Times New Roman"/>
          <w:i/>
          <w:iCs/>
        </w:rPr>
        <w:t xml:space="preserve">ерекос в пользу инвестиционных и имущественных вычетов </w:t>
      </w:r>
      <w:r w:rsidR="00935357">
        <w:rPr>
          <w:rFonts w:ascii="Times New Roman" w:hAnsi="Times New Roman" w:cs="Times New Roman"/>
          <w:i/>
          <w:iCs/>
        </w:rPr>
        <w:t xml:space="preserve">по НДФЛ </w:t>
      </w:r>
      <w:r w:rsidR="0049102A" w:rsidRPr="0049102A">
        <w:rPr>
          <w:rFonts w:ascii="Times New Roman" w:hAnsi="Times New Roman" w:cs="Times New Roman"/>
          <w:i/>
          <w:iCs/>
        </w:rPr>
        <w:t>в ущерб социальным и стандартным не позволяет сгла</w:t>
      </w:r>
      <w:r w:rsidR="00807F0A">
        <w:rPr>
          <w:rFonts w:ascii="Times New Roman" w:hAnsi="Times New Roman" w:cs="Times New Roman"/>
          <w:i/>
          <w:iCs/>
        </w:rPr>
        <w:t>ди</w:t>
      </w:r>
      <w:r w:rsidR="00935357">
        <w:rPr>
          <w:rFonts w:ascii="Times New Roman" w:hAnsi="Times New Roman" w:cs="Times New Roman"/>
          <w:i/>
          <w:iCs/>
        </w:rPr>
        <w:t>ть</w:t>
      </w:r>
      <w:r w:rsidR="0049102A" w:rsidRPr="0049102A">
        <w:rPr>
          <w:rFonts w:ascii="Times New Roman" w:hAnsi="Times New Roman" w:cs="Times New Roman"/>
          <w:i/>
          <w:iCs/>
        </w:rPr>
        <w:t xml:space="preserve"> неравенств</w:t>
      </w:r>
      <w:r w:rsidR="00935357">
        <w:rPr>
          <w:rFonts w:ascii="Times New Roman" w:hAnsi="Times New Roman" w:cs="Times New Roman"/>
          <w:i/>
          <w:iCs/>
        </w:rPr>
        <w:t>о</w:t>
      </w:r>
      <w:r w:rsidR="0049102A" w:rsidRPr="00EB33C2">
        <w:rPr>
          <w:rFonts w:ascii="Times New Roman" w:hAnsi="Times New Roman" w:cs="Times New Roman"/>
          <w:i/>
          <w:iCs/>
        </w:rPr>
        <w:t>.</w:t>
      </w:r>
      <w:r w:rsidR="00807F0A">
        <w:rPr>
          <w:rFonts w:ascii="Times New Roman" w:hAnsi="Times New Roman" w:cs="Times New Roman"/>
          <w:i/>
          <w:iCs/>
        </w:rPr>
        <w:t xml:space="preserve"> Выводы подтверждены данными налоговой статистики и результатами соцопроса.</w:t>
      </w:r>
    </w:p>
    <w:p w14:paraId="7ECE8CF6" w14:textId="2A8C84E8" w:rsidR="00EB33C2" w:rsidRPr="00EB33C2" w:rsidRDefault="00EB33C2" w:rsidP="00EB33C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4755B3">
        <w:rPr>
          <w:rFonts w:ascii="Times New Roman" w:hAnsi="Times New Roman" w:cs="Times New Roman"/>
          <w:b/>
          <w:bCs/>
        </w:rPr>
        <w:t>Ключевые слова</w:t>
      </w:r>
      <w:r w:rsidR="00781741">
        <w:rPr>
          <w:rFonts w:ascii="Times New Roman" w:hAnsi="Times New Roman" w:cs="Times New Roman"/>
          <w:i/>
          <w:iCs/>
        </w:rPr>
        <w:t>:</w:t>
      </w:r>
      <w:r w:rsidRPr="00EB33C2">
        <w:rPr>
          <w:rFonts w:ascii="Times New Roman" w:hAnsi="Times New Roman" w:cs="Times New Roman"/>
          <w:i/>
          <w:iCs/>
        </w:rPr>
        <w:t xml:space="preserve"> </w:t>
      </w:r>
      <w:r w:rsidR="00781741">
        <w:rPr>
          <w:rFonts w:ascii="Times New Roman" w:hAnsi="Times New Roman" w:cs="Times New Roman"/>
          <w:i/>
          <w:iCs/>
        </w:rPr>
        <w:t>н</w:t>
      </w:r>
      <w:r w:rsidRPr="00EB33C2">
        <w:rPr>
          <w:rFonts w:ascii="Times New Roman" w:hAnsi="Times New Roman" w:cs="Times New Roman"/>
          <w:i/>
          <w:iCs/>
        </w:rPr>
        <w:t xml:space="preserve">еравенство, </w:t>
      </w:r>
      <w:r w:rsidR="004755B3">
        <w:rPr>
          <w:rFonts w:ascii="Times New Roman" w:hAnsi="Times New Roman" w:cs="Times New Roman"/>
          <w:i/>
          <w:iCs/>
        </w:rPr>
        <w:t>налоговые вычеты</w:t>
      </w:r>
      <w:r w:rsidR="005353D6">
        <w:rPr>
          <w:rFonts w:ascii="Times New Roman" w:hAnsi="Times New Roman" w:cs="Times New Roman"/>
          <w:i/>
          <w:iCs/>
        </w:rPr>
        <w:t>,</w:t>
      </w:r>
      <w:r w:rsidR="004755B3">
        <w:rPr>
          <w:rFonts w:ascii="Times New Roman" w:hAnsi="Times New Roman" w:cs="Times New Roman"/>
          <w:i/>
          <w:iCs/>
        </w:rPr>
        <w:t xml:space="preserve"> НДФЛ, </w:t>
      </w:r>
      <w:r w:rsidR="00935357">
        <w:rPr>
          <w:rFonts w:ascii="Times New Roman" w:hAnsi="Times New Roman" w:cs="Times New Roman"/>
          <w:i/>
          <w:iCs/>
        </w:rPr>
        <w:t>социальные вычеты, имущественные вычеты, инвестиционные вычеты.</w:t>
      </w:r>
    </w:p>
    <w:p w14:paraId="3BBE1A37" w14:textId="1E7A037C" w:rsidR="00F156E5" w:rsidRPr="005E50B4" w:rsidRDefault="00F156E5" w:rsidP="005E50B4">
      <w:pPr>
        <w:spacing w:after="0" w:line="252" w:lineRule="auto"/>
        <w:ind w:firstLine="425"/>
        <w:rPr>
          <w:rFonts w:ascii="Times New Roman" w:hAnsi="Times New Roman" w:cs="Times New Roman"/>
          <w:b/>
          <w:bCs/>
        </w:rPr>
      </w:pPr>
    </w:p>
    <w:p w14:paraId="2DC9564B" w14:textId="77777777" w:rsidR="00FA3FD1" w:rsidRPr="00CA1A6B" w:rsidRDefault="00FA3FD1" w:rsidP="005E50B4">
      <w:pPr>
        <w:spacing w:after="0" w:line="252" w:lineRule="auto"/>
        <w:ind w:firstLine="425"/>
        <w:rPr>
          <w:rFonts w:ascii="Times New Roman" w:hAnsi="Times New Roman" w:cs="Times New Roman"/>
        </w:rPr>
      </w:pPr>
    </w:p>
    <w:p w14:paraId="6AF1A08B" w14:textId="46C28757" w:rsidR="004C7763" w:rsidRDefault="0091090E" w:rsidP="004C7763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E6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784F66">
        <w:rPr>
          <w:rFonts w:ascii="Times New Roman" w:eastAsia="Calibri" w:hAnsi="Times New Roman" w:cs="Times New Roman"/>
          <w:sz w:val="24"/>
          <w:szCs w:val="24"/>
        </w:rPr>
        <w:t xml:space="preserve">России несмотря на существенность последствий кризисных явлений, вызванных санкционным давлением, преодоление неравенства граждан и повышение уровня жизни при сокращении бедности остаются одними из ключевых социально-экономических проблем. В арсенале государственных инструментов сглаживания неравенства подоходное налогообложение всегда обладало мощным потенциалом. </w:t>
      </w:r>
      <w:r w:rsidR="004C7763">
        <w:rPr>
          <w:rFonts w:ascii="Times New Roman" w:eastAsia="Calibri" w:hAnsi="Times New Roman" w:cs="Times New Roman"/>
          <w:sz w:val="24"/>
          <w:szCs w:val="24"/>
        </w:rPr>
        <w:t xml:space="preserve">В России на протяжении 30 лет фактически не удается снизить уровень неравенства, подоходное налогообложение также не </w:t>
      </w:r>
      <w:r w:rsidR="004C7763" w:rsidRPr="002F5346">
        <w:rPr>
          <w:rFonts w:ascii="Times New Roman" w:eastAsia="Calibri" w:hAnsi="Times New Roman" w:cs="Times New Roman"/>
          <w:sz w:val="24"/>
          <w:szCs w:val="24"/>
        </w:rPr>
        <w:t>позволяет его снизить [</w:t>
      </w:r>
      <w:r w:rsidR="002F5346" w:rsidRPr="002F5346">
        <w:rPr>
          <w:rFonts w:ascii="Times New Roman" w:eastAsia="Calibri" w:hAnsi="Times New Roman" w:cs="Times New Roman"/>
          <w:sz w:val="24"/>
          <w:szCs w:val="24"/>
        </w:rPr>
        <w:t>1</w:t>
      </w:r>
      <w:r w:rsidR="004C7763" w:rsidRPr="002F5346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2F5346" w:rsidRPr="002F5346">
        <w:rPr>
          <w:rFonts w:ascii="Times New Roman" w:eastAsia="Calibri" w:hAnsi="Times New Roman" w:cs="Times New Roman"/>
          <w:sz w:val="24"/>
          <w:szCs w:val="24"/>
        </w:rPr>
        <w:t>26</w:t>
      </w:r>
      <w:r w:rsidR="004C7763" w:rsidRPr="002F5346">
        <w:rPr>
          <w:rFonts w:ascii="Times New Roman" w:eastAsia="Calibri" w:hAnsi="Times New Roman" w:cs="Times New Roman"/>
          <w:sz w:val="24"/>
          <w:szCs w:val="24"/>
        </w:rPr>
        <w:t>]. Интерес представляет вопрос о воздействии налоговых</w:t>
      </w:r>
      <w:r w:rsidR="004C7763">
        <w:rPr>
          <w:rFonts w:ascii="Times New Roman" w:eastAsia="Calibri" w:hAnsi="Times New Roman" w:cs="Times New Roman"/>
          <w:sz w:val="24"/>
          <w:szCs w:val="24"/>
        </w:rPr>
        <w:t xml:space="preserve"> вычетов по НДФЛ на неравенство граждан. Способствуют ли вычеты снижению неравенства? Для ответа на него прежде всего рассмотрим динамику и структуру налоговых вычетов. В таблице 1 представлены</w:t>
      </w:r>
      <w:r w:rsidR="00F87025">
        <w:rPr>
          <w:rFonts w:ascii="Times New Roman" w:eastAsia="Calibri" w:hAnsi="Times New Roman" w:cs="Times New Roman"/>
          <w:sz w:val="24"/>
          <w:szCs w:val="24"/>
        </w:rPr>
        <w:t xml:space="preserve"> обобщенные</w:t>
      </w:r>
      <w:r w:rsidR="004C7763">
        <w:rPr>
          <w:rFonts w:ascii="Times New Roman" w:eastAsia="Calibri" w:hAnsi="Times New Roman" w:cs="Times New Roman"/>
          <w:sz w:val="24"/>
          <w:szCs w:val="24"/>
        </w:rPr>
        <w:t xml:space="preserve"> данные о вычетах по НДФЛ в 2015-2020 гг.</w:t>
      </w:r>
    </w:p>
    <w:p w14:paraId="50110B17" w14:textId="77777777" w:rsidR="004437A3" w:rsidRDefault="004437A3" w:rsidP="00D76600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FFCCD4" w14:textId="3B0F9400" w:rsidR="004C7763" w:rsidRDefault="004C7763" w:rsidP="005733BC">
      <w:pPr>
        <w:spacing w:after="0" w:line="252" w:lineRule="auto"/>
        <w:jc w:val="center"/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</w:pPr>
      <w:r w:rsidRPr="00287F75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 w:rsidR="00CE3E62" w:rsidRPr="00CE3E62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Динамика налоговых вычетов по НДФЛ в 2015-2020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945"/>
        <w:gridCol w:w="945"/>
        <w:gridCol w:w="945"/>
        <w:gridCol w:w="945"/>
        <w:gridCol w:w="945"/>
        <w:gridCol w:w="945"/>
        <w:gridCol w:w="1695"/>
      </w:tblGrid>
      <w:tr w:rsidR="00CE3E62" w:rsidRPr="00AE712D" w14:paraId="368D4498" w14:textId="77777777" w:rsidTr="00CE3E62">
        <w:trPr>
          <w:trHeight w:val="20"/>
        </w:trPr>
        <w:tc>
          <w:tcPr>
            <w:tcW w:w="2263" w:type="dxa"/>
            <w:shd w:val="clear" w:color="auto" w:fill="auto"/>
            <w:noWrap/>
            <w:vAlign w:val="bottom"/>
            <w:hideMark/>
          </w:tcPr>
          <w:p w14:paraId="2A9E791E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Показатели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1C9934B7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3C880887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9BBF7C9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B1DC491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00AD3C1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A6A6E3A" w14:textId="77777777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70137C1C" w14:textId="2AD20C42" w:rsidR="00CE3E62" w:rsidRPr="007A1060" w:rsidRDefault="00CE3E62" w:rsidP="00415F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Темп роста 2020 / 2015</w:t>
            </w: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, раз</w:t>
            </w:r>
          </w:p>
        </w:tc>
      </w:tr>
      <w:tr w:rsidR="00CE3E62" w:rsidRPr="00D54856" w14:paraId="7CCCE90F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center"/>
            <w:hideMark/>
          </w:tcPr>
          <w:p w14:paraId="752474AB" w14:textId="0A4F4436" w:rsidR="00CE3E62" w:rsidRPr="007A1060" w:rsidRDefault="00CE3E62" w:rsidP="00415F79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Вычеты по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операци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ям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с ценными бумагами,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129CC693" w14:textId="41867DD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076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37AB205" w14:textId="7B45907B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144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,3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350C41A2" w14:textId="36C4B8AB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450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323EB932" w14:textId="6F7BA765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876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,1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B5388BC" w14:textId="5D2C8E02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386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3EB15868" w14:textId="292C36C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169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34996BE4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22,45</w:t>
            </w:r>
          </w:p>
        </w:tc>
      </w:tr>
      <w:tr w:rsidR="00CE3E62" w:rsidRPr="00D54856" w14:paraId="6BED4499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7CCE3B7C" w14:textId="4175544F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И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нвестиционны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е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вычет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ы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0ECD0E4B" w14:textId="38177DCE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BAA0BAA" w14:textId="3D15836E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58E7057" w14:textId="1D03331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17,0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478B5E9" w14:textId="01DC32BD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5E792AC" w14:textId="139618A9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FF2A109" w14:textId="6B5AD1D1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105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0A1893DD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15,40</w:t>
            </w:r>
          </w:p>
        </w:tc>
      </w:tr>
      <w:tr w:rsidR="00CE3E62" w:rsidRPr="00D54856" w14:paraId="5819E16F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0E731B1A" w14:textId="0F2F6C98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оциальны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е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вычет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ы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0E35A82" w14:textId="40B92A02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D14118E" w14:textId="5F9D1361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96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,7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5F256D1" w14:textId="43FA7903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110,0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1CF96ECA" w14:textId="51F7076C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116,0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81BED36" w14:textId="703F1210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113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2680270" w14:textId="415EA345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151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,7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7B326A03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1,94</w:t>
            </w:r>
          </w:p>
        </w:tc>
      </w:tr>
      <w:tr w:rsidR="00CE3E62" w:rsidRPr="00D54856" w14:paraId="06C4FC3D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6B0E1D42" w14:textId="69E7CB9B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И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мущественны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е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вычет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ы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178568C3" w14:textId="6072006A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753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,8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410B703" w14:textId="1A8BA99C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455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,1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049D471" w14:textId="26789172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525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B67D1AF" w14:textId="0828F4D9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913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,1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08E4103A" w14:textId="6FE7A40A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008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304F390B" w14:textId="30E7D94D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726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6A4C28C5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1,35</w:t>
            </w:r>
          </w:p>
        </w:tc>
      </w:tr>
      <w:tr w:rsidR="00CE3E62" w:rsidRPr="00D54856" w14:paraId="77B33DA1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7C50E26F" w14:textId="7A2F0DDF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тандартны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е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вычет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ы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60BB2C9" w14:textId="15063135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326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,7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9D6A99A" w14:textId="48D3E9BC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366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4B3557F4" w14:textId="3006ED4D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366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7,0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87C11C4" w14:textId="7866A533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364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2AC27C26" w14:textId="06DD6FA3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360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02217F85" w14:textId="50C10DCE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347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,6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5A25D041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1,06</w:t>
            </w:r>
          </w:p>
        </w:tc>
      </w:tr>
      <w:tr w:rsidR="00CE3E62" w:rsidRPr="00D54856" w14:paraId="45AB26E7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48C67ADA" w14:textId="3AA4F3AC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рофессиональны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е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вычет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ы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0163DC49" w14:textId="72C58DCD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481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F067CE3" w14:textId="4B4501BE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527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6F1FC49" w14:textId="684ED0BA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7,0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C687095" w14:textId="2B0163AB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1 544,9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DB3EBD4" w14:textId="7ADA142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679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,8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A6B0CD6" w14:textId="0A97FFC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95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77D87270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1,32</w:t>
            </w:r>
          </w:p>
        </w:tc>
      </w:tr>
      <w:tr w:rsidR="00CE3E62" w:rsidRPr="00D54856" w14:paraId="790A1236" w14:textId="77777777" w:rsidTr="00CE3E62">
        <w:trPr>
          <w:trHeight w:val="20"/>
        </w:trPr>
        <w:tc>
          <w:tcPr>
            <w:tcW w:w="2263" w:type="dxa"/>
            <w:shd w:val="clear" w:color="auto" w:fill="auto"/>
            <w:vAlign w:val="bottom"/>
            <w:hideMark/>
          </w:tcPr>
          <w:p w14:paraId="52003B44" w14:textId="26A89B6E" w:rsidR="00CE3E62" w:rsidRPr="007A1060" w:rsidRDefault="00CE3E62" w:rsidP="00415F79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Общая сумма налоговых вычетов, мл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рд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руб.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DEE8740" w14:textId="0173824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723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2C7A380" w14:textId="74D99D95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636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,4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6FD84C13" w14:textId="0449612B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966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7EB685E" w14:textId="77E99A76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5 843,5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7D0FB48A" w14:textId="2FB887D0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13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607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45" w:type="dxa"/>
            <w:shd w:val="clear" w:color="auto" w:fill="auto"/>
            <w:noWrap/>
            <w:vAlign w:val="bottom"/>
            <w:hideMark/>
          </w:tcPr>
          <w:p w14:paraId="5E8DFC88" w14:textId="53564FAA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30 457,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95" w:type="dxa"/>
            <w:shd w:val="clear" w:color="auto" w:fill="auto"/>
            <w:noWrap/>
            <w:vAlign w:val="bottom"/>
            <w:hideMark/>
          </w:tcPr>
          <w:p w14:paraId="081DC48D" w14:textId="77777777" w:rsidR="00CE3E62" w:rsidRPr="007A1060" w:rsidRDefault="00CE3E62" w:rsidP="00415F79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A1060">
              <w:rPr>
                <w:rFonts w:ascii="Times New Roman" w:hAnsi="Times New Roman"/>
                <w:color w:val="000000"/>
                <w:sz w:val="20"/>
                <w:szCs w:val="20"/>
              </w:rPr>
              <w:t>5,32</w:t>
            </w:r>
          </w:p>
        </w:tc>
      </w:tr>
    </w:tbl>
    <w:p w14:paraId="6A62EED8" w14:textId="03E19A56" w:rsidR="005733BC" w:rsidRPr="00CE3E62" w:rsidRDefault="00CE3E62" w:rsidP="00133FB2">
      <w:pPr>
        <w:spacing w:after="0" w:line="240" w:lineRule="auto"/>
        <w:jc w:val="both"/>
        <w:rPr>
          <w:rFonts w:ascii="Times New Roman" w:eastAsia="DejaVu Sans" w:hAnsi="Times New Roman" w:cs="Times New Roman"/>
          <w:bCs/>
          <w:kern w:val="2"/>
          <w:sz w:val="24"/>
          <w:szCs w:val="24"/>
          <w:lang w:eastAsia="ru-RU"/>
        </w:rPr>
      </w:pPr>
      <w:r w:rsidRPr="00CE3E62">
        <w:rPr>
          <w:rFonts w:ascii="Times New Roman" w:eastAsia="DejaVu Sans" w:hAnsi="Times New Roman" w:cs="Times New Roman"/>
          <w:bCs/>
          <w:kern w:val="2"/>
          <w:sz w:val="24"/>
          <w:szCs w:val="24"/>
          <w:lang w:eastAsia="ru-RU"/>
        </w:rPr>
        <w:t xml:space="preserve">Источник: составлено автором по: </w:t>
      </w:r>
      <w:r w:rsidRPr="00CA4C71">
        <w:rPr>
          <w:rFonts w:ascii="Times New Roman" w:hAnsi="Times New Roman"/>
          <w:sz w:val="24"/>
          <w:szCs w:val="24"/>
        </w:rPr>
        <w:t>Данные по формам статистической налоговой отчетности. Отчеты по налогу на доходы физических лиц</w:t>
      </w:r>
      <w:r>
        <w:rPr>
          <w:rFonts w:ascii="Times New Roman" w:hAnsi="Times New Roman"/>
          <w:sz w:val="24"/>
          <w:szCs w:val="24"/>
        </w:rPr>
        <w:t xml:space="preserve"> </w:t>
      </w:r>
      <w:r w:rsidRPr="00CA4C71">
        <w:rPr>
          <w:rFonts w:ascii="Times New Roman" w:hAnsi="Times New Roman"/>
          <w:sz w:val="24"/>
          <w:szCs w:val="24"/>
        </w:rPr>
        <w:t xml:space="preserve">// ФНС </w:t>
      </w:r>
      <w:r w:rsidR="00A80B65">
        <w:rPr>
          <w:rFonts w:ascii="Times New Roman" w:hAnsi="Times New Roman"/>
          <w:sz w:val="24"/>
          <w:szCs w:val="24"/>
        </w:rPr>
        <w:t>РФ</w:t>
      </w:r>
      <w:r w:rsidRPr="00CA4C71">
        <w:rPr>
          <w:rFonts w:ascii="Times New Roman" w:hAnsi="Times New Roman"/>
          <w:sz w:val="24"/>
          <w:szCs w:val="24"/>
        </w:rPr>
        <w:t xml:space="preserve">. URL: </w:t>
      </w:r>
      <w:hyperlink r:id="rId8" w:history="1">
        <w:r w:rsidRPr="005E784D">
          <w:rPr>
            <w:rStyle w:val="a7"/>
            <w:rFonts w:ascii="Times New Roman" w:hAnsi="Times New Roman"/>
            <w:sz w:val="24"/>
            <w:szCs w:val="24"/>
          </w:rPr>
          <w:t>https://www.nalog.gov.ru/rn77/related_activities/statistics_and_analytics/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bookmarkStart w:id="0" w:name="_Hlk134565363"/>
      <w:r w:rsidRPr="00CA4C71">
        <w:rPr>
          <w:rFonts w:ascii="Times New Roman" w:hAnsi="Times New Roman"/>
          <w:sz w:val="24"/>
          <w:szCs w:val="24"/>
        </w:rPr>
        <w:t xml:space="preserve">(дата обращения: </w:t>
      </w:r>
      <w:r>
        <w:rPr>
          <w:rFonts w:ascii="Times New Roman" w:hAnsi="Times New Roman"/>
          <w:sz w:val="24"/>
          <w:szCs w:val="24"/>
        </w:rPr>
        <w:t>08</w:t>
      </w:r>
      <w:r w:rsidRPr="00CA4C71">
        <w:rPr>
          <w:rFonts w:ascii="Times New Roman" w:hAnsi="Times New Roman"/>
          <w:sz w:val="24"/>
          <w:szCs w:val="24"/>
        </w:rPr>
        <w:t>.0</w:t>
      </w:r>
      <w:r>
        <w:rPr>
          <w:rFonts w:ascii="Times New Roman" w:hAnsi="Times New Roman"/>
          <w:sz w:val="24"/>
          <w:szCs w:val="24"/>
        </w:rPr>
        <w:t>5</w:t>
      </w:r>
      <w:r w:rsidRPr="00CA4C71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3</w:t>
      </w:r>
      <w:r w:rsidRPr="00CA4C71">
        <w:rPr>
          <w:rFonts w:ascii="Times New Roman" w:hAnsi="Times New Roman"/>
          <w:sz w:val="24"/>
          <w:szCs w:val="24"/>
        </w:rPr>
        <w:t>).</w:t>
      </w:r>
      <w:bookmarkEnd w:id="0"/>
    </w:p>
    <w:p w14:paraId="599CA04B" w14:textId="77777777" w:rsidR="005733BC" w:rsidRDefault="005733BC" w:rsidP="005733BC">
      <w:pPr>
        <w:spacing w:after="0" w:line="252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7A1F0A61" w14:textId="3F731197" w:rsidR="00CE3E62" w:rsidRDefault="000E37D0" w:rsidP="00CE3E6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E37D0">
        <w:rPr>
          <w:rFonts w:ascii="Times New Roman" w:eastAsia="Calibri" w:hAnsi="Times New Roman" w:cs="Times New Roman"/>
          <w:sz w:val="24"/>
          <w:szCs w:val="24"/>
        </w:rPr>
        <w:t xml:space="preserve">В 2020 г. сумма предоставленных налоговых вычетов по НДФЛ превысила 30 трлн руб., ее превалирующую долю (около 80%) составляет вычет в сумме расходов (убытков), </w:t>
      </w:r>
      <w:r w:rsidRPr="000E37D0">
        <w:rPr>
          <w:rFonts w:ascii="Times New Roman" w:eastAsia="Calibri" w:hAnsi="Times New Roman" w:cs="Times New Roman"/>
          <w:sz w:val="24"/>
          <w:szCs w:val="24"/>
        </w:rPr>
        <w:lastRenderedPageBreak/>
        <w:t>связанных с получением дохода от операций с ценными бумагами – 24,2 трлн руб.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Существенный объем формируют также имущественные и профессиональные вычеты. </w:t>
      </w:r>
      <w:r w:rsidRPr="000E37D0">
        <w:rPr>
          <w:rFonts w:ascii="Times New Roman" w:eastAsia="Calibri" w:hAnsi="Times New Roman" w:cs="Times New Roman"/>
          <w:sz w:val="24"/>
          <w:szCs w:val="24"/>
        </w:rPr>
        <w:t xml:space="preserve">За рассматриваемый период с 2015 по 2020 гг. сумма вычетов выросла в 5,3 раза, </w:t>
      </w:r>
      <w:r>
        <w:rPr>
          <w:rFonts w:ascii="Times New Roman" w:eastAsia="Calibri" w:hAnsi="Times New Roman" w:cs="Times New Roman"/>
          <w:sz w:val="24"/>
          <w:szCs w:val="24"/>
        </w:rPr>
        <w:t>основной вклад также внес вычет по операциям с ценными бумагами</w:t>
      </w:r>
      <w:r w:rsidRPr="000E37D0">
        <w:rPr>
          <w:rFonts w:ascii="Times New Roman" w:eastAsia="Calibri" w:hAnsi="Times New Roman" w:cs="Times New Roman"/>
          <w:sz w:val="24"/>
          <w:szCs w:val="24"/>
        </w:rPr>
        <w:t xml:space="preserve">, который, возрос в 22,5 раза. Такой </w:t>
      </w:r>
      <w:r>
        <w:rPr>
          <w:rFonts w:ascii="Times New Roman" w:eastAsia="Calibri" w:hAnsi="Times New Roman" w:cs="Times New Roman"/>
          <w:sz w:val="24"/>
          <w:szCs w:val="24"/>
        </w:rPr>
        <w:t>его</w:t>
      </w:r>
      <w:r w:rsidRPr="000E37D0">
        <w:rPr>
          <w:rFonts w:ascii="Times New Roman" w:eastAsia="Calibri" w:hAnsi="Times New Roman" w:cs="Times New Roman"/>
          <w:sz w:val="24"/>
          <w:szCs w:val="24"/>
        </w:rPr>
        <w:t xml:space="preserve"> рост </w:t>
      </w:r>
      <w:r>
        <w:rPr>
          <w:rFonts w:ascii="Times New Roman" w:eastAsia="Calibri" w:hAnsi="Times New Roman" w:cs="Times New Roman"/>
          <w:sz w:val="24"/>
          <w:szCs w:val="24"/>
        </w:rPr>
        <w:t>о</w:t>
      </w:r>
      <w:r w:rsidRPr="000E37D0">
        <w:rPr>
          <w:rFonts w:ascii="Times New Roman" w:eastAsia="Calibri" w:hAnsi="Times New Roman" w:cs="Times New Roman"/>
          <w:sz w:val="24"/>
          <w:szCs w:val="24"/>
        </w:rPr>
        <w:t xml:space="preserve">бъясняется как повышением инвестиционной активности граждан, так и падением на рынках в 2020 г. вследствие </w:t>
      </w:r>
      <w:proofErr w:type="spellStart"/>
      <w:r w:rsidRPr="000E37D0">
        <w:rPr>
          <w:rFonts w:ascii="Times New Roman" w:eastAsia="Calibri" w:hAnsi="Times New Roman" w:cs="Times New Roman"/>
          <w:sz w:val="24"/>
          <w:szCs w:val="24"/>
        </w:rPr>
        <w:t>коронакризиса</w:t>
      </w:r>
      <w:proofErr w:type="spellEnd"/>
      <w:r w:rsidRPr="000E37D0">
        <w:rPr>
          <w:rFonts w:ascii="Times New Roman" w:eastAsia="Calibri" w:hAnsi="Times New Roman" w:cs="Times New Roman"/>
          <w:sz w:val="24"/>
          <w:szCs w:val="24"/>
        </w:rPr>
        <w:t>, когда убытки на рынке были весьма существенными.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816A4">
        <w:rPr>
          <w:rFonts w:ascii="Times New Roman" w:eastAsia="Calibri" w:hAnsi="Times New Roman" w:cs="Times New Roman"/>
          <w:sz w:val="24"/>
          <w:szCs w:val="24"/>
        </w:rPr>
        <w:t xml:space="preserve">Структура налоговых вычетов </w:t>
      </w:r>
      <w:r w:rsidR="00F87025">
        <w:rPr>
          <w:rFonts w:ascii="Times New Roman" w:eastAsia="Calibri" w:hAnsi="Times New Roman" w:cs="Times New Roman"/>
          <w:sz w:val="24"/>
          <w:szCs w:val="24"/>
        </w:rPr>
        <w:t xml:space="preserve">без вычета по операциям с ценными бумагами </w:t>
      </w:r>
      <w:r w:rsidR="00B816A4">
        <w:rPr>
          <w:rFonts w:ascii="Times New Roman" w:eastAsia="Calibri" w:hAnsi="Times New Roman" w:cs="Times New Roman"/>
          <w:sz w:val="24"/>
          <w:szCs w:val="24"/>
        </w:rPr>
        <w:t>в 2020 г. представлена на рисунке 1.</w:t>
      </w:r>
    </w:p>
    <w:p w14:paraId="311751CD" w14:textId="77777777" w:rsidR="00F87025" w:rsidRDefault="00F87025" w:rsidP="00CE3E62">
      <w:pPr>
        <w:spacing w:after="0" w:line="252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C2487E8" w14:textId="31EA0BD1" w:rsidR="00251FC2" w:rsidRPr="00BB24E6" w:rsidRDefault="00251FC2" w:rsidP="00D76600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AD412B3" wp14:editId="4E6F5B92">
            <wp:extent cx="5775960" cy="2743200"/>
            <wp:effectExtent l="0" t="0" r="0" b="0"/>
            <wp:docPr id="583739480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7DD26EB2-2ED6-4C6F-A5A5-609D7084FD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BF17669" w14:textId="09883531" w:rsidR="004437A3" w:rsidRPr="00287F75" w:rsidRDefault="004437A3" w:rsidP="00BD4C1F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1. </w:t>
      </w:r>
      <w:r w:rsidR="00FD273E" w:rsidRPr="00FD273E">
        <w:rPr>
          <w:rFonts w:ascii="Times New Roman" w:hAnsi="Times New Roman" w:cs="Times New Roman"/>
          <w:b/>
          <w:sz w:val="24"/>
          <w:szCs w:val="24"/>
        </w:rPr>
        <w:t>Структура налоговых вычетов по НДФЛ в 2020 г. (за исключением вычетов по операциям с ценными бумагами)</w:t>
      </w:r>
      <w:r w:rsidR="00FD273E">
        <w:rPr>
          <w:rFonts w:ascii="Times New Roman" w:hAnsi="Times New Roman" w:cs="Times New Roman"/>
          <w:b/>
          <w:sz w:val="24"/>
          <w:szCs w:val="24"/>
        </w:rPr>
        <w:t>, %</w:t>
      </w:r>
    </w:p>
    <w:p w14:paraId="7C6EA65F" w14:textId="2BC24124" w:rsidR="004437A3" w:rsidRDefault="004437A3" w:rsidP="00133FB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Источник: </w:t>
      </w:r>
      <w:r w:rsidR="00FD273E">
        <w:rPr>
          <w:rFonts w:ascii="Times New Roman" w:eastAsia="Calibri" w:hAnsi="Times New Roman" w:cs="Times New Roman"/>
          <w:sz w:val="24"/>
          <w:szCs w:val="24"/>
        </w:rPr>
        <w:t xml:space="preserve">составлено автором по: </w:t>
      </w:r>
      <w:r w:rsidR="00EA755D" w:rsidRPr="00CA4C71">
        <w:rPr>
          <w:rFonts w:ascii="Times New Roman" w:hAnsi="Times New Roman"/>
          <w:sz w:val="24"/>
          <w:szCs w:val="24"/>
        </w:rPr>
        <w:t>Данные по формам статистической налоговой отчетности. Отчеты по налогу на доходы физических лиц</w:t>
      </w:r>
      <w:r w:rsidR="00EA755D">
        <w:rPr>
          <w:rFonts w:ascii="Times New Roman" w:hAnsi="Times New Roman"/>
          <w:sz w:val="24"/>
          <w:szCs w:val="24"/>
        </w:rPr>
        <w:t xml:space="preserve"> </w:t>
      </w:r>
      <w:r w:rsidR="00EA755D" w:rsidRPr="00CA4C71">
        <w:rPr>
          <w:rFonts w:ascii="Times New Roman" w:hAnsi="Times New Roman"/>
          <w:sz w:val="24"/>
          <w:szCs w:val="24"/>
        </w:rPr>
        <w:t>// ФНС Р</w:t>
      </w:r>
      <w:r w:rsidR="00A80B65">
        <w:rPr>
          <w:rFonts w:ascii="Times New Roman" w:hAnsi="Times New Roman"/>
          <w:sz w:val="24"/>
          <w:szCs w:val="24"/>
        </w:rPr>
        <w:t>Ф</w:t>
      </w:r>
      <w:r w:rsidR="00EA755D" w:rsidRPr="00CA4C71">
        <w:rPr>
          <w:rFonts w:ascii="Times New Roman" w:hAnsi="Times New Roman"/>
          <w:sz w:val="24"/>
          <w:szCs w:val="24"/>
        </w:rPr>
        <w:t xml:space="preserve">. URL: </w:t>
      </w:r>
      <w:hyperlink r:id="rId10" w:history="1">
        <w:r w:rsidR="00EA755D" w:rsidRPr="005E784D">
          <w:rPr>
            <w:rStyle w:val="a7"/>
            <w:rFonts w:ascii="Times New Roman" w:hAnsi="Times New Roman"/>
            <w:sz w:val="24"/>
            <w:szCs w:val="24"/>
          </w:rPr>
          <w:t>https://www.nalog.gov.ru/rn77/related_activities/statistics_and_analytics/</w:t>
        </w:r>
      </w:hyperlink>
      <w:r w:rsidR="00EA755D">
        <w:rPr>
          <w:rFonts w:ascii="Times New Roman" w:hAnsi="Times New Roman"/>
          <w:sz w:val="24"/>
          <w:szCs w:val="24"/>
        </w:rPr>
        <w:t xml:space="preserve"> </w:t>
      </w:r>
      <w:r w:rsidR="00EA755D" w:rsidRPr="00CA4C71">
        <w:rPr>
          <w:rFonts w:ascii="Times New Roman" w:hAnsi="Times New Roman"/>
          <w:sz w:val="24"/>
          <w:szCs w:val="24"/>
        </w:rPr>
        <w:t xml:space="preserve">(дата обращения: </w:t>
      </w:r>
      <w:r w:rsidR="00EA755D">
        <w:rPr>
          <w:rFonts w:ascii="Times New Roman" w:hAnsi="Times New Roman"/>
          <w:sz w:val="24"/>
          <w:szCs w:val="24"/>
        </w:rPr>
        <w:t>08</w:t>
      </w:r>
      <w:r w:rsidR="00EA755D" w:rsidRPr="00CA4C71">
        <w:rPr>
          <w:rFonts w:ascii="Times New Roman" w:hAnsi="Times New Roman"/>
          <w:sz w:val="24"/>
          <w:szCs w:val="24"/>
        </w:rPr>
        <w:t>.0</w:t>
      </w:r>
      <w:r w:rsidR="00EA755D">
        <w:rPr>
          <w:rFonts w:ascii="Times New Roman" w:hAnsi="Times New Roman"/>
          <w:sz w:val="24"/>
          <w:szCs w:val="24"/>
        </w:rPr>
        <w:t>5</w:t>
      </w:r>
      <w:r w:rsidR="00EA755D" w:rsidRPr="00CA4C71">
        <w:rPr>
          <w:rFonts w:ascii="Times New Roman" w:hAnsi="Times New Roman"/>
          <w:sz w:val="24"/>
          <w:szCs w:val="24"/>
        </w:rPr>
        <w:t>.202</w:t>
      </w:r>
      <w:r w:rsidR="00EA755D">
        <w:rPr>
          <w:rFonts w:ascii="Times New Roman" w:hAnsi="Times New Roman"/>
          <w:sz w:val="24"/>
          <w:szCs w:val="24"/>
        </w:rPr>
        <w:t>3</w:t>
      </w:r>
      <w:r w:rsidR="00EA755D" w:rsidRPr="00CA4C71">
        <w:rPr>
          <w:rFonts w:ascii="Times New Roman" w:hAnsi="Times New Roman"/>
          <w:sz w:val="24"/>
          <w:szCs w:val="24"/>
        </w:rPr>
        <w:t>).</w:t>
      </w:r>
    </w:p>
    <w:p w14:paraId="5C2B3C56" w14:textId="77777777" w:rsidR="00BD4C1F" w:rsidRDefault="00BD4C1F" w:rsidP="00BD4C1F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9D28D0F" w14:textId="2872191C" w:rsidR="00F87025" w:rsidRDefault="00F87025" w:rsidP="00F87025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Сложившаяся структура налоговых вычетов по НДФЛ не может способствовать снижению неравенства граждан, поскольку вычеты по операциям с ценными бумагами, профессиональные и имущественные вычеты, которые в совокупности формируют 98% всех налоговых вычетов, не направлены на снижение налоговой нагрузки для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низкообеспеченных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слоев населения. Вычет по операциям с ценными бумагами и имущественные вычет могут получить только граждане, имеющие соответствующие доходы или расходы – по инвестициям и операциям с недвижимостью. Профессиональные вычеты имеют иное предназначение – снижение налоговой базы лиц отдельных профессий на величину производимых ими расходов в рамках профессиональной деятельности. Способствовать сглаживанию неравенства призваны социальные и стандартные вычеты, однако, эти вычеты в общей их сумме формируют только около 2%. Так, в 2020 г. стандартных вычетов предоставлено на 347,6 млрд руб., а социальных – 151,7 млрд руб. При этом общая сумма стандартных налоговых вычетов остается стабильной с 2015 г. в связи с отсутствием их индексации. Такие объемы стандартных и социальных вычетов при многократном их превышении другими вычетами не позволяют оказывать существенное воздействие на снижение налоговой нагрузки для бедных граждан. Это подтверждают и результаты социологического опроса, проведенного нами в 2022 г.</w:t>
      </w:r>
      <w:r w:rsidR="00807F0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07F0A" w:rsidRPr="004344A0">
        <w:rPr>
          <w:rFonts w:ascii="Times New Roman" w:hAnsi="Times New Roman"/>
          <w:sz w:val="24"/>
          <w:szCs w:val="24"/>
        </w:rPr>
        <w:t xml:space="preserve">В </w:t>
      </w:r>
      <w:r w:rsidR="00807F0A">
        <w:rPr>
          <w:rFonts w:ascii="Times New Roman" w:hAnsi="Times New Roman"/>
          <w:sz w:val="24"/>
          <w:szCs w:val="24"/>
        </w:rPr>
        <w:t>рамках</w:t>
      </w:r>
      <w:r w:rsidR="00807F0A" w:rsidRPr="004344A0">
        <w:rPr>
          <w:rFonts w:ascii="Times New Roman" w:hAnsi="Times New Roman"/>
          <w:sz w:val="24"/>
          <w:szCs w:val="24"/>
        </w:rPr>
        <w:t xml:space="preserve"> сплошного анкетирования опрошены 1063 респондента из 45 регионов России. Опрос проведен опосредованно с использованием Google Форм.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Данные о востребованности налоговых вычетов </w:t>
      </w:r>
      <w:r w:rsidR="00807F0A">
        <w:rPr>
          <w:rFonts w:ascii="Times New Roman" w:eastAsia="Calibri" w:hAnsi="Times New Roman" w:cs="Times New Roman"/>
          <w:sz w:val="24"/>
          <w:szCs w:val="24"/>
        </w:rPr>
        <w:t xml:space="preserve">по НДФЛ </w:t>
      </w:r>
      <w:r>
        <w:rPr>
          <w:rFonts w:ascii="Times New Roman" w:eastAsia="Calibri" w:hAnsi="Times New Roman" w:cs="Times New Roman"/>
          <w:sz w:val="24"/>
          <w:szCs w:val="24"/>
        </w:rPr>
        <w:t xml:space="preserve">по доходным группам </w:t>
      </w:r>
      <w:r w:rsidR="00807F0A">
        <w:rPr>
          <w:rFonts w:ascii="Times New Roman" w:eastAsia="Calibri" w:hAnsi="Times New Roman" w:cs="Times New Roman"/>
          <w:sz w:val="24"/>
          <w:szCs w:val="24"/>
        </w:rPr>
        <w:t>респондентов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приведены на рисунке 2. </w:t>
      </w:r>
    </w:p>
    <w:p w14:paraId="025E7B80" w14:textId="77777777" w:rsidR="00F87025" w:rsidRDefault="00F87025" w:rsidP="00BD4C1F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5A9BA49" w14:textId="0FE0D229" w:rsidR="00BD4C1F" w:rsidRDefault="00FF36A8" w:rsidP="00BD4C1F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EEB255E" wp14:editId="01F8A625">
            <wp:extent cx="6101715" cy="3038475"/>
            <wp:effectExtent l="0" t="0" r="0" b="0"/>
            <wp:docPr id="1957581970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38B3BDF-3747-4764-B524-ADB0DF03067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5996CF1" w14:textId="01B69CCB" w:rsidR="00EA755D" w:rsidRPr="00287F75" w:rsidRDefault="00EA755D" w:rsidP="00BD4C1F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B5953">
        <w:rPr>
          <w:rFonts w:ascii="Times New Roman" w:hAnsi="Times New Roman" w:cs="Times New Roman"/>
          <w:sz w:val="24"/>
          <w:szCs w:val="24"/>
        </w:rPr>
        <w:t xml:space="preserve">. </w:t>
      </w:r>
      <w:r w:rsidR="00D92AFC">
        <w:rPr>
          <w:rFonts w:ascii="Times New Roman" w:hAnsi="Times New Roman" w:cs="Times New Roman"/>
          <w:b/>
          <w:sz w:val="24"/>
          <w:szCs w:val="24"/>
        </w:rPr>
        <w:t>Востребованность</w:t>
      </w:r>
      <w:r w:rsidRPr="00FD273E">
        <w:rPr>
          <w:rFonts w:ascii="Times New Roman" w:hAnsi="Times New Roman" w:cs="Times New Roman"/>
          <w:b/>
          <w:sz w:val="24"/>
          <w:szCs w:val="24"/>
        </w:rPr>
        <w:t xml:space="preserve"> налоговых вычетов по НДФЛ </w:t>
      </w:r>
      <w:r w:rsidR="00D92AFC">
        <w:rPr>
          <w:rFonts w:ascii="Times New Roman" w:hAnsi="Times New Roman" w:cs="Times New Roman"/>
          <w:b/>
          <w:sz w:val="24"/>
          <w:szCs w:val="24"/>
        </w:rPr>
        <w:t>по доходным группам, %</w:t>
      </w:r>
    </w:p>
    <w:p w14:paraId="5CB4D420" w14:textId="3867E04A" w:rsidR="00EA755D" w:rsidRDefault="00D92AFC" w:rsidP="00A80B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Источник: составлено автором по</w:t>
      </w:r>
      <w:r w:rsidR="00384CFE">
        <w:rPr>
          <w:rFonts w:ascii="Times New Roman" w:eastAsia="Calibri" w:hAnsi="Times New Roman" w:cs="Times New Roman"/>
          <w:sz w:val="24"/>
          <w:szCs w:val="24"/>
        </w:rPr>
        <w:t xml:space="preserve"> результатам социологического опроса [</w:t>
      </w:r>
      <w:r w:rsidR="002F5346">
        <w:rPr>
          <w:rFonts w:ascii="Times New Roman" w:eastAsia="Calibri" w:hAnsi="Times New Roman" w:cs="Times New Roman"/>
          <w:sz w:val="24"/>
          <w:szCs w:val="24"/>
        </w:rPr>
        <w:t>3</w:t>
      </w:r>
      <w:r w:rsidR="00384CFE">
        <w:rPr>
          <w:rFonts w:ascii="Times New Roman" w:eastAsia="Calibri" w:hAnsi="Times New Roman" w:cs="Times New Roman"/>
          <w:sz w:val="24"/>
          <w:szCs w:val="24"/>
        </w:rPr>
        <w:t>]</w:t>
      </w:r>
      <w:r w:rsidR="00BD4C1F" w:rsidRPr="00C1350F">
        <w:rPr>
          <w:rFonts w:ascii="Times New Roman" w:hAnsi="Times New Roman"/>
          <w:sz w:val="24"/>
          <w:szCs w:val="24"/>
        </w:rPr>
        <w:t>.</w:t>
      </w:r>
    </w:p>
    <w:p w14:paraId="0389ABA0" w14:textId="77777777" w:rsidR="00BD4C1F" w:rsidRDefault="00BD4C1F" w:rsidP="00A80B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FFCF95" w14:textId="62AD9230" w:rsidR="00807F0A" w:rsidRPr="00807F0A" w:rsidRDefault="00807F0A" w:rsidP="00A80B6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07F0A">
        <w:rPr>
          <w:rFonts w:ascii="Times New Roman" w:hAnsi="Times New Roman"/>
          <w:sz w:val="24"/>
          <w:szCs w:val="24"/>
        </w:rPr>
        <w:t>Имущественны</w:t>
      </w:r>
      <w:r>
        <w:rPr>
          <w:rFonts w:ascii="Times New Roman" w:hAnsi="Times New Roman"/>
          <w:sz w:val="24"/>
          <w:szCs w:val="24"/>
        </w:rPr>
        <w:t>й</w:t>
      </w:r>
      <w:r w:rsidRPr="00807F0A">
        <w:rPr>
          <w:rFonts w:ascii="Times New Roman" w:hAnsi="Times New Roman"/>
          <w:sz w:val="24"/>
          <w:szCs w:val="24"/>
        </w:rPr>
        <w:t xml:space="preserve"> налоговы</w:t>
      </w:r>
      <w:r>
        <w:rPr>
          <w:rFonts w:ascii="Times New Roman" w:hAnsi="Times New Roman"/>
          <w:sz w:val="24"/>
          <w:szCs w:val="24"/>
        </w:rPr>
        <w:t>й</w:t>
      </w:r>
      <w:r w:rsidRPr="00807F0A">
        <w:rPr>
          <w:rFonts w:ascii="Times New Roman" w:hAnsi="Times New Roman"/>
          <w:sz w:val="24"/>
          <w:szCs w:val="24"/>
        </w:rPr>
        <w:t xml:space="preserve"> вычет</w:t>
      </w:r>
      <w:r>
        <w:rPr>
          <w:rFonts w:ascii="Times New Roman" w:hAnsi="Times New Roman"/>
          <w:sz w:val="24"/>
          <w:szCs w:val="24"/>
        </w:rPr>
        <w:t xml:space="preserve"> по НДФЛ был востребован</w:t>
      </w:r>
      <w:r w:rsidRPr="00807F0A">
        <w:rPr>
          <w:rFonts w:ascii="Times New Roman" w:hAnsi="Times New Roman"/>
          <w:sz w:val="24"/>
          <w:szCs w:val="24"/>
        </w:rPr>
        <w:t xml:space="preserve"> кажды</w:t>
      </w:r>
      <w:r>
        <w:rPr>
          <w:rFonts w:ascii="Times New Roman" w:hAnsi="Times New Roman"/>
          <w:sz w:val="24"/>
          <w:szCs w:val="24"/>
        </w:rPr>
        <w:t>м</w:t>
      </w:r>
      <w:r w:rsidRPr="00807F0A">
        <w:rPr>
          <w:rFonts w:ascii="Times New Roman" w:hAnsi="Times New Roman"/>
          <w:sz w:val="24"/>
          <w:szCs w:val="24"/>
        </w:rPr>
        <w:t xml:space="preserve"> четверты</w:t>
      </w:r>
      <w:r>
        <w:rPr>
          <w:rFonts w:ascii="Times New Roman" w:hAnsi="Times New Roman"/>
          <w:sz w:val="24"/>
          <w:szCs w:val="24"/>
        </w:rPr>
        <w:t>м</w:t>
      </w:r>
      <w:r w:rsidRPr="00807F0A">
        <w:rPr>
          <w:rFonts w:ascii="Times New Roman" w:hAnsi="Times New Roman"/>
          <w:sz w:val="24"/>
          <w:szCs w:val="24"/>
        </w:rPr>
        <w:t xml:space="preserve"> опрошенны</w:t>
      </w:r>
      <w:r>
        <w:rPr>
          <w:rFonts w:ascii="Times New Roman" w:hAnsi="Times New Roman"/>
          <w:sz w:val="24"/>
          <w:szCs w:val="24"/>
        </w:rPr>
        <w:t>м</w:t>
      </w:r>
      <w:r w:rsidRPr="00807F0A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С</w:t>
      </w:r>
      <w:r w:rsidRPr="00807F0A">
        <w:rPr>
          <w:rFonts w:ascii="Times New Roman" w:hAnsi="Times New Roman"/>
          <w:sz w:val="24"/>
          <w:szCs w:val="24"/>
        </w:rPr>
        <w:t xml:space="preserve"> ростом дохода востребованность вычета возрастает, поскольку возрастает возможность приобретения (строительства) жилья</w:t>
      </w:r>
      <w:r>
        <w:rPr>
          <w:rFonts w:ascii="Times New Roman" w:hAnsi="Times New Roman"/>
          <w:sz w:val="24"/>
          <w:szCs w:val="24"/>
        </w:rPr>
        <w:t>.</w:t>
      </w:r>
      <w:r w:rsidRPr="00807F0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</w:t>
      </w:r>
      <w:r w:rsidRPr="00807F0A">
        <w:rPr>
          <w:rFonts w:ascii="Times New Roman" w:hAnsi="Times New Roman"/>
          <w:sz w:val="24"/>
          <w:szCs w:val="24"/>
        </w:rPr>
        <w:t>ля бедных граждан</w:t>
      </w:r>
      <w:r>
        <w:rPr>
          <w:rFonts w:ascii="Times New Roman" w:hAnsi="Times New Roman"/>
          <w:sz w:val="24"/>
          <w:szCs w:val="24"/>
        </w:rPr>
        <w:t xml:space="preserve"> (</w:t>
      </w:r>
      <w:r w:rsidRPr="00807F0A">
        <w:rPr>
          <w:rFonts w:ascii="Times New Roman" w:hAnsi="Times New Roman"/>
          <w:sz w:val="24"/>
          <w:szCs w:val="24"/>
        </w:rPr>
        <w:t>ежемесячный доход &lt; 15 тыс. руб., т.е. ниже МРОТ) эта доля составляет 11,8%, для граждан с доходами ниже среднего (15 - 40 тыс. руб.) – 18,3%, со средним доходом (40 - 100 тыс. руб.) – 31,3%, с доходами выше среднего (100 - 400 тыс. руб.) – 35,2%, для наиболее обеспеченных граждан с доходами свыше 400 тыс. руб. – 45,5%</w:t>
      </w:r>
      <w:r w:rsidR="002F5346">
        <w:rPr>
          <w:rFonts w:ascii="Times New Roman" w:hAnsi="Times New Roman"/>
          <w:sz w:val="24"/>
          <w:szCs w:val="24"/>
        </w:rPr>
        <w:t xml:space="preserve"> </w:t>
      </w:r>
      <w:r w:rsidR="002F5346" w:rsidRPr="002F5346">
        <w:rPr>
          <w:rFonts w:ascii="Times New Roman" w:eastAsia="Calibri" w:hAnsi="Times New Roman" w:cs="Times New Roman"/>
          <w:sz w:val="24"/>
          <w:szCs w:val="24"/>
        </w:rPr>
        <w:t>[</w:t>
      </w:r>
      <w:r w:rsidR="002F5346">
        <w:rPr>
          <w:rFonts w:ascii="Times New Roman" w:eastAsia="Calibri" w:hAnsi="Times New Roman" w:cs="Times New Roman"/>
          <w:sz w:val="24"/>
          <w:szCs w:val="24"/>
        </w:rPr>
        <w:t>2</w:t>
      </w:r>
      <w:r w:rsidR="002F5346" w:rsidRPr="002F5346">
        <w:rPr>
          <w:rFonts w:ascii="Times New Roman" w:eastAsia="Calibri" w:hAnsi="Times New Roman" w:cs="Times New Roman"/>
          <w:sz w:val="24"/>
          <w:szCs w:val="24"/>
        </w:rPr>
        <w:t xml:space="preserve">, с. </w:t>
      </w:r>
      <w:r w:rsidR="00590021">
        <w:rPr>
          <w:rFonts w:ascii="Times New Roman" w:eastAsia="Calibri" w:hAnsi="Times New Roman" w:cs="Times New Roman"/>
          <w:sz w:val="24"/>
          <w:szCs w:val="24"/>
        </w:rPr>
        <w:t>9-10</w:t>
      </w:r>
      <w:r w:rsidR="002F5346" w:rsidRPr="002F5346">
        <w:rPr>
          <w:rFonts w:ascii="Times New Roman" w:eastAsia="Calibri" w:hAnsi="Times New Roman" w:cs="Times New Roman"/>
          <w:sz w:val="24"/>
          <w:szCs w:val="24"/>
        </w:rPr>
        <w:t>]</w:t>
      </w:r>
      <w:r w:rsidRPr="00807F0A">
        <w:rPr>
          <w:rFonts w:ascii="Times New Roman" w:hAnsi="Times New Roman"/>
          <w:sz w:val="24"/>
          <w:szCs w:val="24"/>
        </w:rPr>
        <w:t>.</w:t>
      </w:r>
    </w:p>
    <w:p w14:paraId="22CB7ABF" w14:textId="62904B3A" w:rsidR="00807F0A" w:rsidRPr="00807F0A" w:rsidRDefault="00807F0A" w:rsidP="00807F0A">
      <w:pPr>
        <w:spacing w:after="0" w:line="252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07F0A">
        <w:rPr>
          <w:rFonts w:ascii="Times New Roman" w:hAnsi="Times New Roman"/>
          <w:sz w:val="24"/>
          <w:szCs w:val="24"/>
        </w:rPr>
        <w:t xml:space="preserve">Для инвестиционных вычетов ситуация аналогичная: с ростом дохода возрастает инвестиционная активность налогоплательщиков, причем существенный ее рост начинается для доходов выше среднего. 8,3% </w:t>
      </w:r>
      <w:r w:rsidR="00384CFE" w:rsidRPr="00807F0A">
        <w:rPr>
          <w:rFonts w:ascii="Times New Roman" w:hAnsi="Times New Roman"/>
          <w:sz w:val="24"/>
          <w:szCs w:val="24"/>
        </w:rPr>
        <w:t xml:space="preserve">среди опрошенных </w:t>
      </w:r>
      <w:r w:rsidRPr="00807F0A">
        <w:rPr>
          <w:rFonts w:ascii="Times New Roman" w:hAnsi="Times New Roman"/>
          <w:sz w:val="24"/>
          <w:szCs w:val="24"/>
        </w:rPr>
        <w:t xml:space="preserve">пользовались инвестиционными вычетами. </w:t>
      </w:r>
      <w:r w:rsidR="00384CFE">
        <w:rPr>
          <w:rFonts w:ascii="Times New Roman" w:hAnsi="Times New Roman"/>
          <w:sz w:val="24"/>
          <w:szCs w:val="24"/>
        </w:rPr>
        <w:t>Д</w:t>
      </w:r>
      <w:r w:rsidRPr="00807F0A">
        <w:rPr>
          <w:rFonts w:ascii="Times New Roman" w:hAnsi="Times New Roman"/>
          <w:sz w:val="24"/>
          <w:szCs w:val="24"/>
        </w:rPr>
        <w:t xml:space="preserve">ля </w:t>
      </w:r>
      <w:r>
        <w:rPr>
          <w:rFonts w:ascii="Times New Roman" w:hAnsi="Times New Roman"/>
          <w:sz w:val="24"/>
          <w:szCs w:val="24"/>
        </w:rPr>
        <w:t>граждан</w:t>
      </w:r>
      <w:r w:rsidRPr="00807F0A">
        <w:rPr>
          <w:rFonts w:ascii="Times New Roman" w:hAnsi="Times New Roman"/>
          <w:sz w:val="24"/>
          <w:szCs w:val="24"/>
        </w:rPr>
        <w:t xml:space="preserve"> с доходами выше среднего </w:t>
      </w:r>
      <w:r>
        <w:rPr>
          <w:rFonts w:ascii="Times New Roman" w:hAnsi="Times New Roman"/>
          <w:sz w:val="24"/>
          <w:szCs w:val="24"/>
        </w:rPr>
        <w:t>(</w:t>
      </w:r>
      <w:r w:rsidRPr="00807F0A">
        <w:rPr>
          <w:rFonts w:ascii="Times New Roman" w:hAnsi="Times New Roman"/>
          <w:sz w:val="24"/>
          <w:szCs w:val="24"/>
        </w:rPr>
        <w:t>100 до 400 тыс. руб.</w:t>
      </w:r>
      <w:r>
        <w:rPr>
          <w:rFonts w:ascii="Times New Roman" w:hAnsi="Times New Roman"/>
          <w:sz w:val="24"/>
          <w:szCs w:val="24"/>
        </w:rPr>
        <w:t>)</w:t>
      </w:r>
      <w:r w:rsidRPr="00807F0A">
        <w:rPr>
          <w:rFonts w:ascii="Times New Roman" w:hAnsi="Times New Roman"/>
          <w:sz w:val="24"/>
          <w:szCs w:val="24"/>
        </w:rPr>
        <w:t xml:space="preserve"> </w:t>
      </w:r>
      <w:r w:rsidR="004A3537">
        <w:rPr>
          <w:rFonts w:ascii="Times New Roman" w:hAnsi="Times New Roman"/>
          <w:sz w:val="24"/>
          <w:szCs w:val="24"/>
        </w:rPr>
        <w:t>эта доля составила</w:t>
      </w:r>
      <w:r w:rsidRPr="00807F0A">
        <w:rPr>
          <w:rFonts w:ascii="Times New Roman" w:hAnsi="Times New Roman"/>
          <w:sz w:val="24"/>
          <w:szCs w:val="24"/>
        </w:rPr>
        <w:t xml:space="preserve"> 26,2%, для наиболее обеспеченных граждан с доходами свыше 400 тыс. руб. – 27,3%.</w:t>
      </w:r>
    </w:p>
    <w:p w14:paraId="7330AF46" w14:textId="57AC1F1E" w:rsidR="00807F0A" w:rsidRPr="00807F0A" w:rsidRDefault="00807F0A" w:rsidP="00807F0A">
      <w:pPr>
        <w:spacing w:after="0" w:line="252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07F0A">
        <w:rPr>
          <w:rFonts w:ascii="Times New Roman" w:hAnsi="Times New Roman"/>
          <w:sz w:val="24"/>
          <w:szCs w:val="24"/>
        </w:rPr>
        <w:t xml:space="preserve">Социальные вычеты более равномерно распределены по доходным группам. Зависимость востребованности социальных вычетов по НДФЛ от уровня доходов не прослеживается. </w:t>
      </w:r>
      <w:r>
        <w:rPr>
          <w:rFonts w:ascii="Times New Roman" w:hAnsi="Times New Roman"/>
          <w:sz w:val="24"/>
          <w:szCs w:val="24"/>
        </w:rPr>
        <w:t>В среднем 43,7% респондентов воспользовались социальными вычетами.</w:t>
      </w:r>
    </w:p>
    <w:p w14:paraId="5A248D5E" w14:textId="77777777" w:rsidR="00807F0A" w:rsidRDefault="00807F0A" w:rsidP="00807F0A">
      <w:pPr>
        <w:spacing w:after="0" w:line="252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Pr="00807F0A">
        <w:rPr>
          <w:rFonts w:ascii="Times New Roman" w:hAnsi="Times New Roman"/>
          <w:sz w:val="24"/>
          <w:szCs w:val="24"/>
        </w:rPr>
        <w:t xml:space="preserve">ложившейся перекос в пользу инвестиционных </w:t>
      </w:r>
      <w:r>
        <w:rPr>
          <w:rFonts w:ascii="Times New Roman" w:hAnsi="Times New Roman"/>
          <w:sz w:val="24"/>
          <w:szCs w:val="24"/>
        </w:rPr>
        <w:t xml:space="preserve">и </w:t>
      </w:r>
      <w:r w:rsidRPr="00807F0A">
        <w:rPr>
          <w:rFonts w:ascii="Times New Roman" w:hAnsi="Times New Roman"/>
          <w:sz w:val="24"/>
          <w:szCs w:val="24"/>
        </w:rPr>
        <w:t xml:space="preserve">имущественных налогов вычетов по НДФЛ в ущерб социальным и стандартным вычетам не позволяет реализовать потенциал их воздействия на неравенство граждан и бедность. </w:t>
      </w:r>
      <w:r>
        <w:rPr>
          <w:rFonts w:ascii="Times New Roman" w:hAnsi="Times New Roman"/>
          <w:sz w:val="24"/>
          <w:szCs w:val="24"/>
        </w:rPr>
        <w:t>Имущественные и инвестиционные вычеты снижают налоговую нагрузку в основном на граждан с доходами выше среднего, а социальные налоговые вычеты с учетом их примерно равномерной востребованности среди граждан различных доходных групп не позволяют снизить налоговую нагрузку на бедных граждан.</w:t>
      </w:r>
    </w:p>
    <w:p w14:paraId="2DC111FB" w14:textId="0C2E7711" w:rsidR="00807F0A" w:rsidRPr="00807F0A" w:rsidRDefault="00807F0A" w:rsidP="00807F0A">
      <w:pPr>
        <w:spacing w:after="0" w:line="252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Рассмотрим более детально востребованность</w:t>
      </w:r>
      <w:r w:rsidR="004A3537">
        <w:rPr>
          <w:rFonts w:ascii="Times New Roman" w:hAnsi="Times New Roman"/>
          <w:sz w:val="24"/>
          <w:szCs w:val="24"/>
        </w:rPr>
        <w:t xml:space="preserve"> социальных налоговых вычетов. Данные соцопроса по востребованности государственных (бесплатных) и частных (платных) образовательных и медицинских услуг приведены на рисунке 3. Столбцами отмечены данные по образовательным услугам, а линиями – по медицинским.</w:t>
      </w:r>
      <w:r w:rsidR="00384CFE">
        <w:rPr>
          <w:rFonts w:ascii="Times New Roman" w:hAnsi="Times New Roman"/>
          <w:sz w:val="24"/>
          <w:szCs w:val="24"/>
        </w:rPr>
        <w:t xml:space="preserve"> По данным опроса установлено, что с ростом дохода существенно возрастет востребованность платных медицинских услуг при одновременном сокращении использования бесплатных услуг. В целом по выборке примерно пополам разделилось число опрошенных, выбирающих платные, и государственные медицинские услуги. По образовательным услугам приоритет отдается бесплатным почти с двухкратным перевесом. </w:t>
      </w:r>
      <w:r w:rsidR="00384CFE" w:rsidRPr="005A28C0">
        <w:rPr>
          <w:rFonts w:ascii="Times New Roman" w:eastAsia="Calibri" w:hAnsi="Times New Roman" w:cs="Arial"/>
          <w:bCs/>
          <w:sz w:val="24"/>
        </w:rPr>
        <w:t>Это обусловлено как ценностью здоровья, так и более широким распространением в России платных медицинских услуг по сравнению с образовательными.</w:t>
      </w:r>
    </w:p>
    <w:p w14:paraId="53BD16D8" w14:textId="79D02762" w:rsidR="005D2257" w:rsidRDefault="005D2257" w:rsidP="00D92AFC">
      <w:pPr>
        <w:spacing w:after="0" w:line="252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183C4ED" wp14:editId="17981FB7">
            <wp:extent cx="6101715" cy="3038475"/>
            <wp:effectExtent l="0" t="0" r="0" b="0"/>
            <wp:docPr id="1488487323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6EDEA8E7-273D-41DF-95ED-46654DBAA77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91D78A2" w14:textId="4E3E9CFA" w:rsidR="00BD4C1F" w:rsidRPr="00287F75" w:rsidRDefault="00BD4C1F" w:rsidP="00BC179C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B5953">
        <w:rPr>
          <w:rFonts w:ascii="Times New Roman" w:hAnsi="Times New Roman" w:cs="Times New Roman"/>
          <w:sz w:val="24"/>
          <w:szCs w:val="24"/>
        </w:rPr>
        <w:t xml:space="preserve">. </w:t>
      </w:r>
      <w:r w:rsidR="00BC179C" w:rsidRPr="00BC179C">
        <w:rPr>
          <w:rFonts w:ascii="Times New Roman" w:hAnsi="Times New Roman" w:cs="Times New Roman"/>
          <w:b/>
          <w:sz w:val="24"/>
          <w:szCs w:val="24"/>
        </w:rPr>
        <w:t>Востребованность частных и государственных образовательных и медицинских услуг по доходным группам</w:t>
      </w:r>
      <w:r w:rsidR="00BC179C">
        <w:rPr>
          <w:rFonts w:ascii="Times New Roman" w:hAnsi="Times New Roman" w:cs="Times New Roman"/>
          <w:b/>
          <w:sz w:val="24"/>
          <w:szCs w:val="24"/>
        </w:rPr>
        <w:t>, %</w:t>
      </w:r>
    </w:p>
    <w:p w14:paraId="7AA9E81E" w14:textId="458C74C1" w:rsidR="00BD4C1F" w:rsidRDefault="00BD4C1F" w:rsidP="00A80B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Источник: составлено автором по</w:t>
      </w:r>
      <w:r w:rsidR="00384CFE" w:rsidRPr="00384C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84CFE">
        <w:rPr>
          <w:rFonts w:ascii="Times New Roman" w:eastAsia="Calibri" w:hAnsi="Times New Roman" w:cs="Times New Roman"/>
          <w:sz w:val="24"/>
          <w:szCs w:val="24"/>
        </w:rPr>
        <w:t>результатам социологического опроса [</w:t>
      </w:r>
      <w:r w:rsidR="002F5346">
        <w:rPr>
          <w:rFonts w:ascii="Times New Roman" w:eastAsia="Calibri" w:hAnsi="Times New Roman" w:cs="Times New Roman"/>
          <w:sz w:val="24"/>
          <w:szCs w:val="24"/>
        </w:rPr>
        <w:t>3</w:t>
      </w:r>
      <w:r w:rsidR="00384CFE">
        <w:rPr>
          <w:rFonts w:ascii="Times New Roman" w:eastAsia="Calibri" w:hAnsi="Times New Roman" w:cs="Times New Roman"/>
          <w:sz w:val="24"/>
          <w:szCs w:val="24"/>
        </w:rPr>
        <w:t>]</w:t>
      </w:r>
      <w:r w:rsidRPr="00C1350F">
        <w:rPr>
          <w:rFonts w:ascii="Times New Roman" w:hAnsi="Times New Roman"/>
          <w:sz w:val="24"/>
          <w:szCs w:val="24"/>
        </w:rPr>
        <w:t>.</w:t>
      </w:r>
    </w:p>
    <w:p w14:paraId="6947186F" w14:textId="77777777" w:rsidR="00BD4C1F" w:rsidRDefault="00BD4C1F" w:rsidP="00A80B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6E45201" w14:textId="5B97F253" w:rsidR="00653028" w:rsidRDefault="00F51DA2" w:rsidP="00A80B6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 по медицинским, и по образовательным услугам с ростом дохода растет и доля платных услуг. По медицинским она превышает бесплатные уже при среднем доходе, а по образовательным – при доходах выше среднего. </w:t>
      </w:r>
      <w:r w:rsidR="009E17AE">
        <w:rPr>
          <w:rFonts w:ascii="Times New Roman" w:hAnsi="Times New Roman"/>
          <w:sz w:val="24"/>
          <w:szCs w:val="24"/>
        </w:rPr>
        <w:t xml:space="preserve">Эти данные свидетельствуют о том, что наиболее существенные среди социальных налоговых вычетов по НДФЛ – на лечение и на образование также ориентированы прежде всего на граждан с более высокими доходами, что приводит к снижению для них средней эффективной ставки НДФЛ и не способствует сглаживанию неравенства. </w:t>
      </w:r>
    </w:p>
    <w:p w14:paraId="5A9BDEC8" w14:textId="4ABBE244" w:rsidR="009E17AE" w:rsidRDefault="009E17AE" w:rsidP="004A3537">
      <w:pPr>
        <w:spacing w:after="0" w:line="252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Важным также представляется соотношение использования социальных налоговых вычетов </w:t>
      </w:r>
      <w:r w:rsidR="00133FB2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 наличия соответствующих расходов. На рисунке 4 проиллюстрирована доля </w:t>
      </w:r>
      <w:r w:rsidRPr="009E17AE">
        <w:rPr>
          <w:rFonts w:ascii="Times New Roman" w:hAnsi="Times New Roman"/>
          <w:sz w:val="24"/>
          <w:szCs w:val="24"/>
        </w:rPr>
        <w:t>граждан, воспользовавшихся налоговым вычетом по НДФЛ, в общей численности граждан, имеющих соответствующие активы и расходы</w:t>
      </w:r>
      <w:r>
        <w:rPr>
          <w:rFonts w:ascii="Times New Roman" w:hAnsi="Times New Roman"/>
          <w:sz w:val="24"/>
          <w:szCs w:val="24"/>
        </w:rPr>
        <w:t xml:space="preserve"> – недвижимость и расходы на образование и лечение. Доля определена также по результатам проведенного социологического опроса.</w:t>
      </w:r>
    </w:p>
    <w:p w14:paraId="2637FAB1" w14:textId="2C4B5740" w:rsidR="009E17AE" w:rsidRDefault="009E17AE" w:rsidP="009E17AE">
      <w:pPr>
        <w:spacing w:after="0" w:line="240" w:lineRule="auto"/>
        <w:ind w:firstLine="709"/>
        <w:jc w:val="both"/>
        <w:rPr>
          <w:rFonts w:ascii="Times New Roman" w:eastAsia="Calibri" w:hAnsi="Times New Roman" w:cs="Arial"/>
          <w:sz w:val="24"/>
        </w:rPr>
      </w:pPr>
      <w:r w:rsidRPr="005A28C0">
        <w:rPr>
          <w:rFonts w:ascii="Times New Roman" w:eastAsia="Calibri" w:hAnsi="Times New Roman" w:cs="Arial"/>
          <w:sz w:val="24"/>
        </w:rPr>
        <w:t xml:space="preserve">Доля </w:t>
      </w:r>
      <w:r>
        <w:rPr>
          <w:rFonts w:ascii="Times New Roman" w:eastAsia="Calibri" w:hAnsi="Times New Roman" w:cs="Arial"/>
          <w:sz w:val="24"/>
        </w:rPr>
        <w:t>граждан, использующих</w:t>
      </w:r>
      <w:r w:rsidRPr="005A28C0">
        <w:rPr>
          <w:rFonts w:ascii="Times New Roman" w:eastAsia="Calibri" w:hAnsi="Times New Roman" w:cs="Arial"/>
          <w:sz w:val="24"/>
        </w:rPr>
        <w:t xml:space="preserve"> имущественны</w:t>
      </w:r>
      <w:r>
        <w:rPr>
          <w:rFonts w:ascii="Times New Roman" w:eastAsia="Calibri" w:hAnsi="Times New Roman" w:cs="Arial"/>
          <w:sz w:val="24"/>
        </w:rPr>
        <w:t>й налоговый</w:t>
      </w:r>
      <w:r w:rsidRPr="005A28C0">
        <w:rPr>
          <w:rFonts w:ascii="Times New Roman" w:eastAsia="Calibri" w:hAnsi="Times New Roman" w:cs="Arial"/>
          <w:sz w:val="24"/>
        </w:rPr>
        <w:t xml:space="preserve"> вычет</w:t>
      </w:r>
      <w:r>
        <w:rPr>
          <w:rFonts w:ascii="Times New Roman" w:eastAsia="Calibri" w:hAnsi="Times New Roman" w:cs="Arial"/>
          <w:sz w:val="24"/>
        </w:rPr>
        <w:t>,</w:t>
      </w:r>
      <w:r w:rsidRPr="005A28C0">
        <w:rPr>
          <w:rFonts w:ascii="Times New Roman" w:eastAsia="Calibri" w:hAnsi="Times New Roman" w:cs="Arial"/>
          <w:sz w:val="24"/>
        </w:rPr>
        <w:t xml:space="preserve"> в общей численности имеющих недвижимость возрастает с ростом дохода: от 18,4% среди бедных до 50% для наиболее обеспеченных.</w:t>
      </w:r>
      <w:r>
        <w:rPr>
          <w:rFonts w:ascii="Times New Roman" w:eastAsia="Calibri" w:hAnsi="Times New Roman" w:cs="Arial"/>
          <w:sz w:val="24"/>
        </w:rPr>
        <w:t xml:space="preserve"> </w:t>
      </w:r>
      <w:r w:rsidRPr="005A28C0">
        <w:rPr>
          <w:rFonts w:ascii="Times New Roman" w:eastAsia="Calibri" w:hAnsi="Times New Roman" w:cs="Arial"/>
          <w:sz w:val="24"/>
        </w:rPr>
        <w:t>Доля воспользовавшихся вычетом по лечени</w:t>
      </w:r>
      <w:r>
        <w:rPr>
          <w:rFonts w:ascii="Times New Roman" w:eastAsia="Calibri" w:hAnsi="Times New Roman" w:cs="Arial"/>
          <w:sz w:val="24"/>
        </w:rPr>
        <w:t>ю</w:t>
      </w:r>
      <w:r w:rsidRPr="005A28C0">
        <w:rPr>
          <w:rFonts w:ascii="Times New Roman" w:eastAsia="Calibri" w:hAnsi="Times New Roman" w:cs="Arial"/>
          <w:sz w:val="24"/>
        </w:rPr>
        <w:t xml:space="preserve"> в общей численности, имеющих расходы на платн</w:t>
      </w:r>
      <w:r>
        <w:rPr>
          <w:rFonts w:ascii="Times New Roman" w:eastAsia="Calibri" w:hAnsi="Times New Roman" w:cs="Arial"/>
          <w:sz w:val="24"/>
        </w:rPr>
        <w:t>ую</w:t>
      </w:r>
      <w:r w:rsidRPr="005A28C0">
        <w:rPr>
          <w:rFonts w:ascii="Times New Roman" w:eastAsia="Calibri" w:hAnsi="Times New Roman" w:cs="Arial"/>
          <w:sz w:val="24"/>
        </w:rPr>
        <w:t xml:space="preserve"> медицин</w:t>
      </w:r>
      <w:r>
        <w:rPr>
          <w:rFonts w:ascii="Times New Roman" w:eastAsia="Calibri" w:hAnsi="Times New Roman" w:cs="Arial"/>
          <w:sz w:val="24"/>
        </w:rPr>
        <w:t>у</w:t>
      </w:r>
      <w:r w:rsidRPr="005A28C0">
        <w:rPr>
          <w:rFonts w:ascii="Times New Roman" w:eastAsia="Calibri" w:hAnsi="Times New Roman" w:cs="Arial"/>
          <w:sz w:val="24"/>
        </w:rPr>
        <w:t xml:space="preserve"> также возрастает с ростом дохода: от 0 для бедных до 30% для наиболее обеспеченных. В части вычета по </w:t>
      </w:r>
      <w:r>
        <w:rPr>
          <w:rFonts w:ascii="Times New Roman" w:eastAsia="Calibri" w:hAnsi="Times New Roman" w:cs="Arial"/>
          <w:sz w:val="24"/>
        </w:rPr>
        <w:t>образовательным услугам</w:t>
      </w:r>
      <w:r w:rsidRPr="005A28C0">
        <w:rPr>
          <w:rFonts w:ascii="Times New Roman" w:eastAsia="Calibri" w:hAnsi="Times New Roman" w:cs="Arial"/>
          <w:sz w:val="24"/>
        </w:rPr>
        <w:t xml:space="preserve"> сложилась противоположная ситуация: доля </w:t>
      </w:r>
      <w:r>
        <w:rPr>
          <w:rFonts w:ascii="Times New Roman" w:eastAsia="Calibri" w:hAnsi="Times New Roman" w:cs="Arial"/>
          <w:sz w:val="24"/>
        </w:rPr>
        <w:t>применивших</w:t>
      </w:r>
      <w:r w:rsidRPr="005A28C0">
        <w:rPr>
          <w:rFonts w:ascii="Times New Roman" w:eastAsia="Calibri" w:hAnsi="Times New Roman" w:cs="Arial"/>
          <w:sz w:val="24"/>
        </w:rPr>
        <w:t xml:space="preserve"> вычет в численности </w:t>
      </w:r>
      <w:r>
        <w:rPr>
          <w:rFonts w:ascii="Times New Roman" w:eastAsia="Calibri" w:hAnsi="Times New Roman" w:cs="Arial"/>
          <w:sz w:val="24"/>
        </w:rPr>
        <w:t>использующих</w:t>
      </w:r>
      <w:r w:rsidRPr="005A28C0">
        <w:rPr>
          <w:rFonts w:ascii="Times New Roman" w:eastAsia="Calibri" w:hAnsi="Times New Roman" w:cs="Arial"/>
          <w:sz w:val="24"/>
        </w:rPr>
        <w:t xml:space="preserve"> платные образовательные услуги снижается с ростом дохода от 100% для наименее обеспеченных граждан до 25% для наиболее обеспеченных. Востребованность </w:t>
      </w:r>
      <w:r>
        <w:rPr>
          <w:rFonts w:ascii="Times New Roman" w:eastAsia="Calibri" w:hAnsi="Times New Roman" w:cs="Arial"/>
          <w:sz w:val="24"/>
        </w:rPr>
        <w:t xml:space="preserve">налогового </w:t>
      </w:r>
      <w:r w:rsidRPr="005A28C0">
        <w:rPr>
          <w:rFonts w:ascii="Times New Roman" w:eastAsia="Calibri" w:hAnsi="Times New Roman" w:cs="Arial"/>
          <w:sz w:val="24"/>
        </w:rPr>
        <w:t xml:space="preserve">вычета на обучение наиболее высока: в среднем по выборке 64%. Это обусловлено </w:t>
      </w:r>
      <w:r>
        <w:rPr>
          <w:rFonts w:ascii="Times New Roman" w:eastAsia="Calibri" w:hAnsi="Times New Roman" w:cs="Arial"/>
          <w:sz w:val="24"/>
        </w:rPr>
        <w:t>простотой оформления вычета и существенностью его суммы по сравнению с расходами на лечение</w:t>
      </w:r>
      <w:r w:rsidRPr="005A28C0">
        <w:rPr>
          <w:rFonts w:ascii="Times New Roman" w:eastAsia="Calibri" w:hAnsi="Times New Roman" w:cs="Arial"/>
          <w:sz w:val="24"/>
        </w:rPr>
        <w:t>.</w:t>
      </w:r>
      <w:r>
        <w:rPr>
          <w:rFonts w:ascii="Times New Roman" w:eastAsia="Calibri" w:hAnsi="Times New Roman" w:cs="Arial"/>
          <w:sz w:val="24"/>
        </w:rPr>
        <w:t xml:space="preserve"> Эти данные говорят нам о востребованности вычета на образование со стороны наименее обеспеченных граждан в большей степени, чем для богатых. Соответственно, вычет на </w:t>
      </w:r>
      <w:r w:rsidR="00384CFE">
        <w:rPr>
          <w:rFonts w:ascii="Times New Roman" w:eastAsia="Calibri" w:hAnsi="Times New Roman" w:cs="Arial"/>
          <w:sz w:val="24"/>
        </w:rPr>
        <w:t>обучение</w:t>
      </w:r>
      <w:r>
        <w:rPr>
          <w:rFonts w:ascii="Times New Roman" w:eastAsia="Calibri" w:hAnsi="Times New Roman" w:cs="Arial"/>
          <w:sz w:val="24"/>
        </w:rPr>
        <w:t xml:space="preserve"> будет более результативен </w:t>
      </w:r>
      <w:r w:rsidR="00384CFE">
        <w:rPr>
          <w:rFonts w:ascii="Times New Roman" w:eastAsia="Calibri" w:hAnsi="Times New Roman" w:cs="Arial"/>
          <w:sz w:val="24"/>
        </w:rPr>
        <w:t>для</w:t>
      </w:r>
      <w:r>
        <w:rPr>
          <w:rFonts w:ascii="Times New Roman" w:eastAsia="Calibri" w:hAnsi="Times New Roman" w:cs="Arial"/>
          <w:sz w:val="24"/>
        </w:rPr>
        <w:t xml:space="preserve"> сглаживания неравенства граждан.</w:t>
      </w:r>
    </w:p>
    <w:p w14:paraId="235359CC" w14:textId="7A70E97B" w:rsidR="00384CFE" w:rsidRDefault="00384CFE" w:rsidP="00384CFE">
      <w:pPr>
        <w:spacing w:after="0" w:line="240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Важнейшее значение имеет вопрос индексации налоговых вычетов, поскольку она не проводилась с 2009 г. и ранее, несмотря на существенность инфляции за это время. В связи с этим оптимизм вызывает анонсированное в Послании Президента РФ Федеральному Собранию 21.02.2023 увеличение налогового вычета по НДФЛ на обучение детей. </w:t>
      </w:r>
      <w:r w:rsidRPr="00F3350B">
        <w:rPr>
          <w:rFonts w:ascii="Times New Roman" w:eastAsia="Calibri" w:hAnsi="Times New Roman" w:cs="Times New Roman"/>
          <w:sz w:val="24"/>
          <w:szCs w:val="24"/>
        </w:rPr>
        <w:t>Планируется увелич</w:t>
      </w:r>
      <w:r>
        <w:rPr>
          <w:rFonts w:ascii="Times New Roman" w:eastAsia="Calibri" w:hAnsi="Times New Roman" w:cs="Times New Roman"/>
          <w:sz w:val="24"/>
          <w:szCs w:val="24"/>
        </w:rPr>
        <w:t>ение</w:t>
      </w:r>
      <w:r w:rsidRPr="00F3350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 50 </w:t>
      </w:r>
      <w:r w:rsidRPr="00F3350B">
        <w:rPr>
          <w:rFonts w:ascii="Times New Roman" w:eastAsia="Calibri" w:hAnsi="Times New Roman" w:cs="Times New Roman"/>
          <w:sz w:val="24"/>
          <w:szCs w:val="24"/>
        </w:rPr>
        <w:t xml:space="preserve">до 110 </w:t>
      </w:r>
      <w:r>
        <w:rPr>
          <w:rFonts w:ascii="Times New Roman" w:eastAsia="Calibri" w:hAnsi="Times New Roman" w:cs="Times New Roman"/>
          <w:sz w:val="24"/>
          <w:szCs w:val="24"/>
        </w:rPr>
        <w:t>тыс.</w:t>
      </w:r>
      <w:r w:rsidRPr="00F3350B">
        <w:rPr>
          <w:rFonts w:ascii="Times New Roman" w:eastAsia="Calibri" w:hAnsi="Times New Roman" w:cs="Times New Roman"/>
          <w:sz w:val="24"/>
          <w:szCs w:val="24"/>
        </w:rPr>
        <w:t xml:space="preserve"> руб. на каждого ребенка в общей сумме на обоих </w:t>
      </w:r>
      <w:r w:rsidRPr="00F3350B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родителей. Совокупный лимит вырастет до 150 </w:t>
      </w:r>
      <w:r>
        <w:rPr>
          <w:rFonts w:ascii="Times New Roman" w:eastAsia="Calibri" w:hAnsi="Times New Roman" w:cs="Times New Roman"/>
          <w:sz w:val="24"/>
          <w:szCs w:val="24"/>
        </w:rPr>
        <w:t>тыс.</w:t>
      </w:r>
      <w:r w:rsidRPr="00F3350B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>
        <w:rPr>
          <w:rStyle w:val="ab"/>
          <w:rFonts w:ascii="Times New Roman" w:eastAsia="Calibri" w:hAnsi="Times New Roman" w:cs="Times New Roman"/>
          <w:sz w:val="24"/>
          <w:szCs w:val="24"/>
        </w:rPr>
        <w:footnoteReference w:id="3"/>
      </w:r>
      <w:r>
        <w:rPr>
          <w:rFonts w:ascii="Times New Roman" w:eastAsia="Calibri" w:hAnsi="Times New Roman" w:cs="Times New Roman"/>
          <w:sz w:val="24"/>
          <w:szCs w:val="24"/>
        </w:rPr>
        <w:t xml:space="preserve"> Несмотря на то, что накопленная инфляция за это время была выше, а по образовательным услугам – еще выше, индексация позитивно скажется на бедных, оплачивающих, например, высшее образование детей.</w:t>
      </w:r>
    </w:p>
    <w:p w14:paraId="399FB353" w14:textId="77777777" w:rsidR="004A3537" w:rsidRDefault="004A3537" w:rsidP="00D92AFC">
      <w:pPr>
        <w:spacing w:after="0" w:line="252" w:lineRule="auto"/>
        <w:jc w:val="both"/>
        <w:rPr>
          <w:rFonts w:ascii="Times New Roman" w:hAnsi="Times New Roman"/>
          <w:sz w:val="24"/>
          <w:szCs w:val="24"/>
        </w:rPr>
      </w:pPr>
    </w:p>
    <w:p w14:paraId="6F5A9345" w14:textId="68413009" w:rsidR="003126D3" w:rsidRDefault="003126D3" w:rsidP="00D92AFC">
      <w:pPr>
        <w:spacing w:after="0" w:line="252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27DCAFB3" wp14:editId="1B3E7147">
            <wp:extent cx="6101715" cy="2706986"/>
            <wp:effectExtent l="0" t="0" r="0" b="0"/>
            <wp:docPr id="2018741618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8D1793B5-CC7E-4AEA-89D8-8F5B2E8B66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63FE808C" w14:textId="35346350" w:rsidR="00BC179C" w:rsidRPr="00287F75" w:rsidRDefault="00BC179C" w:rsidP="00BC179C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1B5953">
        <w:rPr>
          <w:rFonts w:ascii="Times New Roman" w:hAnsi="Times New Roman" w:cs="Times New Roman"/>
          <w:sz w:val="24"/>
          <w:szCs w:val="24"/>
        </w:rPr>
        <w:t xml:space="preserve">. </w:t>
      </w:r>
      <w:r w:rsidR="00D65AB8" w:rsidRPr="00D65AB8">
        <w:rPr>
          <w:rFonts w:ascii="Times New Roman" w:hAnsi="Times New Roman" w:cs="Times New Roman"/>
          <w:b/>
          <w:sz w:val="24"/>
          <w:szCs w:val="24"/>
        </w:rPr>
        <w:t>Доля граждан, воспользовавшихся налоговым вычетом по НДФЛ, в общей численности граждан, имеющих соответствующие</w:t>
      </w:r>
      <w:r w:rsidR="009E17AE">
        <w:rPr>
          <w:rFonts w:ascii="Times New Roman" w:hAnsi="Times New Roman" w:cs="Times New Roman"/>
          <w:b/>
          <w:sz w:val="24"/>
          <w:szCs w:val="24"/>
        </w:rPr>
        <w:t xml:space="preserve"> активы и</w:t>
      </w:r>
      <w:r w:rsidR="00D65AB8" w:rsidRPr="00D65AB8">
        <w:rPr>
          <w:rFonts w:ascii="Times New Roman" w:hAnsi="Times New Roman" w:cs="Times New Roman"/>
          <w:b/>
          <w:sz w:val="24"/>
          <w:szCs w:val="24"/>
        </w:rPr>
        <w:t xml:space="preserve"> расходы</w:t>
      </w:r>
      <w:r>
        <w:rPr>
          <w:rFonts w:ascii="Times New Roman" w:hAnsi="Times New Roman" w:cs="Times New Roman"/>
          <w:b/>
          <w:sz w:val="24"/>
          <w:szCs w:val="24"/>
        </w:rPr>
        <w:t>, %</w:t>
      </w:r>
    </w:p>
    <w:p w14:paraId="3596541A" w14:textId="76852AE7" w:rsidR="00BC179C" w:rsidRDefault="00BC179C" w:rsidP="00A80B6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Источник: составлено автором </w:t>
      </w:r>
      <w:r w:rsidR="00384CFE">
        <w:rPr>
          <w:rFonts w:ascii="Times New Roman" w:eastAsia="Calibri" w:hAnsi="Times New Roman" w:cs="Times New Roman"/>
          <w:sz w:val="24"/>
          <w:szCs w:val="24"/>
        </w:rPr>
        <w:t>по результатам социологического опроса [</w:t>
      </w:r>
      <w:r w:rsidR="002F5346">
        <w:rPr>
          <w:rFonts w:ascii="Times New Roman" w:eastAsia="Calibri" w:hAnsi="Times New Roman" w:cs="Times New Roman"/>
          <w:sz w:val="24"/>
          <w:szCs w:val="24"/>
        </w:rPr>
        <w:t>3</w:t>
      </w:r>
      <w:r w:rsidR="00384CFE">
        <w:rPr>
          <w:rFonts w:ascii="Times New Roman" w:eastAsia="Calibri" w:hAnsi="Times New Roman" w:cs="Times New Roman"/>
          <w:sz w:val="24"/>
          <w:szCs w:val="24"/>
        </w:rPr>
        <w:t>]</w:t>
      </w:r>
      <w:r w:rsidRPr="00C1350F">
        <w:rPr>
          <w:rFonts w:ascii="Times New Roman" w:hAnsi="Times New Roman"/>
          <w:sz w:val="24"/>
          <w:szCs w:val="24"/>
        </w:rPr>
        <w:t>.</w:t>
      </w:r>
    </w:p>
    <w:p w14:paraId="64CEC901" w14:textId="77777777" w:rsidR="00BD4C1F" w:rsidRDefault="00BD4C1F" w:rsidP="00A80B6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6E56DE" w14:textId="31D1CC8B" w:rsidR="00A80B65" w:rsidRDefault="002F5346" w:rsidP="00A80B65">
      <w:pPr>
        <w:spacing w:after="0" w:line="240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</w:t>
      </w:r>
      <w:r w:rsidR="00A80B65">
        <w:rPr>
          <w:rFonts w:ascii="Times New Roman" w:eastAsia="Calibri" w:hAnsi="Times New Roman" w:cs="Times New Roman"/>
          <w:sz w:val="24"/>
          <w:szCs w:val="24"/>
        </w:rPr>
        <w:t>ажно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также</w:t>
      </w:r>
      <w:r w:rsidR="00A80B65">
        <w:rPr>
          <w:rFonts w:ascii="Times New Roman" w:eastAsia="Calibri" w:hAnsi="Times New Roman" w:cs="Times New Roman"/>
          <w:sz w:val="24"/>
          <w:szCs w:val="24"/>
        </w:rPr>
        <w:t xml:space="preserve"> повышение качества налогового администрирования налоговых вычетов по НДФЛ, в особенности социальных, по аналогии с тем, как сегодня это начато по и</w:t>
      </w:r>
      <w:r w:rsidR="00133FB2">
        <w:rPr>
          <w:rFonts w:ascii="Times New Roman" w:eastAsia="Calibri" w:hAnsi="Times New Roman" w:cs="Times New Roman"/>
          <w:sz w:val="24"/>
          <w:szCs w:val="24"/>
        </w:rPr>
        <w:t>нвестиционным вычетам. Порядок предоставлении налоговых вычетов должен стать более «</w:t>
      </w:r>
      <w:proofErr w:type="spellStart"/>
      <w:r w:rsidR="00133FB2">
        <w:rPr>
          <w:rFonts w:ascii="Times New Roman" w:eastAsia="Calibri" w:hAnsi="Times New Roman" w:cs="Times New Roman"/>
          <w:sz w:val="24"/>
          <w:szCs w:val="24"/>
        </w:rPr>
        <w:t>клиентоориентированным</w:t>
      </w:r>
      <w:proofErr w:type="spellEnd"/>
      <w:r w:rsidR="00133FB2">
        <w:rPr>
          <w:rFonts w:ascii="Times New Roman" w:eastAsia="Calibri" w:hAnsi="Times New Roman" w:cs="Times New Roman"/>
          <w:sz w:val="24"/>
          <w:szCs w:val="24"/>
        </w:rPr>
        <w:t xml:space="preserve">»: простым и удобным. </w:t>
      </w:r>
    </w:p>
    <w:p w14:paraId="241BBFE3" w14:textId="675D0491" w:rsidR="00A80B65" w:rsidRPr="00BB24E6" w:rsidRDefault="00A80B65" w:rsidP="005E50B4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Таким образом, </w:t>
      </w:r>
      <w:r w:rsidR="00384CFE">
        <w:rPr>
          <w:rFonts w:ascii="Times New Roman" w:eastAsia="Calibri" w:hAnsi="Times New Roman" w:cs="Times New Roman"/>
          <w:sz w:val="24"/>
          <w:szCs w:val="24"/>
        </w:rPr>
        <w:t xml:space="preserve">на основании данных налоговой статистики о суммах налоговых вычетов по НДФЛ и результатах социологического опроса доказано, что </w:t>
      </w:r>
      <w:r>
        <w:rPr>
          <w:rFonts w:ascii="Times New Roman" w:eastAsia="Calibri" w:hAnsi="Times New Roman" w:cs="Times New Roman"/>
          <w:sz w:val="24"/>
          <w:szCs w:val="24"/>
        </w:rPr>
        <w:t>действующая система налоговых вычетов по НДФЛ не способствует сглаживанию неравенства граждан, а п</w:t>
      </w:r>
      <w:r w:rsidRPr="00A80B65">
        <w:rPr>
          <w:rFonts w:ascii="Times New Roman" w:eastAsia="Calibri" w:hAnsi="Times New Roman" w:cs="Times New Roman"/>
          <w:sz w:val="24"/>
          <w:szCs w:val="24"/>
        </w:rPr>
        <w:t>ерекос в пользу инвестиционных и имущественных вычетов по НДФЛ в ущерб социальным и стандартным не позволяет сгладить неравенство.</w:t>
      </w:r>
      <w:r w:rsidR="00384CFE">
        <w:rPr>
          <w:rFonts w:ascii="Times New Roman" w:eastAsia="Calibri" w:hAnsi="Times New Roman" w:cs="Times New Roman"/>
          <w:sz w:val="24"/>
          <w:szCs w:val="24"/>
        </w:rPr>
        <w:t xml:space="preserve"> Для того чтобы </w:t>
      </w:r>
      <w:r w:rsidR="002F5346">
        <w:rPr>
          <w:rFonts w:ascii="Times New Roman" w:eastAsia="Calibri" w:hAnsi="Times New Roman" w:cs="Times New Roman"/>
          <w:sz w:val="24"/>
          <w:szCs w:val="24"/>
        </w:rPr>
        <w:t>обеспечить</w:t>
      </w:r>
      <w:r w:rsidR="00384CFE">
        <w:rPr>
          <w:rFonts w:ascii="Times New Roman" w:eastAsia="Calibri" w:hAnsi="Times New Roman" w:cs="Times New Roman"/>
          <w:sz w:val="24"/>
          <w:szCs w:val="24"/>
        </w:rPr>
        <w:t xml:space="preserve"> сглаживающее воздействие налоговых вычетов по НДФЛ на неравенство необходимо усилить роль стандартных и социальных вычетов, ориентированных на поддержку бедных, индексировать их и упростить их администрирование при сокращении роли вычетов по операциям с ценными бумагами, инвестиционных и имущественных вычетов, которые используются в </w:t>
      </w:r>
      <w:r w:rsidR="002F5346">
        <w:rPr>
          <w:rFonts w:ascii="Times New Roman" w:eastAsia="Calibri" w:hAnsi="Times New Roman" w:cs="Times New Roman"/>
          <w:sz w:val="24"/>
          <w:szCs w:val="24"/>
        </w:rPr>
        <w:t>основном</w:t>
      </w:r>
      <w:r w:rsidR="00384CFE">
        <w:rPr>
          <w:rFonts w:ascii="Times New Roman" w:eastAsia="Calibri" w:hAnsi="Times New Roman" w:cs="Times New Roman"/>
          <w:sz w:val="24"/>
          <w:szCs w:val="24"/>
        </w:rPr>
        <w:t xml:space="preserve"> обеспеченными гражданами.</w:t>
      </w:r>
    </w:p>
    <w:p w14:paraId="29C56DDA" w14:textId="77777777" w:rsidR="00020377" w:rsidRPr="00BB24E6" w:rsidRDefault="00020377" w:rsidP="005E50B4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40DD1024" w14:textId="19927890" w:rsidR="008753B6" w:rsidRPr="00BB24E6" w:rsidRDefault="008753B6" w:rsidP="004437A3">
      <w:pPr>
        <w:spacing w:after="0" w:line="252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B24E6">
        <w:rPr>
          <w:rFonts w:ascii="Times New Roman" w:eastAsia="Calibri" w:hAnsi="Times New Roman" w:cs="Times New Roman"/>
          <w:b/>
          <w:sz w:val="24"/>
          <w:szCs w:val="24"/>
        </w:rPr>
        <w:t>ЛИТЕРАТУРА</w:t>
      </w:r>
    </w:p>
    <w:p w14:paraId="1E44EFB7" w14:textId="043E4917" w:rsidR="003A1921" w:rsidRDefault="003A1921" w:rsidP="00EA755D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A1921">
        <w:rPr>
          <w:rFonts w:ascii="Times New Roman" w:eastAsia="Calibri" w:hAnsi="Times New Roman" w:cs="Times New Roman"/>
          <w:sz w:val="24"/>
          <w:szCs w:val="24"/>
        </w:rPr>
        <w:t>Пугачев, А.А. О влиянии НДФЛ на социальное и территориальное расслоение в России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A1921">
        <w:rPr>
          <w:rFonts w:ascii="Times New Roman" w:eastAsia="Calibri" w:hAnsi="Times New Roman" w:cs="Times New Roman"/>
          <w:sz w:val="24"/>
          <w:szCs w:val="24"/>
        </w:rPr>
        <w:t>//</w:t>
      </w:r>
      <w:r>
        <w:rPr>
          <w:rFonts w:ascii="Times New Roman" w:eastAsia="Calibri" w:hAnsi="Times New Roman" w:cs="Times New Roman"/>
          <w:sz w:val="24"/>
          <w:szCs w:val="24"/>
        </w:rPr>
        <w:t xml:space="preserve"> Финансы</w:t>
      </w:r>
      <w:r w:rsidRPr="003A1921">
        <w:rPr>
          <w:rFonts w:ascii="Times New Roman" w:eastAsia="Calibri" w:hAnsi="Times New Roman" w:cs="Times New Roman"/>
          <w:sz w:val="24"/>
          <w:szCs w:val="24"/>
        </w:rPr>
        <w:t>. – 2022. – № 1. – С. 26-31.</w:t>
      </w:r>
    </w:p>
    <w:p w14:paraId="6BCA91FC" w14:textId="1DE4381C" w:rsidR="00B55C37" w:rsidRDefault="00B55C37" w:rsidP="00EA755D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5C37">
        <w:rPr>
          <w:rFonts w:ascii="Times New Roman" w:eastAsia="Calibri" w:hAnsi="Times New Roman" w:cs="Times New Roman"/>
          <w:sz w:val="24"/>
          <w:szCs w:val="24"/>
        </w:rPr>
        <w:t>Пугачев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B55C37">
        <w:rPr>
          <w:rFonts w:ascii="Times New Roman" w:eastAsia="Calibri" w:hAnsi="Times New Roman" w:cs="Times New Roman"/>
          <w:sz w:val="24"/>
          <w:szCs w:val="24"/>
        </w:rPr>
        <w:t xml:space="preserve"> А.А. Проявления и восприятие экономического неравенства граждан в России и влияние на него налоговых вычетов по НДФЛ: анализ результатов социологического опроса // Теоретическая и прикладная экономика. – 2023. – №1. – С. 1-17. DOI: 10.25136/2409-8647.2023.1.39890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60DC2F3" w14:textId="513B6FAC" w:rsidR="00384CFE" w:rsidRPr="002F5346" w:rsidRDefault="00384CFE" w:rsidP="001F59DC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F5346">
        <w:rPr>
          <w:rFonts w:ascii="Times New Roman" w:eastAsia="Calibri" w:hAnsi="Times New Roman" w:cs="Times New Roman"/>
          <w:sz w:val="24"/>
          <w:szCs w:val="24"/>
        </w:rPr>
        <w:t xml:space="preserve">Свидетельство о государственной регистрации базы данных №2022622399 </w:t>
      </w:r>
      <w:r w:rsidR="005B0815" w:rsidRPr="002F5346">
        <w:rPr>
          <w:rFonts w:ascii="Times New Roman" w:eastAsia="Calibri" w:hAnsi="Times New Roman" w:cs="Times New Roman"/>
          <w:sz w:val="24"/>
          <w:szCs w:val="24"/>
        </w:rPr>
        <w:t>РФ</w:t>
      </w:r>
      <w:r w:rsidRPr="002F5346">
        <w:rPr>
          <w:rFonts w:ascii="Times New Roman" w:eastAsia="Calibri" w:hAnsi="Times New Roman" w:cs="Times New Roman"/>
          <w:sz w:val="24"/>
          <w:szCs w:val="24"/>
        </w:rPr>
        <w:t xml:space="preserve">. «Результаты социологического исследования «Трансформация неравенства граждан в России»: №2022622308: </w:t>
      </w:r>
      <w:proofErr w:type="spellStart"/>
      <w:r w:rsidRPr="002F5346">
        <w:rPr>
          <w:rFonts w:ascii="Times New Roman" w:eastAsia="Calibri" w:hAnsi="Times New Roman" w:cs="Times New Roman"/>
          <w:sz w:val="24"/>
          <w:szCs w:val="24"/>
        </w:rPr>
        <w:t>заявл</w:t>
      </w:r>
      <w:proofErr w:type="spellEnd"/>
      <w:r w:rsidRPr="002F5346">
        <w:rPr>
          <w:rFonts w:ascii="Times New Roman" w:eastAsia="Calibri" w:hAnsi="Times New Roman" w:cs="Times New Roman"/>
          <w:sz w:val="24"/>
          <w:szCs w:val="24"/>
        </w:rPr>
        <w:t xml:space="preserve">. 23.09.2022: </w:t>
      </w:r>
      <w:proofErr w:type="spellStart"/>
      <w:r w:rsidRPr="002F5346">
        <w:rPr>
          <w:rFonts w:ascii="Times New Roman" w:eastAsia="Calibri" w:hAnsi="Times New Roman" w:cs="Times New Roman"/>
          <w:sz w:val="24"/>
          <w:szCs w:val="24"/>
        </w:rPr>
        <w:t>опубл</w:t>
      </w:r>
      <w:proofErr w:type="spellEnd"/>
      <w:r w:rsidRPr="002F5346">
        <w:rPr>
          <w:rFonts w:ascii="Times New Roman" w:eastAsia="Calibri" w:hAnsi="Times New Roman" w:cs="Times New Roman"/>
          <w:sz w:val="24"/>
          <w:szCs w:val="24"/>
        </w:rPr>
        <w:t xml:space="preserve">. 04.10.2022 / заявитель </w:t>
      </w:r>
      <w:r w:rsidR="005B0815" w:rsidRPr="002F5346">
        <w:rPr>
          <w:rFonts w:ascii="Times New Roman" w:eastAsia="Calibri" w:hAnsi="Times New Roman" w:cs="Times New Roman"/>
          <w:sz w:val="24"/>
          <w:szCs w:val="24"/>
        </w:rPr>
        <w:t>ФГБОУ ВО</w:t>
      </w:r>
      <w:r w:rsidRPr="002F5346">
        <w:rPr>
          <w:rFonts w:ascii="Times New Roman" w:eastAsia="Calibri" w:hAnsi="Times New Roman" w:cs="Times New Roman"/>
          <w:sz w:val="24"/>
          <w:szCs w:val="24"/>
        </w:rPr>
        <w:t xml:space="preserve"> «Ярославский государственный университет им. П.Г. Демидова».</w:t>
      </w:r>
    </w:p>
    <w:sectPr w:rsidR="00384CFE" w:rsidRPr="002F5346" w:rsidSect="00BB24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B3FC8" w14:textId="77777777" w:rsidR="00055E54" w:rsidRDefault="00055E54" w:rsidP="005308EC">
      <w:pPr>
        <w:spacing w:after="0" w:line="240" w:lineRule="auto"/>
      </w:pPr>
      <w:r>
        <w:separator/>
      </w:r>
    </w:p>
  </w:endnote>
  <w:endnote w:type="continuationSeparator" w:id="0">
    <w:p w14:paraId="0E941F69" w14:textId="77777777" w:rsidR="00055E54" w:rsidRDefault="00055E54" w:rsidP="00530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3F368B" w14:textId="77777777" w:rsidR="00055E54" w:rsidRDefault="00055E54" w:rsidP="005308EC">
      <w:pPr>
        <w:spacing w:after="0" w:line="240" w:lineRule="auto"/>
      </w:pPr>
      <w:r>
        <w:separator/>
      </w:r>
    </w:p>
  </w:footnote>
  <w:footnote w:type="continuationSeparator" w:id="0">
    <w:p w14:paraId="3321B48A" w14:textId="77777777" w:rsidR="00055E54" w:rsidRDefault="00055E54" w:rsidP="005308EC">
      <w:pPr>
        <w:spacing w:after="0" w:line="240" w:lineRule="auto"/>
      </w:pPr>
      <w:r>
        <w:continuationSeparator/>
      </w:r>
    </w:p>
  </w:footnote>
  <w:footnote w:id="1">
    <w:p w14:paraId="78F2E2ED" w14:textId="65602EA9" w:rsidR="00F156E5" w:rsidRPr="00F156E5" w:rsidRDefault="00F156E5" w:rsidP="00F156E5">
      <w:pPr>
        <w:pStyle w:val="a9"/>
        <w:jc w:val="both"/>
        <w:rPr>
          <w:rFonts w:ascii="Times New Roman" w:hAnsi="Times New Roman" w:cs="Times New Roman"/>
        </w:rPr>
      </w:pPr>
      <w:r w:rsidRPr="00F156E5">
        <w:rPr>
          <w:rStyle w:val="ab"/>
          <w:rFonts w:ascii="Times New Roman" w:hAnsi="Times New Roman" w:cs="Times New Roman"/>
        </w:rPr>
        <w:footnoteRef/>
      </w:r>
      <w:r w:rsidRPr="00F156E5">
        <w:rPr>
          <w:rFonts w:ascii="Times New Roman" w:hAnsi="Times New Roman" w:cs="Times New Roman"/>
        </w:rPr>
        <w:t xml:space="preserve"> Пугачев Андрей Александрович</w:t>
      </w:r>
      <w:r>
        <w:rPr>
          <w:rFonts w:ascii="Times New Roman" w:hAnsi="Times New Roman" w:cs="Times New Roman"/>
        </w:rPr>
        <w:t>, кандидат экономических наук, доцент, доцент кафедры финансов и кредита, ФГБОУ ВО «Ярославский государственный университет им. П.Г. Демидова» (150000, Россия, г. Ярославль, ул. Советская, д. 14</w:t>
      </w:r>
      <w:r w:rsidRPr="00CA7DF7">
        <w:rPr>
          <w:rFonts w:ascii="Times New Roman" w:hAnsi="Times New Roman" w:cs="Times New Roman"/>
        </w:rPr>
        <w:t>; E-mail: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andrxim</w:t>
      </w:r>
      <w:proofErr w:type="spellEnd"/>
      <w:r w:rsidRPr="00F156E5">
        <w:rPr>
          <w:rFonts w:ascii="Times New Roman" w:hAnsi="Times New Roman" w:cs="Times New Roman"/>
        </w:rPr>
        <w:t>@</w:t>
      </w:r>
      <w:proofErr w:type="spellStart"/>
      <w:r>
        <w:rPr>
          <w:rFonts w:ascii="Times New Roman" w:hAnsi="Times New Roman" w:cs="Times New Roman"/>
          <w:lang w:val="en-US"/>
        </w:rPr>
        <w:t>yandex</w:t>
      </w:r>
      <w:proofErr w:type="spellEnd"/>
      <w:r w:rsidRPr="00F156E5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>
        <w:rPr>
          <w:rFonts w:ascii="Times New Roman" w:hAnsi="Times New Roman" w:cs="Times New Roman"/>
        </w:rPr>
        <w:t>)</w:t>
      </w:r>
    </w:p>
  </w:footnote>
  <w:footnote w:id="2">
    <w:p w14:paraId="49E4619F" w14:textId="23A8EB18" w:rsidR="00EB33C2" w:rsidRPr="00F156E5" w:rsidRDefault="00EB33C2" w:rsidP="00EB33C2">
      <w:pPr>
        <w:pStyle w:val="a9"/>
        <w:jc w:val="both"/>
        <w:rPr>
          <w:rFonts w:ascii="Times New Roman" w:hAnsi="Times New Roman" w:cs="Times New Roman"/>
        </w:rPr>
      </w:pPr>
      <w:r w:rsidRPr="00F156E5">
        <w:rPr>
          <w:rStyle w:val="ab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r w:rsidRPr="00EB33C2">
        <w:rPr>
          <w:rFonts w:ascii="Times New Roman" w:hAnsi="Times New Roman" w:cs="Times New Roman"/>
        </w:rPr>
        <w:t>Статья подготовлена при финансовой поддержке гранта Президента Р</w:t>
      </w:r>
      <w:r>
        <w:rPr>
          <w:rFonts w:ascii="Times New Roman" w:hAnsi="Times New Roman" w:cs="Times New Roman"/>
        </w:rPr>
        <w:t>оссийской Федерации</w:t>
      </w:r>
      <w:r w:rsidRPr="00EB33C2">
        <w:rPr>
          <w:rFonts w:ascii="Times New Roman" w:hAnsi="Times New Roman" w:cs="Times New Roman"/>
        </w:rPr>
        <w:t xml:space="preserve"> для молодых российских ученых №МК-2397.2022.2</w:t>
      </w:r>
      <w:r>
        <w:rPr>
          <w:rFonts w:ascii="Times New Roman" w:hAnsi="Times New Roman" w:cs="Times New Roman"/>
        </w:rPr>
        <w:t>.</w:t>
      </w:r>
    </w:p>
  </w:footnote>
  <w:footnote w:id="3">
    <w:p w14:paraId="4FA8AD8B" w14:textId="77777777" w:rsidR="00384CFE" w:rsidRPr="00A80B65" w:rsidRDefault="00384CFE" w:rsidP="00384CFE">
      <w:pPr>
        <w:pStyle w:val="a9"/>
        <w:jc w:val="both"/>
        <w:rPr>
          <w:rFonts w:ascii="Times New Roman" w:hAnsi="Times New Roman" w:cs="Times New Roman"/>
        </w:rPr>
      </w:pPr>
      <w:r w:rsidRPr="00A80B65">
        <w:rPr>
          <w:rStyle w:val="ab"/>
          <w:rFonts w:ascii="Times New Roman" w:hAnsi="Times New Roman" w:cs="Times New Roman"/>
        </w:rPr>
        <w:footnoteRef/>
      </w:r>
      <w:r w:rsidRPr="00A80B65">
        <w:rPr>
          <w:rFonts w:ascii="Times New Roman" w:hAnsi="Times New Roman" w:cs="Times New Roman"/>
        </w:rPr>
        <w:t xml:space="preserve"> Послание Президента Федеральному Собранию / Официальный сайт Президента России. URL: </w:t>
      </w:r>
      <w:hyperlink r:id="rId1" w:history="1">
        <w:r w:rsidRPr="00A80B65">
          <w:rPr>
            <w:rStyle w:val="a7"/>
            <w:rFonts w:ascii="Times New Roman" w:hAnsi="Times New Roman" w:cs="Times New Roman"/>
          </w:rPr>
          <w:t>http://www.kremlin.ru/events/president/transcripts/statements/70565</w:t>
        </w:r>
      </w:hyperlink>
      <w:r>
        <w:rPr>
          <w:rStyle w:val="a7"/>
          <w:rFonts w:ascii="Times New Roman" w:hAnsi="Times New Roman" w:cs="Times New Roman"/>
        </w:rPr>
        <w:t xml:space="preserve"> </w:t>
      </w:r>
      <w:r w:rsidRPr="00A80B65">
        <w:rPr>
          <w:rFonts w:ascii="Times New Roman" w:hAnsi="Times New Roman"/>
        </w:rPr>
        <w:t>(дата обращения: 08.05.2023).</w:t>
      </w:r>
      <w:r w:rsidRPr="00A80B65">
        <w:rPr>
          <w:rStyle w:val="a7"/>
          <w:rFonts w:ascii="Times New Roman" w:hAnsi="Times New Roman" w:cs="Times New Roman"/>
          <w:sz w:val="16"/>
          <w:szCs w:val="16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F0F42"/>
    <w:multiLevelType w:val="hybridMultilevel"/>
    <w:tmpl w:val="188AE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D24FBF"/>
    <w:multiLevelType w:val="hybridMultilevel"/>
    <w:tmpl w:val="87F2FA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B90E57"/>
    <w:multiLevelType w:val="hybridMultilevel"/>
    <w:tmpl w:val="188AEE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566621">
    <w:abstractNumId w:val="1"/>
  </w:num>
  <w:num w:numId="2" w16cid:durableId="1131480486">
    <w:abstractNumId w:val="0"/>
  </w:num>
  <w:num w:numId="3" w16cid:durableId="1053626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2B1"/>
    <w:rsid w:val="00020377"/>
    <w:rsid w:val="0003573C"/>
    <w:rsid w:val="00054944"/>
    <w:rsid w:val="00055E54"/>
    <w:rsid w:val="000652D6"/>
    <w:rsid w:val="00077767"/>
    <w:rsid w:val="000B2BC9"/>
    <w:rsid w:val="000B554C"/>
    <w:rsid w:val="000E27AB"/>
    <w:rsid w:val="000E37D0"/>
    <w:rsid w:val="000F50E8"/>
    <w:rsid w:val="00117237"/>
    <w:rsid w:val="00127C21"/>
    <w:rsid w:val="00133FB2"/>
    <w:rsid w:val="0014276F"/>
    <w:rsid w:val="00145D7D"/>
    <w:rsid w:val="00163C07"/>
    <w:rsid w:val="00165A01"/>
    <w:rsid w:val="001B47F0"/>
    <w:rsid w:val="001B4F14"/>
    <w:rsid w:val="001E6AAF"/>
    <w:rsid w:val="002272A3"/>
    <w:rsid w:val="002351D1"/>
    <w:rsid w:val="00251FC2"/>
    <w:rsid w:val="00297C69"/>
    <w:rsid w:val="002A39EC"/>
    <w:rsid w:val="002F5346"/>
    <w:rsid w:val="00306BC4"/>
    <w:rsid w:val="003126D3"/>
    <w:rsid w:val="0034325E"/>
    <w:rsid w:val="0036239B"/>
    <w:rsid w:val="003774E6"/>
    <w:rsid w:val="00384CFE"/>
    <w:rsid w:val="003A1921"/>
    <w:rsid w:val="003B160A"/>
    <w:rsid w:val="003C2F47"/>
    <w:rsid w:val="003C6B59"/>
    <w:rsid w:val="003D279B"/>
    <w:rsid w:val="003E5A93"/>
    <w:rsid w:val="003E60F4"/>
    <w:rsid w:val="004257B5"/>
    <w:rsid w:val="004375FA"/>
    <w:rsid w:val="004437A3"/>
    <w:rsid w:val="0044799F"/>
    <w:rsid w:val="004541FA"/>
    <w:rsid w:val="00464F05"/>
    <w:rsid w:val="004755B3"/>
    <w:rsid w:val="0049102A"/>
    <w:rsid w:val="004A3537"/>
    <w:rsid w:val="004A7EB3"/>
    <w:rsid w:val="004B1B6A"/>
    <w:rsid w:val="004C7763"/>
    <w:rsid w:val="004D7D5C"/>
    <w:rsid w:val="004E39CF"/>
    <w:rsid w:val="004F66A2"/>
    <w:rsid w:val="005308EC"/>
    <w:rsid w:val="005353D6"/>
    <w:rsid w:val="00536EF1"/>
    <w:rsid w:val="005733BC"/>
    <w:rsid w:val="00590021"/>
    <w:rsid w:val="005937B9"/>
    <w:rsid w:val="005A1FA4"/>
    <w:rsid w:val="005A5C07"/>
    <w:rsid w:val="005B0815"/>
    <w:rsid w:val="005B2286"/>
    <w:rsid w:val="005D2257"/>
    <w:rsid w:val="005E50B4"/>
    <w:rsid w:val="006114A4"/>
    <w:rsid w:val="006310B8"/>
    <w:rsid w:val="00653028"/>
    <w:rsid w:val="00655583"/>
    <w:rsid w:val="00657311"/>
    <w:rsid w:val="00667E72"/>
    <w:rsid w:val="00693EFE"/>
    <w:rsid w:val="006B4E8A"/>
    <w:rsid w:val="006B65CA"/>
    <w:rsid w:val="006C2AC2"/>
    <w:rsid w:val="006C6F59"/>
    <w:rsid w:val="006F2492"/>
    <w:rsid w:val="00712C76"/>
    <w:rsid w:val="00781741"/>
    <w:rsid w:val="00784F66"/>
    <w:rsid w:val="00792244"/>
    <w:rsid w:val="0079592D"/>
    <w:rsid w:val="007A375C"/>
    <w:rsid w:val="007B3B3C"/>
    <w:rsid w:val="007B7A81"/>
    <w:rsid w:val="007E082B"/>
    <w:rsid w:val="007F238C"/>
    <w:rsid w:val="007F6A35"/>
    <w:rsid w:val="00800906"/>
    <w:rsid w:val="00807F0A"/>
    <w:rsid w:val="008105CB"/>
    <w:rsid w:val="00845065"/>
    <w:rsid w:val="00851115"/>
    <w:rsid w:val="0086020D"/>
    <w:rsid w:val="008705E0"/>
    <w:rsid w:val="008753B6"/>
    <w:rsid w:val="00901168"/>
    <w:rsid w:val="0091090E"/>
    <w:rsid w:val="009333F9"/>
    <w:rsid w:val="00935357"/>
    <w:rsid w:val="00942894"/>
    <w:rsid w:val="009D04BA"/>
    <w:rsid w:val="009D1A7E"/>
    <w:rsid w:val="009E17AE"/>
    <w:rsid w:val="009E65F2"/>
    <w:rsid w:val="00A046B1"/>
    <w:rsid w:val="00A0609F"/>
    <w:rsid w:val="00A0764A"/>
    <w:rsid w:val="00A547F1"/>
    <w:rsid w:val="00A61466"/>
    <w:rsid w:val="00A767F2"/>
    <w:rsid w:val="00A80B65"/>
    <w:rsid w:val="00AE2AE2"/>
    <w:rsid w:val="00AE6E5E"/>
    <w:rsid w:val="00B07EF0"/>
    <w:rsid w:val="00B41575"/>
    <w:rsid w:val="00B55C37"/>
    <w:rsid w:val="00B5758D"/>
    <w:rsid w:val="00B816A4"/>
    <w:rsid w:val="00BA02FE"/>
    <w:rsid w:val="00BB24E6"/>
    <w:rsid w:val="00BC179C"/>
    <w:rsid w:val="00BC482B"/>
    <w:rsid w:val="00BD4C1F"/>
    <w:rsid w:val="00C373F5"/>
    <w:rsid w:val="00C56BB6"/>
    <w:rsid w:val="00C7346D"/>
    <w:rsid w:val="00C83C5B"/>
    <w:rsid w:val="00C915D7"/>
    <w:rsid w:val="00CA1A6B"/>
    <w:rsid w:val="00CA3FE5"/>
    <w:rsid w:val="00CE3E62"/>
    <w:rsid w:val="00CF3843"/>
    <w:rsid w:val="00D4117D"/>
    <w:rsid w:val="00D43AD3"/>
    <w:rsid w:val="00D45EE9"/>
    <w:rsid w:val="00D63AC4"/>
    <w:rsid w:val="00D65AB8"/>
    <w:rsid w:val="00D76600"/>
    <w:rsid w:val="00D92AFC"/>
    <w:rsid w:val="00D93E77"/>
    <w:rsid w:val="00DA1C39"/>
    <w:rsid w:val="00DB0E10"/>
    <w:rsid w:val="00DB5988"/>
    <w:rsid w:val="00DF14F5"/>
    <w:rsid w:val="00DF77FF"/>
    <w:rsid w:val="00E13925"/>
    <w:rsid w:val="00E14563"/>
    <w:rsid w:val="00E2557D"/>
    <w:rsid w:val="00E548EB"/>
    <w:rsid w:val="00E60314"/>
    <w:rsid w:val="00EA755D"/>
    <w:rsid w:val="00EB33C2"/>
    <w:rsid w:val="00EC0C91"/>
    <w:rsid w:val="00EC4E69"/>
    <w:rsid w:val="00ED2768"/>
    <w:rsid w:val="00ED62B1"/>
    <w:rsid w:val="00EE48E8"/>
    <w:rsid w:val="00F156E5"/>
    <w:rsid w:val="00F319CA"/>
    <w:rsid w:val="00F3350B"/>
    <w:rsid w:val="00F46838"/>
    <w:rsid w:val="00F51DA2"/>
    <w:rsid w:val="00F627A1"/>
    <w:rsid w:val="00F87025"/>
    <w:rsid w:val="00F96C62"/>
    <w:rsid w:val="00FA3FD1"/>
    <w:rsid w:val="00FC4053"/>
    <w:rsid w:val="00FD273E"/>
    <w:rsid w:val="00FE348A"/>
    <w:rsid w:val="00FF3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189B3"/>
  <w15:chartTrackingRefBased/>
  <w15:docId w15:val="{FF1A3E1A-91EB-4C94-8993-D71CCB001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308EC"/>
  </w:style>
  <w:style w:type="paragraph" w:styleId="a5">
    <w:name w:val="footer"/>
    <w:basedOn w:val="a"/>
    <w:link w:val="a6"/>
    <w:uiPriority w:val="99"/>
    <w:unhideWhenUsed/>
    <w:rsid w:val="005308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308EC"/>
  </w:style>
  <w:style w:type="character" w:styleId="a7">
    <w:name w:val="Hyperlink"/>
    <w:basedOn w:val="a0"/>
    <w:uiPriority w:val="99"/>
    <w:unhideWhenUsed/>
    <w:rsid w:val="00FA3FD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FA3FD1"/>
    <w:rPr>
      <w:color w:val="605E5C"/>
      <w:shd w:val="clear" w:color="auto" w:fill="E1DFDD"/>
    </w:rPr>
  </w:style>
  <w:style w:type="paragraph" w:styleId="a9">
    <w:name w:val="footnote text"/>
    <w:basedOn w:val="a"/>
    <w:link w:val="aa"/>
    <w:uiPriority w:val="99"/>
    <w:semiHidden/>
    <w:unhideWhenUsed/>
    <w:rsid w:val="00655583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655583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655583"/>
    <w:rPr>
      <w:vertAlign w:val="superscript"/>
    </w:rPr>
  </w:style>
  <w:style w:type="paragraph" w:styleId="ac">
    <w:name w:val="List Paragraph"/>
    <w:basedOn w:val="a"/>
    <w:uiPriority w:val="34"/>
    <w:qFormat/>
    <w:rsid w:val="008753B6"/>
    <w:pPr>
      <w:ind w:left="720"/>
      <w:contextualSpacing/>
    </w:pPr>
  </w:style>
  <w:style w:type="table" w:styleId="ad">
    <w:name w:val="Table Grid"/>
    <w:basedOn w:val="a1"/>
    <w:uiPriority w:val="59"/>
    <w:rsid w:val="00D45E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3231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250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258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176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6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log.gov.ru/rn77/related_activities/statistics_and_analytics/" TargetMode="External"/><Relationship Id="rId13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nalog.gov.ru/rn77/related_activities/statistics_and_analytics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emlin.ru/events/president/transcripts/statements/70565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f1bc52e541997d95/&#1056;&#1072;&#1073;&#1086;&#1095;&#1080;&#1081;%20&#1089;&#1090;&#1086;&#1083;/&#1055;&#1055;&#1056;/&#1082;&#1086;&#1085;&#1092;/2023/&#1060;&#1080;&#1085;&#1072;&#1085;&#1089;&#1099;/&#1088;&#1080;&#1089;&#1091;&#1085;&#1082;&#1080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f1bc52e541997d95/&#1056;&#1072;&#1073;&#1086;&#1095;&#1080;&#1081;%20&#1089;&#1090;&#1086;&#1083;/&#1055;&#1055;&#1056;/&#1082;&#1086;&#1085;&#1092;/2023/&#1058;&#1077;&#1086;&#1088;&#1077;&#1090;&#1080;&#1095;&#1077;&#1089;&#1082;&#1072;&#1103;%20&#1080;%20&#1087;&#1088;&#1080;&#1082;&#1083;&#1072;&#1076;&#1085;&#1072;&#1103;%20&#1101;&#1082;&#1086;&#1085;&#1086;&#1084;&#1080;&#1082;&#1072;/&#1041;&#1044;1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https://d.docs.live.net/f1bc52e541997d95/&#1056;&#1072;&#1073;&#1086;&#1095;&#1080;&#1081;%20&#1089;&#1090;&#1086;&#1083;/&#1055;&#1055;&#1056;/&#1082;&#1086;&#1085;&#1092;/2023/&#1058;&#1077;&#1086;&#1088;&#1077;&#1090;&#1080;&#1095;&#1077;&#1089;&#1082;&#1072;&#1103;%20&#1080;%20&#1087;&#1088;&#1080;&#1082;&#1083;&#1072;&#1076;&#1085;&#1072;&#1103;%20&#1101;&#1082;&#1086;&#1085;&#1086;&#1084;&#1080;&#1082;&#1072;/&#1041;&#1044;1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https://d.docs.live.net/f1bc52e541997d95/&#1056;&#1072;&#1073;&#1086;&#1095;&#1080;&#1081;%20&#1089;&#1090;&#1086;&#1083;/&#1055;&#1055;&#1056;/&#1082;&#1086;&#1085;&#1092;/2023/&#1058;&#1077;&#1086;&#1088;&#1077;&#1090;&#1080;&#1095;&#1077;&#1089;&#1082;&#1072;&#1103;%20&#1080;%20&#1087;&#1088;&#1080;&#1082;&#1083;&#1072;&#1076;&#1085;&#1072;&#1103;%20&#1101;&#1082;&#1086;&#1085;&#1086;&#1084;&#1080;&#1082;&#1072;/&#1041;&#1044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83333333333331"/>
          <c:y val="0.11342592592592593"/>
          <c:w val="0.46388888888888891"/>
          <c:h val="0.77314814814814814"/>
        </c:manualLayout>
      </c:layout>
      <c:pieChart>
        <c:varyColors val="1"/>
        <c:ser>
          <c:idx val="0"/>
          <c:order val="0"/>
          <c:tx>
            <c:strRef>
              <c:f>'https://d.docs.live.net/f1bc52e541997d95/Рабочий стол/ППР/конф/2023/Финансы/[расчет.xlsx]Лист1'!$D$36</c:f>
              <c:strCache>
                <c:ptCount val="1"/>
                <c:pt idx="0">
                  <c:v>2020</c:v>
                </c:pt>
              </c:strCache>
            </c:strRef>
          </c:tx>
          <c:dPt>
            <c:idx val="0"/>
            <c:bubble3D val="0"/>
            <c:spPr>
              <a:solidFill>
                <a:schemeClr val="accent3">
                  <a:tint val="54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F579-45A7-A379-BB312269E217}"/>
              </c:ext>
            </c:extLst>
          </c:dPt>
          <c:dPt>
            <c:idx val="1"/>
            <c:bubble3D val="0"/>
            <c:spPr>
              <a:solidFill>
                <a:schemeClr val="accent3">
                  <a:tint val="77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F579-45A7-A379-BB312269E21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F579-45A7-A379-BB312269E217}"/>
              </c:ext>
            </c:extLst>
          </c:dPt>
          <c:dPt>
            <c:idx val="3"/>
            <c:bubble3D val="0"/>
            <c:spPr>
              <a:solidFill>
                <a:schemeClr val="accent3">
                  <a:shade val="76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F579-45A7-A379-BB312269E217}"/>
              </c:ext>
            </c:extLst>
          </c:dPt>
          <c:dPt>
            <c:idx val="4"/>
            <c:bubble3D val="0"/>
            <c:spPr>
              <a:solidFill>
                <a:schemeClr val="accent3">
                  <a:shade val="53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F579-45A7-A379-BB312269E217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7B906CF6-BC1E-4803-9950-951C40820B59}" type="CELLRANGE">
                      <a:rPr lang="ru-RU"/>
                      <a:pPr/>
                      <a:t>[ДИАПАЗОН ЯЧЕЕК]</a:t>
                    </a:fld>
                    <a:r>
                      <a:rPr lang="ru-RU" baseline="0"/>
                      <a:t>; </a:t>
                    </a:r>
                    <a:fld id="{793A7B3B-2C78-4594-B85B-05FC00CAAA26}" type="PERCENTAGE">
                      <a:rPr lang="ru-RU" baseline="0"/>
                      <a:pPr/>
                      <a:t>[ПРОЦЕНТ]</a:t>
                    </a:fld>
                    <a:endParaRPr lang="ru-RU" baseline="0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1-F579-45A7-A379-BB312269E217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76BC3E06-BC9B-40DB-97B4-42EE8AB202D5}" type="CELLRANGE">
                      <a:rPr lang="ru-RU"/>
                      <a:pPr/>
                      <a:t>[ДИАПАЗОН ЯЧЕЕК]</a:t>
                    </a:fld>
                    <a:r>
                      <a:rPr lang="ru-RU" baseline="0"/>
                      <a:t>; </a:t>
                    </a:r>
                    <a:fld id="{0D5566D3-85BF-42CF-9831-DA953150803C}" type="PERCENTAGE">
                      <a:rPr lang="ru-RU" baseline="0"/>
                      <a:pPr/>
                      <a:t>[ПРОЦЕНТ]</a:t>
                    </a:fld>
                    <a:endParaRPr lang="ru-RU" baseline="0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3-F579-45A7-A379-BB312269E217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FD863EBF-4A4E-4CF0-A008-8568AD8B8535}" type="CELLRANGE">
                      <a:rPr lang="ru-RU"/>
                      <a:pPr/>
                      <a:t>[ДИАПАЗОН ЯЧЕЕК]</a:t>
                    </a:fld>
                    <a:r>
                      <a:rPr lang="ru-RU" baseline="0"/>
                      <a:t>; </a:t>
                    </a:r>
                    <a:fld id="{124A3E01-988F-4BA9-90AA-E63DCB4E6D1E}" type="PERCENTAGE">
                      <a:rPr lang="ru-RU" baseline="0"/>
                      <a:pPr/>
                      <a:t>[ПРОЦЕНТ]</a:t>
                    </a:fld>
                    <a:endParaRPr lang="ru-RU" baseline="0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5-F579-45A7-A379-BB312269E217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4CB7B611-1251-4405-ADD4-CB4AE05E6D00}" type="CELLRANGE">
                      <a:rPr lang="ru-RU"/>
                      <a:pPr/>
                      <a:t>[ДИАПАЗОН ЯЧЕЕК]</a:t>
                    </a:fld>
                    <a:r>
                      <a:rPr lang="ru-RU" baseline="0"/>
                      <a:t>; </a:t>
                    </a:r>
                    <a:fld id="{C4FBEA5A-9B32-48CA-8D73-9EB536A80E97}" type="PERCENTAGE">
                      <a:rPr lang="ru-RU" baseline="0"/>
                      <a:pPr/>
                      <a:t>[ПРОЦЕНТ]</a:t>
                    </a:fld>
                    <a:endParaRPr lang="ru-RU" baseline="0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7-F579-45A7-A379-BB312269E217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ECC9F295-EF72-4499-8325-82BD4C8657D4}" type="CELLRANGE">
                      <a:rPr lang="en-US" baseline="0"/>
                      <a:pPr/>
                      <a:t>[ДИАПАЗОН ЯЧЕЕК]</a:t>
                    </a:fld>
                    <a:r>
                      <a:rPr lang="en-US" baseline="0"/>
                      <a:t>; </a:t>
                    </a:r>
                    <a:fld id="{42B69A82-B549-4A3E-B6A9-02AD54A7FF8A}" type="PERCENTAGE">
                      <a:rPr lang="en-US" baseline="0"/>
                      <a:pPr/>
                      <a:t>[ПРОЦЕНТ]</a:t>
                    </a:fld>
                    <a:endParaRPr lang="en-US" baseline="0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3142040457343888"/>
                      <c:h val="0.12731481481481483"/>
                    </c:manualLayout>
                  </c15:layout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9-F579-45A7-A379-BB312269E217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howDataLabelsRange val="1"/>
              </c:ext>
            </c:extLst>
          </c:dLbls>
          <c:cat>
            <c:strRef>
              <c:f>'https://d.docs.live.net/f1bc52e541997d95/Рабочий стол/ППР/конф/2023/Финансы/[расчет.xlsx]Лист1'!$C$37:$C$41</c:f>
              <c:strCache>
                <c:ptCount val="5"/>
                <c:pt idx="0">
                  <c:v>Инвестиционные</c:v>
                </c:pt>
                <c:pt idx="1">
                  <c:v>Социальные</c:v>
                </c:pt>
                <c:pt idx="2">
                  <c:v>Имущественные</c:v>
                </c:pt>
                <c:pt idx="3">
                  <c:v>Стандартные</c:v>
                </c:pt>
                <c:pt idx="4">
                  <c:v>Профессиональные</c:v>
                </c:pt>
              </c:strCache>
            </c:strRef>
          </c:cat>
          <c:val>
            <c:numRef>
              <c:f>'https://d.docs.live.net/f1bc52e541997d95/Рабочий стол/ППР/конф/2023/Финансы/[расчет.xlsx]Лист1'!$D$37:$D$41</c:f>
              <c:numCache>
                <c:formatCode>General</c:formatCode>
                <c:ptCount val="5"/>
                <c:pt idx="0">
                  <c:v>1.6821140802278787E-2</c:v>
                </c:pt>
                <c:pt idx="1">
                  <c:v>2.4122238742320931E-2</c:v>
                </c:pt>
                <c:pt idx="2">
                  <c:v>0.59269128057993614</c:v>
                </c:pt>
                <c:pt idx="3">
                  <c:v>5.5282815676271087E-2</c:v>
                </c:pt>
                <c:pt idx="4">
                  <c:v>0.31108252419919313</c:v>
                </c:pt>
              </c:numCache>
            </c:numRef>
          </c:val>
          <c:extLst>
            <c:ext xmlns:c15="http://schemas.microsoft.com/office/drawing/2012/chart" uri="{02D57815-91ED-43cb-92C2-25804820EDAC}">
              <c15:datalabelsRange>
                <c15:f>'https://d.docs.live.net/f1bc52e541997d95/Рабочий стол/ППР/конф/2023/Финансы/[расчет.xlsx]Лист1'!$C$37:$C$41</c15:f>
                <c15:dlblRangeCache>
                  <c:ptCount val="5"/>
                  <c:pt idx="0">
                    <c:v>Инвестиционные</c:v>
                  </c:pt>
                  <c:pt idx="1">
                    <c:v>Социальные</c:v>
                  </c:pt>
                  <c:pt idx="2">
                    <c:v>Имущественные</c:v>
                  </c:pt>
                  <c:pt idx="3">
                    <c:v>Стандартные</c:v>
                  </c:pt>
                  <c:pt idx="4">
                    <c:v>Профессиональные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A-F579-45A7-A379-BB312269E21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[БД1.xlsx]рисунки!$B$63</c:f>
              <c:strCache>
                <c:ptCount val="1"/>
                <c:pt idx="0">
                  <c:v>Имущественный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[БД1.xlsx]рисунки!$A$64:$A$69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[БД1.xlsx]рисунки!$B$64:$B$69</c:f>
              <c:numCache>
                <c:formatCode>0.0%</c:formatCode>
                <c:ptCount val="6"/>
                <c:pt idx="0">
                  <c:v>0.24553151458137348</c:v>
                </c:pt>
                <c:pt idx="1">
                  <c:v>0.11764705882352941</c:v>
                </c:pt>
                <c:pt idx="2">
                  <c:v>0.1828978622327791</c:v>
                </c:pt>
                <c:pt idx="3">
                  <c:v>0.31282051282051282</c:v>
                </c:pt>
                <c:pt idx="4">
                  <c:v>0.35245901639344263</c:v>
                </c:pt>
                <c:pt idx="5">
                  <c:v>0.45454545454545453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52A-4268-BE84-0F5C4038A6E8}"/>
            </c:ext>
          </c:extLst>
        </c:ser>
        <c:ser>
          <c:idx val="1"/>
          <c:order val="1"/>
          <c:tx>
            <c:strRef>
              <c:f>[БД1.xlsx]рисунки!$C$63</c:f>
              <c:strCache>
                <c:ptCount val="1"/>
                <c:pt idx="0">
                  <c:v>Инвестиционный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[БД1.xlsx]рисунки!$A$64:$A$69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[БД1.xlsx]рисунки!$C$64:$C$69</c:f>
              <c:numCache>
                <c:formatCode>0.0%</c:formatCode>
                <c:ptCount val="6"/>
                <c:pt idx="0">
                  <c:v>8.2784571966133591E-2</c:v>
                </c:pt>
                <c:pt idx="1">
                  <c:v>2.5210084033613446E-2</c:v>
                </c:pt>
                <c:pt idx="2">
                  <c:v>2.3752969121140142E-2</c:v>
                </c:pt>
                <c:pt idx="3">
                  <c:v>7.9487179487179482E-2</c:v>
                </c:pt>
                <c:pt idx="4">
                  <c:v>0.26229508196721313</c:v>
                </c:pt>
                <c:pt idx="5">
                  <c:v>0.27272727272727271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52A-4268-BE84-0F5C4038A6E8}"/>
            </c:ext>
          </c:extLst>
        </c:ser>
        <c:ser>
          <c:idx val="2"/>
          <c:order val="2"/>
          <c:tx>
            <c:strRef>
              <c:f>[БД1.xlsx]рисунки!$D$63</c:f>
              <c:strCache>
                <c:ptCount val="1"/>
                <c:pt idx="0">
                  <c:v>Социальный</c:v>
                </c:pt>
              </c:strCache>
            </c:strRef>
          </c:tx>
          <c:spPr>
            <a:pattFill prst="wdDnDiag">
              <a:fgClr>
                <a:schemeClr val="tx1">
                  <a:lumMod val="65000"/>
                  <a:lumOff val="35000"/>
                </a:schemeClr>
              </a:fgClr>
              <a:bgClr>
                <a:schemeClr val="bg1"/>
              </a:bgClr>
            </a:pattFill>
            <a:ln>
              <a:solidFill>
                <a:schemeClr val="tx1">
                  <a:lumMod val="50000"/>
                  <a:lumOff val="50000"/>
                </a:schemeClr>
              </a:solidFill>
            </a:ln>
            <a:effectLst/>
          </c:spPr>
          <c:invertIfNegative val="0"/>
          <c:cat>
            <c:strRef>
              <c:f>[БД1.xlsx]рисунки!$A$64:$A$69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[БД1.xlsx]рисунки!$D$64:$D$69</c:f>
              <c:numCache>
                <c:formatCode>0.0%</c:formatCode>
                <c:ptCount val="6"/>
                <c:pt idx="0">
                  <c:v>0.4374412041392286</c:v>
                </c:pt>
                <c:pt idx="1">
                  <c:v>0.31932773109243695</c:v>
                </c:pt>
                <c:pt idx="2">
                  <c:v>0.27553444180522563</c:v>
                </c:pt>
                <c:pt idx="3">
                  <c:v>0.38461538461538464</c:v>
                </c:pt>
                <c:pt idx="4">
                  <c:v>0.37704918032786883</c:v>
                </c:pt>
                <c:pt idx="5">
                  <c:v>0.27272727272727271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52A-4268-BE84-0F5C4038A6E8}"/>
            </c:ext>
          </c:extLst>
        </c:ser>
        <c:ser>
          <c:idx val="3"/>
          <c:order val="3"/>
          <c:tx>
            <c:strRef>
              <c:f>[БД1.xlsx]рисунки!$E$63</c:f>
              <c:strCache>
                <c:ptCount val="1"/>
                <c:pt idx="0">
                  <c:v>Не пользуюсь вычетами</c:v>
                </c:pt>
              </c:strCache>
            </c:strRef>
          </c:tx>
          <c:spPr>
            <a:pattFill prst="pct10">
              <a:fgClr>
                <a:schemeClr val="tx1">
                  <a:lumMod val="65000"/>
                  <a:lumOff val="35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[БД1.xlsx]рисунки!$A$64:$A$69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[БД1.xlsx]рисунки!$E$64:$E$69</c:f>
              <c:numCache>
                <c:formatCode>0.0%</c:formatCode>
                <c:ptCount val="6"/>
                <c:pt idx="0">
                  <c:v>0.49388523047977423</c:v>
                </c:pt>
                <c:pt idx="1">
                  <c:v>0.6386554621848739</c:v>
                </c:pt>
                <c:pt idx="2">
                  <c:v>0.57482185273159148</c:v>
                </c:pt>
                <c:pt idx="3">
                  <c:v>0.40769230769230769</c:v>
                </c:pt>
                <c:pt idx="4">
                  <c:v>0.35245901639344263</c:v>
                </c:pt>
                <c:pt idx="5">
                  <c:v>0.45454545454545453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E52A-4268-BE84-0F5C4038A6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124158895"/>
        <c:axId val="2124153903"/>
      </c:barChart>
      <c:catAx>
        <c:axId val="21241588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3903"/>
        <c:crosses val="autoZero"/>
        <c:auto val="1"/>
        <c:lblAlgn val="ctr"/>
        <c:lblOffset val="100"/>
        <c:noMultiLvlLbl val="0"/>
      </c:catAx>
      <c:valAx>
        <c:axId val="2124153903"/>
        <c:scaling>
          <c:orientation val="minMax"/>
          <c:max val="0.70000000000000007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8895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9319335083114611E-2"/>
          <c:y val="0.85896609318819472"/>
          <c:w val="0.9"/>
          <c:h val="0.1081101539423559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8.5141294838145226E-2"/>
          <c:y val="4.5977011494252873E-2"/>
          <c:w val="0.88430314960629919"/>
          <c:h val="0.642641456651774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[БД1.xlsx]рисунки!$B$141</c:f>
              <c:strCache>
                <c:ptCount val="1"/>
                <c:pt idx="0">
                  <c:v>Бесплатные (государственные)</c:v>
                </c:pt>
              </c:strCache>
            </c:strRef>
          </c:tx>
          <c:spPr>
            <a:solidFill>
              <a:sysClr val="windowText" lastClr="000000">
                <a:lumMod val="50000"/>
                <a:lumOff val="50000"/>
              </a:sysClr>
            </a:solidFill>
            <a:ln>
              <a:solidFill>
                <a:sysClr val="windowText" lastClr="000000">
                  <a:lumMod val="50000"/>
                  <a:lumOff val="50000"/>
                </a:sysClr>
              </a:solidFill>
            </a:ln>
            <a:effectLst/>
          </c:spPr>
          <c:invertIfNegative val="0"/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[БД1.xlsx]рисунки!$B$142:$B$147</c:f>
              <c:numCache>
                <c:formatCode>0.0%</c:formatCode>
                <c:ptCount val="6"/>
                <c:pt idx="0">
                  <c:v>0.52304797742238951</c:v>
                </c:pt>
                <c:pt idx="1">
                  <c:v>0.7142857142857143</c:v>
                </c:pt>
                <c:pt idx="2">
                  <c:v>0.57957244655581952</c:v>
                </c:pt>
                <c:pt idx="3">
                  <c:v>0.46666666666666667</c:v>
                </c:pt>
                <c:pt idx="4">
                  <c:v>0.35245901639344263</c:v>
                </c:pt>
                <c:pt idx="5">
                  <c:v>0.18181818181818182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F93-4ED5-BA0E-EC948B30562C}"/>
            </c:ext>
          </c:extLst>
        </c:ser>
        <c:ser>
          <c:idx val="1"/>
          <c:order val="1"/>
          <c:tx>
            <c:strRef>
              <c:f>[БД1.xlsx]рисунки!$C$141</c:f>
              <c:strCache>
                <c:ptCount val="1"/>
                <c:pt idx="0">
                  <c:v>Платные (частные)</c:v>
                </c:pt>
              </c:strCache>
            </c:strRef>
          </c:tx>
          <c:spPr>
            <a:pattFill prst="dkVert">
              <a:fgClr>
                <a:srgbClr val="E7E6E6">
                  <a:lumMod val="75000"/>
                </a:srgbClr>
              </a:fgClr>
              <a:bgClr>
                <a:sysClr val="window" lastClr="FFFFFF"/>
              </a:bgClr>
            </a:pattFill>
            <a:ln>
              <a:solidFill>
                <a:srgbClr val="E7E6E6">
                  <a:lumMod val="75000"/>
                </a:srgbClr>
              </a:solidFill>
            </a:ln>
            <a:effectLst/>
          </c:spPr>
          <c:invertIfNegative val="0"/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[БД1.xlsx]рисунки!$C$142:$C$147</c:f>
              <c:numCache>
                <c:formatCode>0.0%</c:formatCode>
                <c:ptCount val="6"/>
                <c:pt idx="0">
                  <c:v>0.28786453433678272</c:v>
                </c:pt>
                <c:pt idx="1">
                  <c:v>0.19327731092436976</c:v>
                </c:pt>
                <c:pt idx="2">
                  <c:v>0.21852731591448932</c:v>
                </c:pt>
                <c:pt idx="3">
                  <c:v>0.3282051282051282</c:v>
                </c:pt>
                <c:pt idx="4">
                  <c:v>0.45081967213114754</c:v>
                </c:pt>
                <c:pt idx="5">
                  <c:v>0.72727272727272729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F93-4ED5-BA0E-EC948B30562C}"/>
            </c:ext>
          </c:extLst>
        </c:ser>
        <c:ser>
          <c:idx val="2"/>
          <c:order val="2"/>
          <c:tx>
            <c:strRef>
              <c:f>[БД1.xlsx]рисунки!$D$141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ysClr val="window" lastClr="FFFFFF">
                <a:lumMod val="85000"/>
              </a:sysClr>
            </a:solidFill>
            <a:ln>
              <a:solidFill>
                <a:sysClr val="window" lastClr="FFFFFF">
                  <a:lumMod val="75000"/>
                </a:sysClr>
              </a:solidFill>
            </a:ln>
            <a:effectLst/>
          </c:spPr>
          <c:invertIfNegative val="0"/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[БД1.xlsx]рисунки!$D$142:$D$147</c:f>
              <c:numCache>
                <c:formatCode>0.0%</c:formatCode>
                <c:ptCount val="6"/>
                <c:pt idx="0">
                  <c:v>0.18908748824082786</c:v>
                </c:pt>
                <c:pt idx="1">
                  <c:v>9.2436974789915971E-2</c:v>
                </c:pt>
                <c:pt idx="2">
                  <c:v>0.20190023752969122</c:v>
                </c:pt>
                <c:pt idx="3">
                  <c:v>0.20512820512820512</c:v>
                </c:pt>
                <c:pt idx="4">
                  <c:v>0.19672131147540983</c:v>
                </c:pt>
                <c:pt idx="5">
                  <c:v>9.0909090909090912E-2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F93-4ED5-BA0E-EC948B3056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24158895"/>
        <c:axId val="2124153903"/>
      </c:barChart>
      <c:lineChart>
        <c:grouping val="standard"/>
        <c:varyColors val="0"/>
        <c:ser>
          <c:idx val="3"/>
          <c:order val="3"/>
          <c:tx>
            <c:strRef>
              <c:f>[БД1.xlsx]рисунки!$E$141</c:f>
              <c:strCache>
                <c:ptCount val="1"/>
                <c:pt idx="0">
                  <c:v>Бесплатные (государственные)</c:v>
                </c:pt>
              </c:strCache>
            </c:strRef>
          </c:tx>
          <c:spPr>
            <a:ln w="28575" cap="rnd">
              <a:solidFill>
                <a:sysClr val="windowText" lastClr="000000"/>
              </a:solidFill>
              <a:prstDash val="dash"/>
              <a:round/>
            </a:ln>
            <a:effectLst/>
          </c:spPr>
          <c:marker>
            <c:symbol val="circle"/>
            <c:size val="5"/>
            <c:spPr>
              <a:solidFill>
                <a:sysClr val="windowText" lastClr="000000"/>
              </a:solidFill>
              <a:ln w="9525">
                <a:solidFill>
                  <a:sysClr val="windowText" lastClr="000000"/>
                </a:solidFill>
              </a:ln>
              <a:effectLst/>
            </c:spPr>
          </c:marker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[БД1.xlsx]рисунки!$E$142:$E$147</c:f>
              <c:numCache>
                <c:formatCode>0.0%</c:formatCode>
                <c:ptCount val="6"/>
                <c:pt idx="0">
                  <c:v>0.47507055503292567</c:v>
                </c:pt>
                <c:pt idx="1">
                  <c:v>0.59663865546218486</c:v>
                </c:pt>
                <c:pt idx="2">
                  <c:v>0.56057007125890734</c:v>
                </c:pt>
                <c:pt idx="3">
                  <c:v>0.42564102564102563</c:v>
                </c:pt>
                <c:pt idx="4">
                  <c:v>0.26229508196721313</c:v>
                </c:pt>
                <c:pt idx="5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F93-4ED5-BA0E-EC948B30562C}"/>
            </c:ext>
          </c:extLst>
        </c:ser>
        <c:ser>
          <c:idx val="4"/>
          <c:order val="4"/>
          <c:tx>
            <c:strRef>
              <c:f>[БД1.xlsx]рисунки!$F$141</c:f>
              <c:strCache>
                <c:ptCount val="1"/>
                <c:pt idx="0">
                  <c:v>Платные (частные)</c:v>
                </c:pt>
              </c:strCache>
            </c:strRef>
          </c:tx>
          <c:spPr>
            <a:ln w="28575" cap="rnd">
              <a:solidFill>
                <a:sysClr val="windowText" lastClr="000000">
                  <a:lumMod val="50000"/>
                  <a:lumOff val="50000"/>
                </a:sysClr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ysClr val="windowText" lastClr="000000">
                  <a:lumMod val="50000"/>
                  <a:lumOff val="50000"/>
                </a:sysClr>
              </a:solidFill>
              <a:ln w="9525">
                <a:solidFill>
                  <a:sysClr val="windowText" lastClr="000000">
                    <a:lumMod val="50000"/>
                    <a:lumOff val="50000"/>
                  </a:sysClr>
                </a:solidFill>
              </a:ln>
              <a:effectLst/>
            </c:spPr>
          </c:marker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[БД1.xlsx]рисунки!$F$142:$F$147</c:f>
              <c:numCache>
                <c:formatCode>0.0%</c:formatCode>
                <c:ptCount val="6"/>
                <c:pt idx="0">
                  <c:v>0.48541862652869239</c:v>
                </c:pt>
                <c:pt idx="1">
                  <c:v>0.34453781512605042</c:v>
                </c:pt>
                <c:pt idx="2">
                  <c:v>0.39667458432304037</c:v>
                </c:pt>
                <c:pt idx="3">
                  <c:v>0.54102564102564099</c:v>
                </c:pt>
                <c:pt idx="4">
                  <c:v>0.71311475409836067</c:v>
                </c:pt>
                <c:pt idx="5">
                  <c:v>0.90909090909090906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DF93-4ED5-BA0E-EC948B30562C}"/>
            </c:ext>
          </c:extLst>
        </c:ser>
        <c:ser>
          <c:idx val="5"/>
          <c:order val="5"/>
          <c:tx>
            <c:strRef>
              <c:f>[БД1.xlsx]рисунки!$G$141</c:f>
              <c:strCache>
                <c:ptCount val="1"/>
                <c:pt idx="0">
                  <c:v>Нет</c:v>
                </c:pt>
              </c:strCache>
            </c:strRef>
          </c:tx>
          <c:spPr>
            <a:ln w="28575" cap="rnd">
              <a:solidFill>
                <a:sysClr val="window" lastClr="FFFFFF">
                  <a:lumMod val="75000"/>
                </a:sys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ysClr val="window" lastClr="FFFFFF">
                  <a:lumMod val="75000"/>
                </a:sysClr>
              </a:solidFill>
              <a:ln w="9525">
                <a:solidFill>
                  <a:sysClr val="window" lastClr="FFFFFF">
                    <a:lumMod val="75000"/>
                  </a:sysClr>
                </a:solidFill>
              </a:ln>
              <a:effectLst/>
            </c:spPr>
          </c:marker>
          <c:cat>
            <c:strRef>
              <c:f>[БД1.xlsx]рисунки!$A$142:$A$147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[БД1.xlsx]рисунки!$G$142:$G$147</c:f>
              <c:numCache>
                <c:formatCode>0.0%</c:formatCode>
                <c:ptCount val="6"/>
                <c:pt idx="0">
                  <c:v>3.9510818438381938E-2</c:v>
                </c:pt>
                <c:pt idx="1">
                  <c:v>5.8823529411764705E-2</c:v>
                </c:pt>
                <c:pt idx="2">
                  <c:v>4.2755344418052253E-2</c:v>
                </c:pt>
                <c:pt idx="3">
                  <c:v>3.3333333333333333E-2</c:v>
                </c:pt>
                <c:pt idx="4">
                  <c:v>2.4590163934426229E-2</c:v>
                </c:pt>
                <c:pt idx="5">
                  <c:v>9.0909090909090912E-2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DF93-4ED5-BA0E-EC948B3056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24158895"/>
        <c:axId val="2124153903"/>
      </c:lineChart>
      <c:catAx>
        <c:axId val="21241588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3903"/>
        <c:crosses val="autoZero"/>
        <c:auto val="1"/>
        <c:lblAlgn val="ctr"/>
        <c:lblOffset val="100"/>
        <c:noMultiLvlLbl val="0"/>
      </c:catAx>
      <c:valAx>
        <c:axId val="2124153903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8895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1298908169394191"/>
          <c:w val="0.83663910761154858"/>
          <c:h val="0.1870109183060581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rgbClr val="FFFFFF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3162381396050122E-2"/>
          <c:y val="4.5977011494252873E-2"/>
          <c:w val="0.90394241618954674"/>
          <c:h val="0.6473839672862208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[БД1.xlsx]рисунки!$B$168</c:f>
              <c:strCache>
                <c:ptCount val="1"/>
                <c:pt idx="0">
                  <c:v>Доля воспользовавшихся имущественным вычетом в числе имеющих недвижимость</c:v>
                </c:pt>
              </c:strCache>
            </c:strRef>
          </c:tx>
          <c:spPr>
            <a:solidFill>
              <a:sysClr val="windowText" lastClr="000000">
                <a:lumMod val="50000"/>
                <a:lumOff val="50000"/>
              </a:sysClr>
            </a:solidFill>
            <a:ln>
              <a:solidFill>
                <a:sysClr val="windowText" lastClr="000000">
                  <a:lumMod val="50000"/>
                  <a:lumOff val="50000"/>
                </a:sysClr>
              </a:solidFill>
            </a:ln>
            <a:effectLst/>
          </c:spPr>
          <c:invertIfNegative val="0"/>
          <c:cat>
            <c:strRef>
              <c:f>[БД1.xlsx]рисунки!$A$169:$A$174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[БД1.xlsx]рисунки!$B$169:$B$174</c:f>
              <c:numCache>
                <c:formatCode>0.0%</c:formatCode>
                <c:ptCount val="6"/>
                <c:pt idx="0">
                  <c:v>0.33962264150943394</c:v>
                </c:pt>
                <c:pt idx="1">
                  <c:v>0.18367346938775511</c:v>
                </c:pt>
                <c:pt idx="2">
                  <c:v>0.28399999999999997</c:v>
                </c:pt>
                <c:pt idx="3">
                  <c:v>0.38297872340425537</c:v>
                </c:pt>
                <c:pt idx="4">
                  <c:v>0.41836734693877553</c:v>
                </c:pt>
                <c:pt idx="5">
                  <c:v>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8DD-4528-816F-57A2FB13F76C}"/>
            </c:ext>
          </c:extLst>
        </c:ser>
        <c:ser>
          <c:idx val="2"/>
          <c:order val="2"/>
          <c:tx>
            <c:strRef>
              <c:f>[БД1.xlsx]рисунки!$D$168</c:f>
              <c:strCache>
                <c:ptCount val="1"/>
                <c:pt idx="0">
                  <c:v>Доля воспользовавшихся вычетом на обучение в числе имеющих расходы на платные образовательные услуги</c:v>
                </c:pt>
              </c:strCache>
            </c:strRef>
          </c:tx>
          <c:spPr>
            <a:solidFill>
              <a:sysClr val="window" lastClr="FFFFFF">
                <a:lumMod val="75000"/>
              </a:sysClr>
            </a:solidFill>
            <a:ln>
              <a:solidFill>
                <a:sysClr val="window" lastClr="FFFFFF">
                  <a:lumMod val="75000"/>
                </a:sysClr>
              </a:solidFill>
            </a:ln>
            <a:effectLst/>
          </c:spPr>
          <c:invertIfNegative val="0"/>
          <c:cat>
            <c:strRef>
              <c:f>[БД1.xlsx]рисунки!$A$169:$A$174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[БД1.xlsx]рисунки!$D$169:$D$174</c:f>
              <c:numCache>
                <c:formatCode>0.0%</c:formatCode>
                <c:ptCount val="6"/>
                <c:pt idx="0">
                  <c:v>0.64052287581699341</c:v>
                </c:pt>
                <c:pt idx="1">
                  <c:v>1</c:v>
                </c:pt>
                <c:pt idx="2">
                  <c:v>0.67391304347826086</c:v>
                </c:pt>
                <c:pt idx="3">
                  <c:v>0.609375</c:v>
                </c:pt>
                <c:pt idx="4">
                  <c:v>0.47272727272727272</c:v>
                </c:pt>
                <c:pt idx="5">
                  <c:v>0.25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8DD-4528-816F-57A2FB13F7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124158895"/>
        <c:axId val="2124153903"/>
      </c:barChart>
      <c:lineChart>
        <c:grouping val="standard"/>
        <c:varyColors val="0"/>
        <c:ser>
          <c:idx val="1"/>
          <c:order val="1"/>
          <c:tx>
            <c:strRef>
              <c:f>[БД1.xlsx]рисунки!$C$168</c:f>
              <c:strCache>
                <c:ptCount val="1"/>
                <c:pt idx="0">
                  <c:v>Доля воспользовавшихся вычетом на лечение в числе имеющих расходы на платные медицинские услуги</c:v>
                </c:pt>
              </c:strCache>
            </c:strRef>
          </c:tx>
          <c:spPr>
            <a:ln w="28575" cap="rnd">
              <a:solidFill>
                <a:sysClr val="windowText" lastClr="000000"/>
              </a:solidFill>
              <a:prstDash val="dash"/>
              <a:round/>
            </a:ln>
            <a:effectLst/>
          </c:spPr>
          <c:marker>
            <c:symbol val="circle"/>
            <c:size val="5"/>
            <c:spPr>
              <a:solidFill>
                <a:sysClr val="windowText" lastClr="000000"/>
              </a:solidFill>
              <a:ln w="9525">
                <a:solidFill>
                  <a:sysClr val="windowText" lastClr="000000"/>
                </a:solidFill>
              </a:ln>
              <a:effectLst/>
            </c:spPr>
          </c:marker>
          <c:cat>
            <c:strRef>
              <c:f>[БД1.xlsx]рисунки!$A$169:$A$174</c:f>
              <c:strCache>
                <c:ptCount val="6"/>
                <c:pt idx="0">
                  <c:v>Общая выборка</c:v>
                </c:pt>
                <c:pt idx="1">
                  <c:v>до 15 тыс. руб.</c:v>
                </c:pt>
                <c:pt idx="2">
                  <c:v>15-40 тыс. руб.</c:v>
                </c:pt>
                <c:pt idx="3">
                  <c:v>40-100 тыс. руб.</c:v>
                </c:pt>
                <c:pt idx="4">
                  <c:v>100-400 тыс. руб.</c:v>
                </c:pt>
                <c:pt idx="5">
                  <c:v>Свыше 400 тыс. руб.</c:v>
                </c:pt>
              </c:strCache>
            </c:strRef>
          </c:cat>
          <c:val>
            <c:numRef>
              <c:f>[БД1.xlsx]рисунки!$C$169:$C$174</c:f>
              <c:numCache>
                <c:formatCode>0.0%</c:formatCode>
                <c:ptCount val="6"/>
                <c:pt idx="0">
                  <c:v>2.5193798449612403E-2</c:v>
                </c:pt>
                <c:pt idx="1">
                  <c:v>0</c:v>
                </c:pt>
                <c:pt idx="2">
                  <c:v>5.9880239520958087E-3</c:v>
                </c:pt>
                <c:pt idx="3">
                  <c:v>2.3696682464454978E-2</c:v>
                </c:pt>
                <c:pt idx="4">
                  <c:v>4.5977011494252873E-2</c:v>
                </c:pt>
                <c:pt idx="5">
                  <c:v>0.3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8DD-4528-816F-57A2FB13F7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24158895"/>
        <c:axId val="2124153903"/>
      </c:lineChart>
      <c:catAx>
        <c:axId val="21241588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3903"/>
        <c:crosses val="autoZero"/>
        <c:auto val="1"/>
        <c:lblAlgn val="ctr"/>
        <c:lblOffset val="100"/>
        <c:noMultiLvlLbl val="0"/>
      </c:catAx>
      <c:valAx>
        <c:axId val="2124153903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124158895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392018473494747E-2"/>
          <c:y val="0.78791071178798577"/>
          <c:w val="0.98395139727109504"/>
          <c:h val="0.1843115378602752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Reversed" id="23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4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Sheets">
    <a:dk1>
      <a:srgbClr val="000000"/>
    </a:dk1>
    <a:lt1>
      <a:srgbClr val="FFFFFF"/>
    </a:lt1>
    <a:dk2>
      <a:srgbClr val="000000"/>
    </a:dk2>
    <a:lt2>
      <a:srgbClr val="FFFFFF"/>
    </a:lt2>
    <a:accent1>
      <a:srgbClr val="4285F4"/>
    </a:accent1>
    <a:accent2>
      <a:srgbClr val="EA4335"/>
    </a:accent2>
    <a:accent3>
      <a:srgbClr val="FBBC04"/>
    </a:accent3>
    <a:accent4>
      <a:srgbClr val="34A853"/>
    </a:accent4>
    <a:accent5>
      <a:srgbClr val="FF6D01"/>
    </a:accent5>
    <a:accent6>
      <a:srgbClr val="46BDC6"/>
    </a:accent6>
    <a:hlink>
      <a:srgbClr val="1155CC"/>
    </a:hlink>
    <a:folHlink>
      <a:srgbClr val="1155CC"/>
    </a:folHlink>
  </a:clrScheme>
  <a:fontScheme name="Sheets">
    <a:majorFont>
      <a:latin typeface="Arial"/>
      <a:ea typeface="Arial"/>
      <a:cs typeface="Arial"/>
    </a:majorFont>
    <a:minorFont>
      <a:latin typeface="Arial"/>
      <a:ea typeface="Arial"/>
      <a:cs typeface="Arial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Sheets">
    <a:dk1>
      <a:srgbClr val="000000"/>
    </a:dk1>
    <a:lt1>
      <a:srgbClr val="FFFFFF"/>
    </a:lt1>
    <a:dk2>
      <a:srgbClr val="000000"/>
    </a:dk2>
    <a:lt2>
      <a:srgbClr val="FFFFFF"/>
    </a:lt2>
    <a:accent1>
      <a:srgbClr val="4285F4"/>
    </a:accent1>
    <a:accent2>
      <a:srgbClr val="EA4335"/>
    </a:accent2>
    <a:accent3>
      <a:srgbClr val="FBBC04"/>
    </a:accent3>
    <a:accent4>
      <a:srgbClr val="34A853"/>
    </a:accent4>
    <a:accent5>
      <a:srgbClr val="FF6D01"/>
    </a:accent5>
    <a:accent6>
      <a:srgbClr val="46BDC6"/>
    </a:accent6>
    <a:hlink>
      <a:srgbClr val="1155CC"/>
    </a:hlink>
    <a:folHlink>
      <a:srgbClr val="1155CC"/>
    </a:folHlink>
  </a:clrScheme>
  <a:fontScheme name="Sheets">
    <a:majorFont>
      <a:latin typeface="Arial"/>
      <a:ea typeface="Arial"/>
      <a:cs typeface="Arial"/>
    </a:majorFont>
    <a:minorFont>
      <a:latin typeface="Arial"/>
      <a:ea typeface="Arial"/>
      <a:cs typeface="Arial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22BC6-8783-4BD7-B448-DC96DA773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5076</TotalTime>
  <Pages>5</Pages>
  <Words>1687</Words>
  <Characters>11018</Characters>
  <Application>Microsoft Office Word</Application>
  <DocSecurity>0</DocSecurity>
  <Lines>250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ПУГАЧЕВ</dc:creator>
  <cp:keywords/>
  <dc:description/>
  <cp:lastModifiedBy>АНДРЕЙ</cp:lastModifiedBy>
  <cp:revision>157</cp:revision>
  <cp:lastPrinted>2023-05-10T06:05:00Z</cp:lastPrinted>
  <dcterms:created xsi:type="dcterms:W3CDTF">2022-02-21T15:46:00Z</dcterms:created>
  <dcterms:modified xsi:type="dcterms:W3CDTF">2023-05-10T06:15:00Z</dcterms:modified>
</cp:coreProperties>
</file>