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D1C" w:rsidRPr="000C38FB" w:rsidRDefault="00833D1C" w:rsidP="00833D1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0C38FB">
        <w:rPr>
          <w:rFonts w:ascii="Times New Roman" w:eastAsia="Calibri" w:hAnsi="Times New Roman" w:cs="Times New Roman"/>
          <w:b/>
          <w:sz w:val="24"/>
          <w:szCs w:val="24"/>
        </w:rPr>
        <w:t>Борисова</w:t>
      </w:r>
      <w:r w:rsidRPr="00833D1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0C38FB">
        <w:rPr>
          <w:rFonts w:ascii="Times New Roman" w:eastAsia="Calibri" w:hAnsi="Times New Roman" w:cs="Times New Roman"/>
          <w:b/>
          <w:sz w:val="24"/>
          <w:szCs w:val="24"/>
        </w:rPr>
        <w:t>А.С.</w:t>
      </w:r>
      <w:r w:rsidR="00490DB4">
        <w:rPr>
          <w:rStyle w:val="af"/>
          <w:rFonts w:ascii="Times New Roman" w:eastAsia="Calibri" w:hAnsi="Times New Roman" w:cs="Times New Roman"/>
          <w:b/>
          <w:sz w:val="24"/>
          <w:szCs w:val="24"/>
        </w:rPr>
        <w:footnoteReference w:id="1"/>
      </w:r>
    </w:p>
    <w:p w:rsidR="00833D1C" w:rsidRDefault="00833D1C" w:rsidP="00833D1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833D1C" w:rsidRPr="000C38FB" w:rsidRDefault="00833D1C" w:rsidP="00490DB4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Современные проблемы и перспективы развития б</w:t>
      </w:r>
      <w:r w:rsidRPr="000C38FB">
        <w:rPr>
          <w:rFonts w:ascii="Times New Roman" w:eastAsia="Calibri" w:hAnsi="Times New Roman" w:cs="Times New Roman"/>
          <w:b/>
          <w:sz w:val="24"/>
          <w:szCs w:val="24"/>
        </w:rPr>
        <w:t>анковск</w:t>
      </w:r>
      <w:r>
        <w:rPr>
          <w:rFonts w:ascii="Times New Roman" w:eastAsia="Calibri" w:hAnsi="Times New Roman" w:cs="Times New Roman"/>
          <w:b/>
          <w:sz w:val="24"/>
          <w:szCs w:val="24"/>
        </w:rPr>
        <w:t>ого</w:t>
      </w:r>
      <w:r w:rsidRPr="000C38FB">
        <w:rPr>
          <w:rFonts w:ascii="Times New Roman" w:eastAsia="Calibri" w:hAnsi="Times New Roman" w:cs="Times New Roman"/>
          <w:b/>
          <w:sz w:val="24"/>
          <w:szCs w:val="24"/>
        </w:rPr>
        <w:t xml:space="preserve"> сектор</w:t>
      </w:r>
      <w:r>
        <w:rPr>
          <w:rFonts w:ascii="Times New Roman" w:eastAsia="Calibri" w:hAnsi="Times New Roman" w:cs="Times New Roman"/>
          <w:b/>
          <w:sz w:val="24"/>
          <w:szCs w:val="24"/>
        </w:rPr>
        <w:t>а в условиях влияния экономической ситуации в Р</w:t>
      </w:r>
      <w:r w:rsidRPr="000C38FB">
        <w:rPr>
          <w:rFonts w:ascii="Times New Roman" w:eastAsia="Calibri" w:hAnsi="Times New Roman" w:cs="Times New Roman"/>
          <w:b/>
          <w:sz w:val="24"/>
          <w:szCs w:val="24"/>
        </w:rPr>
        <w:t xml:space="preserve">оссии </w:t>
      </w:r>
      <w:r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Pr="000C38FB">
        <w:rPr>
          <w:rFonts w:ascii="Times New Roman" w:eastAsia="Calibri" w:hAnsi="Times New Roman" w:cs="Times New Roman"/>
          <w:b/>
          <w:sz w:val="24"/>
          <w:szCs w:val="24"/>
        </w:rPr>
        <w:t>на примере потребительского кредитования в ПАО СКБ П</w:t>
      </w:r>
      <w:r>
        <w:rPr>
          <w:rFonts w:ascii="Times New Roman" w:eastAsia="Calibri" w:hAnsi="Times New Roman" w:cs="Times New Roman"/>
          <w:b/>
          <w:sz w:val="24"/>
          <w:szCs w:val="24"/>
        </w:rPr>
        <w:t>р</w:t>
      </w:r>
      <w:r w:rsidRPr="000C38FB">
        <w:rPr>
          <w:rFonts w:ascii="Times New Roman" w:eastAsia="Calibri" w:hAnsi="Times New Roman" w:cs="Times New Roman"/>
          <w:b/>
          <w:sz w:val="24"/>
          <w:szCs w:val="24"/>
        </w:rPr>
        <w:t>иморья «</w:t>
      </w:r>
      <w:proofErr w:type="spellStart"/>
      <w:r w:rsidRPr="000C38FB">
        <w:rPr>
          <w:rFonts w:ascii="Times New Roman" w:eastAsia="Calibri" w:hAnsi="Times New Roman" w:cs="Times New Roman"/>
          <w:b/>
          <w:sz w:val="24"/>
          <w:szCs w:val="24"/>
        </w:rPr>
        <w:t>Примсоцбанк</w:t>
      </w:r>
      <w:proofErr w:type="spellEnd"/>
      <w:r w:rsidRPr="000C38FB">
        <w:rPr>
          <w:rFonts w:ascii="Times New Roman" w:eastAsia="Calibri" w:hAnsi="Times New Roman" w:cs="Times New Roman"/>
          <w:b/>
          <w:sz w:val="24"/>
          <w:szCs w:val="24"/>
        </w:rPr>
        <w:t>»)</w:t>
      </w:r>
    </w:p>
    <w:p w:rsidR="00833D1C" w:rsidRPr="00833D1C" w:rsidRDefault="00833D1C" w:rsidP="00833D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6236" w:rsidRDefault="00833D1C" w:rsidP="0038118F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i/>
        </w:rPr>
      </w:pPr>
      <w:r w:rsidRPr="00490DB4">
        <w:rPr>
          <w:rFonts w:ascii="Times New Roman" w:eastAsia="Times New Roman" w:hAnsi="Times New Roman" w:cs="Times New Roman"/>
          <w:b/>
        </w:rPr>
        <w:t>Аннотация</w:t>
      </w:r>
      <w:r w:rsidR="0038118F" w:rsidRPr="00490DB4">
        <w:rPr>
          <w:rFonts w:ascii="Times New Roman" w:eastAsia="Times New Roman" w:hAnsi="Times New Roman" w:cs="Times New Roman"/>
          <w:b/>
        </w:rPr>
        <w:t>:</w:t>
      </w:r>
      <w:r w:rsidR="005836DA">
        <w:rPr>
          <w:rFonts w:ascii="Times New Roman" w:eastAsia="Times New Roman" w:hAnsi="Times New Roman" w:cs="Times New Roman"/>
          <w:i/>
        </w:rPr>
        <w:t xml:space="preserve"> </w:t>
      </w:r>
      <w:proofErr w:type="gramStart"/>
      <w:r w:rsidR="005836DA">
        <w:rPr>
          <w:rFonts w:ascii="Times New Roman" w:eastAsia="Times New Roman" w:hAnsi="Times New Roman" w:cs="Times New Roman"/>
          <w:i/>
        </w:rPr>
        <w:t>В</w:t>
      </w:r>
      <w:proofErr w:type="gramEnd"/>
      <w:r w:rsidR="005836DA">
        <w:rPr>
          <w:rFonts w:ascii="Times New Roman" w:eastAsia="Times New Roman" w:hAnsi="Times New Roman" w:cs="Times New Roman"/>
          <w:i/>
        </w:rPr>
        <w:t> </w:t>
      </w:r>
      <w:r w:rsidRPr="00490DB4">
        <w:rPr>
          <w:rFonts w:ascii="Times New Roman" w:eastAsia="Times New Roman" w:hAnsi="Times New Roman" w:cs="Times New Roman"/>
          <w:i/>
        </w:rPr>
        <w:t>статье</w:t>
      </w:r>
      <w:r w:rsidR="005836DA">
        <w:rPr>
          <w:rFonts w:ascii="Times New Roman" w:eastAsia="Calibri" w:hAnsi="Times New Roman" w:cs="Times New Roman"/>
          <w:i/>
        </w:rPr>
        <w:t> </w:t>
      </w:r>
      <w:r w:rsidR="005836DA">
        <w:rPr>
          <w:rFonts w:ascii="Times New Roman" w:eastAsia="Times New Roman" w:hAnsi="Times New Roman" w:cs="Times New Roman"/>
          <w:i/>
        </w:rPr>
        <w:t xml:space="preserve">рассмотрена динамика </w:t>
      </w:r>
      <w:r w:rsidR="0038118F" w:rsidRPr="00490DB4">
        <w:rPr>
          <w:rFonts w:ascii="Times New Roman" w:eastAsia="Times New Roman" w:hAnsi="Times New Roman" w:cs="Times New Roman"/>
          <w:i/>
        </w:rPr>
        <w:t>объемов предоставленных потребительских кредитов</w:t>
      </w:r>
      <w:r w:rsidR="005836DA">
        <w:rPr>
          <w:rFonts w:ascii="Times New Roman" w:eastAsia="Times New Roman" w:hAnsi="Times New Roman" w:cs="Times New Roman"/>
          <w:i/>
        </w:rPr>
        <w:t xml:space="preserve">, </w:t>
      </w:r>
      <w:r w:rsidR="0038118F" w:rsidRPr="00490DB4">
        <w:rPr>
          <w:rFonts w:ascii="Times New Roman" w:eastAsia="Times New Roman" w:hAnsi="Times New Roman" w:cs="Times New Roman"/>
          <w:i/>
        </w:rPr>
        <w:t xml:space="preserve">их доля в </w:t>
      </w:r>
      <w:r w:rsidR="00B4578B">
        <w:rPr>
          <w:rFonts w:ascii="Times New Roman" w:eastAsia="Times New Roman" w:hAnsi="Times New Roman" w:cs="Times New Roman"/>
          <w:i/>
        </w:rPr>
        <w:t>ВВП</w:t>
      </w:r>
      <w:r w:rsidR="005836DA">
        <w:rPr>
          <w:rFonts w:ascii="Times New Roman" w:eastAsia="Times New Roman" w:hAnsi="Times New Roman" w:cs="Times New Roman"/>
          <w:i/>
        </w:rPr>
        <w:t xml:space="preserve"> и</w:t>
      </w:r>
      <w:r w:rsidR="0038118F" w:rsidRPr="00490DB4">
        <w:rPr>
          <w:rFonts w:ascii="Times New Roman" w:eastAsia="Times New Roman" w:hAnsi="Times New Roman" w:cs="Times New Roman"/>
          <w:i/>
        </w:rPr>
        <w:t xml:space="preserve"> </w:t>
      </w:r>
      <w:r w:rsidRPr="00490DB4">
        <w:rPr>
          <w:rFonts w:ascii="Times New Roman" w:eastAsia="Times New Roman" w:hAnsi="Times New Roman" w:cs="Times New Roman"/>
          <w:i/>
        </w:rPr>
        <w:t>просроченн</w:t>
      </w:r>
      <w:r w:rsidR="0038118F" w:rsidRPr="00490DB4">
        <w:rPr>
          <w:rFonts w:ascii="Times New Roman" w:eastAsia="Times New Roman" w:hAnsi="Times New Roman" w:cs="Times New Roman"/>
          <w:i/>
        </w:rPr>
        <w:t>ая</w:t>
      </w:r>
      <w:r w:rsidRPr="00490DB4">
        <w:rPr>
          <w:rFonts w:ascii="Times New Roman" w:eastAsia="Times New Roman" w:hAnsi="Times New Roman" w:cs="Times New Roman"/>
          <w:i/>
        </w:rPr>
        <w:t xml:space="preserve"> задолженност</w:t>
      </w:r>
      <w:r w:rsidR="0038118F" w:rsidRPr="00490DB4">
        <w:rPr>
          <w:rFonts w:ascii="Times New Roman" w:eastAsia="Times New Roman" w:hAnsi="Times New Roman" w:cs="Times New Roman"/>
          <w:i/>
        </w:rPr>
        <w:t>ь</w:t>
      </w:r>
      <w:r w:rsidR="005836DA">
        <w:rPr>
          <w:rFonts w:ascii="Times New Roman" w:eastAsia="Times New Roman" w:hAnsi="Times New Roman" w:cs="Times New Roman"/>
          <w:i/>
        </w:rPr>
        <w:t xml:space="preserve">. </w:t>
      </w:r>
      <w:r w:rsidRPr="00490DB4">
        <w:rPr>
          <w:rFonts w:ascii="Times New Roman" w:eastAsia="Times New Roman" w:hAnsi="Times New Roman" w:cs="Times New Roman"/>
          <w:i/>
        </w:rPr>
        <w:t>Рассмотрено влияние экономической ситуации на банковский сектор в сфер</w:t>
      </w:r>
      <w:r w:rsidR="0038118F" w:rsidRPr="00490DB4">
        <w:rPr>
          <w:rFonts w:ascii="Times New Roman" w:eastAsia="Times New Roman" w:hAnsi="Times New Roman" w:cs="Times New Roman"/>
          <w:i/>
        </w:rPr>
        <w:t>е потребительского кредитования, выявлены современные проблемы и обозначены перспективы</w:t>
      </w:r>
      <w:r w:rsidR="005836DA">
        <w:rPr>
          <w:rFonts w:ascii="Times New Roman" w:eastAsia="Times New Roman" w:hAnsi="Times New Roman" w:cs="Times New Roman"/>
          <w:i/>
        </w:rPr>
        <w:t xml:space="preserve"> его </w:t>
      </w:r>
      <w:r w:rsidR="0038118F" w:rsidRPr="00490DB4">
        <w:rPr>
          <w:rFonts w:ascii="Times New Roman" w:eastAsia="Times New Roman" w:hAnsi="Times New Roman" w:cs="Times New Roman"/>
          <w:i/>
        </w:rPr>
        <w:t>развития</w:t>
      </w:r>
      <w:r w:rsidR="00B4578B">
        <w:rPr>
          <w:rFonts w:ascii="Times New Roman" w:eastAsia="Times New Roman" w:hAnsi="Times New Roman" w:cs="Times New Roman"/>
          <w:i/>
        </w:rPr>
        <w:t>.</w:t>
      </w:r>
    </w:p>
    <w:p w:rsidR="00833D1C" w:rsidRPr="00490DB4" w:rsidRDefault="00833D1C" w:rsidP="0038118F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i/>
        </w:rPr>
      </w:pPr>
      <w:r w:rsidRPr="00490DB4">
        <w:rPr>
          <w:rFonts w:ascii="Times New Roman" w:eastAsia="Times New Roman" w:hAnsi="Times New Roman" w:cs="Times New Roman"/>
          <w:b/>
        </w:rPr>
        <w:t>Ключевые слова:</w:t>
      </w:r>
      <w:r w:rsidRPr="00490DB4">
        <w:rPr>
          <w:rFonts w:ascii="Times New Roman" w:eastAsia="Times New Roman" w:hAnsi="Times New Roman" w:cs="Times New Roman"/>
          <w:b/>
          <w:i/>
        </w:rPr>
        <w:t xml:space="preserve"> </w:t>
      </w:r>
      <w:r w:rsidRPr="00490DB4">
        <w:rPr>
          <w:rFonts w:ascii="Times New Roman" w:eastAsia="Times New Roman" w:hAnsi="Times New Roman" w:cs="Times New Roman"/>
          <w:i/>
        </w:rPr>
        <w:t>банковский сектор, потребительское кредитование,</w:t>
      </w:r>
      <w:r w:rsidRPr="00490DB4">
        <w:rPr>
          <w:rFonts w:ascii="Times New Roman" w:eastAsia="Times New Roman" w:hAnsi="Times New Roman" w:cs="Times New Roman"/>
          <w:b/>
          <w:i/>
        </w:rPr>
        <w:t xml:space="preserve"> </w:t>
      </w:r>
      <w:r w:rsidRPr="00490DB4">
        <w:rPr>
          <w:rFonts w:ascii="Times New Roman" w:eastAsia="Times New Roman" w:hAnsi="Times New Roman" w:cs="Times New Roman"/>
          <w:i/>
        </w:rPr>
        <w:t xml:space="preserve">экономические </w:t>
      </w:r>
      <w:r w:rsidR="0038118F" w:rsidRPr="00490DB4">
        <w:rPr>
          <w:rFonts w:ascii="Times New Roman" w:eastAsia="Times New Roman" w:hAnsi="Times New Roman" w:cs="Times New Roman"/>
          <w:i/>
        </w:rPr>
        <w:t>санкции</w:t>
      </w:r>
      <w:r w:rsidRPr="00490DB4">
        <w:rPr>
          <w:rFonts w:ascii="Times New Roman" w:eastAsia="Times New Roman" w:hAnsi="Times New Roman" w:cs="Times New Roman"/>
          <w:i/>
        </w:rPr>
        <w:t>.</w:t>
      </w:r>
    </w:p>
    <w:p w:rsidR="00833D1C" w:rsidRPr="00833D1C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F84381" w:rsidRDefault="00B4578B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4578B">
        <w:rPr>
          <w:rFonts w:ascii="Times New Roman" w:eastAsia="Calibri" w:hAnsi="Times New Roman" w:cs="Times New Roman"/>
          <w:sz w:val="24"/>
          <w:szCs w:val="24"/>
        </w:rPr>
        <w:t xml:space="preserve">Потребительское кредитование сегодня – наиболее удобная форма кредитования населения и самое доходное направление деятельности для банков. 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>Банковский сектор, как один из важнейших элементов экономической системы страны, претерпевает в настоящее время серьезные изменения.</w:t>
      </w:r>
      <w:r w:rsidR="00490DB4">
        <w:rPr>
          <w:rFonts w:ascii="Times New Roman" w:eastAsia="Calibri" w:hAnsi="Times New Roman" w:cs="Times New Roman"/>
          <w:sz w:val="24"/>
          <w:szCs w:val="24"/>
        </w:rPr>
        <w:t xml:space="preserve"> П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ериод пандемии </w:t>
      </w:r>
      <w:proofErr w:type="spellStart"/>
      <w:r w:rsidR="00833D1C" w:rsidRPr="000C38FB">
        <w:rPr>
          <w:rFonts w:ascii="Times New Roman" w:eastAsia="Calibri" w:hAnsi="Times New Roman" w:cs="Times New Roman"/>
          <w:sz w:val="24"/>
          <w:szCs w:val="24"/>
        </w:rPr>
        <w:t>коронавирусной</w:t>
      </w:r>
      <w:proofErr w:type="spellEnd"/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 инфекции </w:t>
      </w:r>
      <w:r w:rsidR="00833D1C" w:rsidRPr="000C38FB">
        <w:rPr>
          <w:rFonts w:ascii="Times New Roman" w:eastAsia="Calibri" w:hAnsi="Times New Roman" w:cs="Times New Roman"/>
          <w:sz w:val="24"/>
          <w:szCs w:val="24"/>
          <w:lang w:val="en-US"/>
        </w:rPr>
        <w:t>COVID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-19, многочисленные санкции западных государств, а также </w:t>
      </w:r>
      <w:r>
        <w:rPr>
          <w:rFonts w:ascii="Times New Roman" w:eastAsia="Calibri" w:hAnsi="Times New Roman" w:cs="Times New Roman"/>
          <w:sz w:val="24"/>
          <w:szCs w:val="24"/>
        </w:rPr>
        <w:t xml:space="preserve">ограничения и изменения, связанные со 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>специальн</w:t>
      </w:r>
      <w:r>
        <w:rPr>
          <w:rFonts w:ascii="Times New Roman" w:eastAsia="Calibri" w:hAnsi="Times New Roman" w:cs="Times New Roman"/>
          <w:sz w:val="24"/>
          <w:szCs w:val="24"/>
        </w:rPr>
        <w:t>ой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 военн</w:t>
      </w:r>
      <w:r>
        <w:rPr>
          <w:rFonts w:ascii="Times New Roman" w:eastAsia="Calibri" w:hAnsi="Times New Roman" w:cs="Times New Roman"/>
          <w:sz w:val="24"/>
          <w:szCs w:val="24"/>
        </w:rPr>
        <w:t>ой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 операци</w:t>
      </w:r>
      <w:r>
        <w:rPr>
          <w:rFonts w:ascii="Times New Roman" w:eastAsia="Calibri" w:hAnsi="Times New Roman" w:cs="Times New Roman"/>
          <w:sz w:val="24"/>
          <w:szCs w:val="24"/>
        </w:rPr>
        <w:t>ей,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 оказывают влияние на деятельность многих финансово-кредитных учреждений. Вопросы влияния экономической ситуации в России на банковский сектор, в том числе, в сфере потребительского кредитования актуальн</w:t>
      </w:r>
      <w:r w:rsidR="00490DB4">
        <w:rPr>
          <w:rFonts w:ascii="Times New Roman" w:eastAsia="Calibri" w:hAnsi="Times New Roman" w:cs="Times New Roman"/>
          <w:sz w:val="24"/>
          <w:szCs w:val="24"/>
        </w:rPr>
        <w:t xml:space="preserve">ы для любых коммерческих банков 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>[</w:t>
      </w:r>
      <w:r w:rsidR="00833D1C" w:rsidRPr="00D7342E">
        <w:rPr>
          <w:rFonts w:ascii="Times New Roman" w:eastAsia="Calibri" w:hAnsi="Times New Roman" w:cs="Times New Roman"/>
          <w:sz w:val="24"/>
          <w:szCs w:val="24"/>
        </w:rPr>
        <w:t>1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 xml:space="preserve"> - </w:t>
      </w:r>
      <w:r w:rsidR="00490DB4">
        <w:rPr>
          <w:rFonts w:ascii="Times New Roman" w:eastAsia="Calibri" w:hAnsi="Times New Roman" w:cs="Times New Roman"/>
          <w:sz w:val="24"/>
          <w:szCs w:val="24"/>
        </w:rPr>
        <w:t>4</w:t>
      </w:r>
      <w:r w:rsidR="00833D1C" w:rsidRPr="000C38FB">
        <w:rPr>
          <w:rFonts w:ascii="Times New Roman" w:eastAsia="Calibri" w:hAnsi="Times New Roman" w:cs="Times New Roman"/>
          <w:sz w:val="24"/>
          <w:szCs w:val="24"/>
        </w:rPr>
        <w:t>].</w:t>
      </w:r>
      <w:r w:rsidR="00490DB4" w:rsidRPr="00490DB4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F84381" w:rsidRDefault="00490DB4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0DB4">
        <w:rPr>
          <w:rFonts w:ascii="Times New Roman" w:eastAsia="Calibri" w:hAnsi="Times New Roman" w:cs="Times New Roman"/>
          <w:sz w:val="24"/>
          <w:szCs w:val="24"/>
        </w:rPr>
        <w:t>Целью исследования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 является изучение основных проблем банковского сектора </w:t>
      </w:r>
      <w:r w:rsidRPr="000C38FB">
        <w:rPr>
          <w:rFonts w:ascii="Times New Roman" w:eastAsia="Times New Roman" w:hAnsi="Times New Roman" w:cs="Times New Roman"/>
          <w:sz w:val="24"/>
          <w:szCs w:val="24"/>
        </w:rPr>
        <w:t>России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 в сфере потребительского кредитования, обусловленных действующими ог</w:t>
      </w:r>
      <w:r>
        <w:rPr>
          <w:rFonts w:ascii="Times New Roman" w:eastAsia="Calibri" w:hAnsi="Times New Roman" w:cs="Times New Roman"/>
          <w:sz w:val="24"/>
          <w:szCs w:val="24"/>
        </w:rPr>
        <w:t>раничениями на экономику страны, а также рассмотрение перспектив его развития.</w:t>
      </w:r>
      <w:r w:rsidR="005836DA" w:rsidRPr="005836DA">
        <w:t xml:space="preserve"> </w:t>
      </w:r>
      <w:r w:rsidR="005836DA" w:rsidRPr="005836DA">
        <w:rPr>
          <w:rFonts w:ascii="Times New Roman" w:eastAsia="Calibri" w:hAnsi="Times New Roman" w:cs="Times New Roman"/>
          <w:sz w:val="24"/>
          <w:szCs w:val="24"/>
        </w:rPr>
        <w:t>В качестве основных методов исследования в работе использованы аналитический метод, гипотетико-дедуктивный метод, системный анализ. К числу научных результатов можно отнести выявление основных проблем, сдерживающих рост рынка потребительского кредитования, а также обоснование перспективных мероприятий, которые необходимо предпринять кредитным организациям и Банку России для укрепления финансовой независимости страны.</w:t>
      </w:r>
      <w:r w:rsidR="005836DA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Потребительское кредитование </w:t>
      </w:r>
      <w:r w:rsidR="001B09CE">
        <w:rPr>
          <w:rFonts w:ascii="Times New Roman" w:eastAsia="Calibri" w:hAnsi="Times New Roman" w:cs="Times New Roman"/>
          <w:sz w:val="24"/>
          <w:szCs w:val="24"/>
        </w:rPr>
        <w:t>– н</w:t>
      </w:r>
      <w:r w:rsidRPr="000C38FB">
        <w:rPr>
          <w:rFonts w:ascii="Times New Roman" w:eastAsia="Calibri" w:hAnsi="Times New Roman" w:cs="Times New Roman"/>
          <w:sz w:val="24"/>
          <w:szCs w:val="24"/>
        </w:rPr>
        <w:t>аиболее рентабельн</w:t>
      </w:r>
      <w:r w:rsidR="001B09CE">
        <w:rPr>
          <w:rFonts w:ascii="Times New Roman" w:eastAsia="Calibri" w:hAnsi="Times New Roman" w:cs="Times New Roman"/>
          <w:sz w:val="24"/>
          <w:szCs w:val="24"/>
        </w:rPr>
        <w:t>ое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 направлением деятельности для банков. Для стабильного экономического развития страны необходимо его совершенствовать. Анализ объемов выданных потребительских кредитов и их доли в ВВП за период с 2018 по 2022 гг. в России показал, что </w:t>
      </w:r>
      <w:r w:rsidR="001B09CE">
        <w:rPr>
          <w:rFonts w:ascii="Times New Roman" w:eastAsia="Calibri" w:hAnsi="Times New Roman" w:cs="Times New Roman"/>
          <w:sz w:val="24"/>
          <w:szCs w:val="24"/>
        </w:rPr>
        <w:t xml:space="preserve">до 2021 года 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наблюдается тенденция роста </w:t>
      </w:r>
      <w:r w:rsidR="001B09CE">
        <w:rPr>
          <w:rFonts w:ascii="Times New Roman" w:eastAsia="Calibri" w:hAnsi="Times New Roman" w:cs="Times New Roman"/>
          <w:sz w:val="24"/>
          <w:szCs w:val="24"/>
        </w:rPr>
        <w:t>данного показателя (в 2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021 г. </w:t>
      </w:r>
      <w:r w:rsidR="001B09CE">
        <w:rPr>
          <w:rFonts w:ascii="Times New Roman" w:eastAsia="Calibri" w:hAnsi="Times New Roman" w:cs="Times New Roman"/>
          <w:sz w:val="24"/>
          <w:szCs w:val="24"/>
        </w:rPr>
        <w:t>составил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 20</w:t>
      </w:r>
      <w:r w:rsidR="00490DB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C38FB">
        <w:rPr>
          <w:rFonts w:ascii="Times New Roman" w:eastAsia="Calibri" w:hAnsi="Times New Roman" w:cs="Times New Roman"/>
          <w:sz w:val="24"/>
          <w:szCs w:val="24"/>
        </w:rPr>
        <w:t>860,28 млрд. руб.</w:t>
      </w:r>
      <w:r w:rsidR="001B09CE">
        <w:rPr>
          <w:rFonts w:ascii="Times New Roman" w:eastAsia="Calibri" w:hAnsi="Times New Roman" w:cs="Times New Roman"/>
          <w:sz w:val="24"/>
          <w:szCs w:val="24"/>
        </w:rPr>
        <w:t>)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490DB4">
        <w:rPr>
          <w:rFonts w:ascii="Times New Roman" w:eastAsia="Calibri" w:hAnsi="Times New Roman" w:cs="Times New Roman"/>
          <w:sz w:val="24"/>
          <w:szCs w:val="24"/>
        </w:rPr>
        <w:t>5</w:t>
      </w:r>
      <w:r w:rsidRPr="000C38FB">
        <w:rPr>
          <w:rFonts w:ascii="Times New Roman" w:eastAsia="Calibri" w:hAnsi="Times New Roman" w:cs="Times New Roman"/>
          <w:sz w:val="24"/>
          <w:szCs w:val="24"/>
        </w:rPr>
        <w:t>]. В 2022 г. этот показатель снизился на 12,4%</w:t>
      </w:r>
      <w:r>
        <w:rPr>
          <w:rFonts w:ascii="Times New Roman" w:eastAsia="Calibri" w:hAnsi="Times New Roman" w:cs="Times New Roman"/>
          <w:sz w:val="24"/>
          <w:szCs w:val="24"/>
        </w:rPr>
        <w:t xml:space="preserve"> (табл</w:t>
      </w:r>
      <w:r w:rsidR="00764806">
        <w:rPr>
          <w:rFonts w:ascii="Times New Roman" w:eastAsia="Calibri" w:hAnsi="Times New Roman" w:cs="Times New Roman"/>
          <w:sz w:val="24"/>
          <w:szCs w:val="24"/>
        </w:rPr>
        <w:t>ица 1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  <w:r w:rsidRPr="000C38FB">
        <w:rPr>
          <w:rFonts w:ascii="Times New Roman" w:eastAsia="Calibri" w:hAnsi="Times New Roman" w:cs="Times New Roman"/>
          <w:sz w:val="24"/>
          <w:szCs w:val="24"/>
        </w:rPr>
        <w:t>. Схожая тенденция наблюдается в отношении доли потребительских кредитов в ВВП России [</w:t>
      </w:r>
      <w:r w:rsidR="00490DB4">
        <w:rPr>
          <w:rFonts w:ascii="Times New Roman" w:eastAsia="Calibri" w:hAnsi="Times New Roman" w:cs="Times New Roman"/>
          <w:sz w:val="24"/>
          <w:szCs w:val="24"/>
        </w:rPr>
        <w:t>6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]. </w:t>
      </w:r>
      <w:r w:rsidR="00764806" w:rsidRPr="00764806">
        <w:rPr>
          <w:rFonts w:ascii="Times New Roman" w:eastAsia="Calibri" w:hAnsi="Times New Roman" w:cs="Times New Roman"/>
          <w:sz w:val="24"/>
          <w:szCs w:val="24"/>
        </w:rPr>
        <w:t>По нашему мнению, в настоящее время происходит увеличение влияния потребительского кредитования на экономическое развитие страны и социальную жизнь общества, так как темпы роста доли потребительских кредитов в ВВП опережают темпы роста ВВП. Вместе с тем, следует отметить, что рост объемов потребительского кредитования сопряжен с увеличением долговой нагрузки населения.</w:t>
      </w:r>
    </w:p>
    <w:p w:rsidR="005836DA" w:rsidRDefault="005836DA" w:rsidP="0076480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3D1C" w:rsidRPr="001F3480" w:rsidRDefault="00833D1C" w:rsidP="0076480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F3480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764806">
        <w:rPr>
          <w:rFonts w:ascii="Times New Roman" w:hAnsi="Times New Roman" w:cs="Times New Roman"/>
          <w:sz w:val="24"/>
          <w:szCs w:val="24"/>
        </w:rPr>
        <w:t>1</w:t>
      </w:r>
      <w:r w:rsidRPr="001F3480">
        <w:rPr>
          <w:rFonts w:ascii="Times New Roman" w:hAnsi="Times New Roman" w:cs="Times New Roman"/>
          <w:sz w:val="24"/>
          <w:szCs w:val="24"/>
        </w:rPr>
        <w:t xml:space="preserve"> - </w:t>
      </w:r>
      <w:r w:rsidRPr="00764806">
        <w:rPr>
          <w:rFonts w:ascii="Times New Roman" w:hAnsi="Times New Roman" w:cs="Times New Roman"/>
          <w:b/>
          <w:sz w:val="24"/>
          <w:szCs w:val="24"/>
        </w:rPr>
        <w:t>Динамика объемов предоставленных потребительских кредитов и их доля в валовом внутреннем продукте за период с 2015 по 2022 годы в России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17"/>
        <w:gridCol w:w="1930"/>
        <w:gridCol w:w="1560"/>
        <w:gridCol w:w="1365"/>
        <w:gridCol w:w="2026"/>
        <w:gridCol w:w="2130"/>
      </w:tblGrid>
      <w:tr w:rsidR="00833D1C" w:rsidRPr="00671683" w:rsidTr="000E0612">
        <w:trPr>
          <w:trHeight w:val="1028"/>
          <w:tblHeader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Объемы предоставленных потребительских кредитов, млрд. руб.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Валовой внутренний продукт в текущих ценах, млрд. руб.</w:t>
            </w: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Темпы роста валового внутреннего продукта, %</w:t>
            </w:r>
          </w:p>
        </w:tc>
        <w:tc>
          <w:tcPr>
            <w:tcW w:w="10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Доля потребительских кредитов в валовом внутреннем продукте, %</w:t>
            </w:r>
          </w:p>
        </w:tc>
        <w:tc>
          <w:tcPr>
            <w:tcW w:w="1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Темпы роста доли потребительских кредитов в валовом внутреннем продукте, %</w:t>
            </w:r>
          </w:p>
        </w:tc>
      </w:tr>
      <w:tr w:rsidR="00833D1C" w:rsidRPr="00671683" w:rsidTr="000E0612">
        <w:trPr>
          <w:trHeight w:val="152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5 861,35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83 087,36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1,05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7,05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833D1C" w:rsidRPr="00671683" w:rsidTr="000E0612">
        <w:trPr>
          <w:trHeight w:val="183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7 210,28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85 616,08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1,03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8,42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1,19</w:t>
            </w:r>
          </w:p>
        </w:tc>
      </w:tr>
      <w:tr w:rsidR="00833D1C" w:rsidRPr="00671683" w:rsidTr="000E0612">
        <w:trPr>
          <w:trHeight w:val="193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2017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9 233,73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91 843,15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1,07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10,05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1,19</w:t>
            </w:r>
          </w:p>
        </w:tc>
      </w:tr>
      <w:tr w:rsidR="00833D1C" w:rsidRPr="00671683" w:rsidTr="000E0612">
        <w:trPr>
          <w:trHeight w:val="240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12 456,05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103 861,65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1,13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11,99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1,19</w:t>
            </w:r>
          </w:p>
        </w:tc>
      </w:tr>
      <w:tr w:rsidR="00833D1C" w:rsidRPr="00671683" w:rsidTr="000E0612">
        <w:trPr>
          <w:trHeight w:val="180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14 044,57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109 608,31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1,06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12,81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1,07</w:t>
            </w:r>
          </w:p>
        </w:tc>
      </w:tr>
      <w:tr w:rsidR="00833D1C" w:rsidRPr="00671683" w:rsidTr="000E0612">
        <w:trPr>
          <w:trHeight w:val="84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15 571,16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107 658,17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0,98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1,13</w:t>
            </w:r>
          </w:p>
        </w:tc>
      </w:tr>
      <w:tr w:rsidR="00833D1C" w:rsidRPr="00671683" w:rsidTr="000E0612">
        <w:trPr>
          <w:trHeight w:val="116"/>
        </w:trPr>
        <w:tc>
          <w:tcPr>
            <w:tcW w:w="3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20 860,28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135 294,97</w:t>
            </w:r>
          </w:p>
        </w:tc>
        <w:tc>
          <w:tcPr>
            <w:tcW w:w="7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1,26</w:t>
            </w: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1,07</w:t>
            </w:r>
          </w:p>
        </w:tc>
      </w:tr>
      <w:tr w:rsidR="00833D1C" w:rsidRPr="00671683" w:rsidTr="000E0612">
        <w:trPr>
          <w:trHeight w:val="142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3D1C" w:rsidRPr="00671683" w:rsidRDefault="00833D1C" w:rsidP="00122C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18 280,27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151 455,60</w:t>
            </w: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1,12</w:t>
            </w:r>
          </w:p>
        </w:tc>
        <w:tc>
          <w:tcPr>
            <w:tcW w:w="10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12,07</w:t>
            </w:r>
          </w:p>
        </w:tc>
        <w:tc>
          <w:tcPr>
            <w:tcW w:w="1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3D1C" w:rsidRPr="00671683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7168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0,78</w:t>
            </w:r>
          </w:p>
        </w:tc>
      </w:tr>
    </w:tbl>
    <w:p w:rsidR="00833D1C" w:rsidRDefault="005836DA" w:rsidP="00833D1C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36DA">
        <w:rPr>
          <w:rFonts w:ascii="Times New Roman" w:eastAsia="Calibri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-1934210</wp:posOffset>
                </wp:positionV>
                <wp:extent cx="3215640" cy="259080"/>
                <wp:effectExtent l="0" t="0" r="0" b="0"/>
                <wp:wrapNone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5640" cy="2590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36DA" w:rsidRPr="005836DA" w:rsidRDefault="005836DA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5836DA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Окончание таблицы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-6.9pt;margin-top:-152.3pt;width:253.2pt;height:20.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N1FJAIAAPoDAAAOAAAAZHJzL2Uyb0RvYy54bWysU81uEzEQviPxDpbvZLNL0iarbKrSUoRU&#10;fqTCAzheb9bC9hjbyW659c4r8A4cOHDjFdI3YuxN0whuiD1Y9s7M5/m++bw467UiW+G8BFPRfDSm&#10;RBgOtTTrin78cPVsRokPzNRMgREVvRWeni2fPll0thQFtKBq4QiCGF92tqJtCLbMMs9boZkfgRUG&#10;gw04zQIe3TqrHesQXausGI9Psg5cbR1w4T3+vRyCdJnwm0bw8K5pvAhEVRR7C2l1aV3FNVsuWLl2&#10;zLaS79tg/9CFZtLgpQeoSxYY2Tj5F5SW3IGHJow46AyaRnKROCCbfPwHm5uWWZG4oDjeHmTy/w+W&#10;v92+d0TWFS3yU0oM0zik3bfd992P3a/dz/u7+6+kiCp11peYfGMxPfQvoMdpJ8beXgP/5ImBi5aZ&#10;tTh3DrpWsBq7zGNldlQ64PgIsureQI2XsU2ABNQ3TkcJURSC6Dit28OERB8Ix5/Pi3x6MsEQx1gx&#10;nY9naYQZKx+qrfPhlQBN4qaiDh2Q0Nn22ofYDSsfUuJlBq6kUskFypCuovNpMU0FRxEtA5pUSV3R&#10;2Th+g20iyZemTsWBSTXs8QJl9qwj0YFy6Fc9JkYpVlDfIn8Hgxnx8eCmBfeFkg6NWFH/ecOcoES9&#10;NqjhPJ9EwiEdJtPTAg/uOLI6jjDDEaqigZJhexGS2weu56h1I5MMj53se0WDJXX2jyE6+Picsh6f&#10;7PI3AAAA//8DAFBLAwQUAAYACAAAACEAfL/TN98AAAANAQAADwAAAGRycy9kb3ducmV2LnhtbEyP&#10;QU/DMAyF70j8h8hI3LZkXalYaTpNQ1xBbAOJW9Z4bUXjVE22ln+PObHbs9/T8+diPblOXHAIrScN&#10;i7kCgVR521Kt4bB/mT2CCNGQNZ0n1PCDAdbl7U1hcutHesfLLtaCSyjkRkMTY59LGaoGnQlz3yOx&#10;d/KDM5HHoZZ2MCOXu04mSmXSmZb4QmN63DZYfe/OTsPH6+nrM1Vv9bN76Ec/KUluJbW+v5s2TyAi&#10;TvE/DH/4jA4lMx39mWwQnYbZYsnokcVSpRkIjqSrhMWRV0nGpiwLef1F+QsAAP//AwBQSwECLQAU&#10;AAYACAAAACEAtoM4kv4AAADhAQAAEwAAAAAAAAAAAAAAAAAAAAAAW0NvbnRlbnRfVHlwZXNdLnht&#10;bFBLAQItABQABgAIAAAAIQA4/SH/1gAAAJQBAAALAAAAAAAAAAAAAAAAAC8BAABfcmVscy8ucmVs&#10;c1BLAQItABQABgAIAAAAIQCFoN1FJAIAAPoDAAAOAAAAAAAAAAAAAAAAAC4CAABkcnMvZTJvRG9j&#10;LnhtbFBLAQItABQABgAIAAAAIQB8v9M33wAAAA0BAAAPAAAAAAAAAAAAAAAAAH4EAABkcnMvZG93&#10;bnJldi54bWxQSwUGAAAAAAQABADzAAAAigUAAAAA&#10;" filled="f" stroked="f">
                <v:textbox>
                  <w:txbxContent>
                    <w:p w:rsidR="005836DA" w:rsidRPr="005836DA" w:rsidRDefault="005836DA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5836DA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Окончание таблицы 1</w:t>
                      </w:r>
                    </w:p>
                  </w:txbxContent>
                </v:textbox>
              </v:shape>
            </w:pict>
          </mc:Fallback>
        </mc:AlternateContent>
      </w:r>
      <w:r w:rsidR="00833D1C" w:rsidRPr="00F00813">
        <w:rPr>
          <w:rFonts w:ascii="Times New Roman" w:eastAsia="Calibri" w:hAnsi="Times New Roman" w:cs="Times New Roman"/>
          <w:sz w:val="24"/>
          <w:szCs w:val="24"/>
        </w:rPr>
        <w:t>Источник: составлено автором на основе [</w:t>
      </w:r>
      <w:r w:rsidR="00490DB4">
        <w:rPr>
          <w:rFonts w:ascii="Times New Roman" w:eastAsia="Calibri" w:hAnsi="Times New Roman" w:cs="Times New Roman"/>
          <w:sz w:val="24"/>
          <w:szCs w:val="24"/>
        </w:rPr>
        <w:t>5, 6</w:t>
      </w:r>
      <w:r w:rsidR="00833D1C" w:rsidRPr="00F00813">
        <w:rPr>
          <w:rFonts w:ascii="Times New Roman" w:eastAsia="Calibri" w:hAnsi="Times New Roman" w:cs="Times New Roman"/>
          <w:sz w:val="24"/>
          <w:szCs w:val="24"/>
        </w:rPr>
        <w:t>]</w:t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38FB">
        <w:rPr>
          <w:rFonts w:ascii="Times New Roman" w:eastAsia="Calibri" w:hAnsi="Times New Roman" w:cs="Times New Roman"/>
          <w:sz w:val="24"/>
          <w:szCs w:val="24"/>
        </w:rPr>
        <w:t>На рисунке 1 представлен график динамики просроченной задолженности в России по потребительским кредитам за период с февраля 2019 г. по декабрь 2022 г., который наглядно демонстрирует рост просроченной задолженности, ярко выраженный с декабря 2019 г. [</w:t>
      </w:r>
      <w:r w:rsidR="00490DB4">
        <w:rPr>
          <w:rFonts w:ascii="Times New Roman" w:eastAsia="Calibri" w:hAnsi="Times New Roman" w:cs="Times New Roman"/>
          <w:sz w:val="24"/>
          <w:szCs w:val="24"/>
        </w:rPr>
        <w:t>6</w:t>
      </w:r>
      <w:r w:rsidRPr="000C38FB">
        <w:rPr>
          <w:rFonts w:ascii="Times New Roman" w:eastAsia="Calibri" w:hAnsi="Times New Roman" w:cs="Times New Roman"/>
          <w:sz w:val="24"/>
          <w:szCs w:val="24"/>
        </w:rPr>
        <w:t xml:space="preserve">]. Причиной данного роста являются ограничения для хозяйствующих субъектов, связанные с пандемией </w:t>
      </w:r>
      <w:r w:rsidRPr="000C38FB">
        <w:rPr>
          <w:rFonts w:ascii="Times New Roman" w:eastAsia="Calibri" w:hAnsi="Times New Roman" w:cs="Times New Roman"/>
          <w:sz w:val="24"/>
          <w:szCs w:val="24"/>
          <w:lang w:val="en-US"/>
        </w:rPr>
        <w:t>COVID</w:t>
      </w:r>
      <w:r w:rsidRPr="000C38FB">
        <w:rPr>
          <w:rFonts w:ascii="Times New Roman" w:eastAsia="Calibri" w:hAnsi="Times New Roman" w:cs="Times New Roman"/>
          <w:sz w:val="24"/>
          <w:szCs w:val="24"/>
        </w:rPr>
        <w:t>-19. Рост некачественных активов приводит к нарушению ликвидности банков и, как следствие, снижению роли банков в создании общественного продукта.</w:t>
      </w: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38FB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69C1A58B" wp14:editId="44F8AE52">
            <wp:simplePos x="0" y="0"/>
            <wp:positionH relativeFrom="margin">
              <wp:posOffset>163830</wp:posOffset>
            </wp:positionH>
            <wp:positionV relativeFrom="paragraph">
              <wp:posOffset>101600</wp:posOffset>
            </wp:positionV>
            <wp:extent cx="5382895" cy="1667510"/>
            <wp:effectExtent l="0" t="0" r="8255" b="8890"/>
            <wp:wrapNone/>
            <wp:docPr id="4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833D1C">
      <w:pPr>
        <w:spacing w:after="0" w:line="240" w:lineRule="auto"/>
        <w:ind w:firstLine="708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833D1C">
      <w:pPr>
        <w:spacing w:after="0" w:line="240" w:lineRule="auto"/>
        <w:ind w:firstLine="708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833D1C">
      <w:pPr>
        <w:spacing w:after="0" w:line="240" w:lineRule="auto"/>
        <w:ind w:firstLine="708"/>
        <w:rPr>
          <w:rFonts w:ascii="Times New Roman" w:eastAsia="Calibri" w:hAnsi="Times New Roman" w:cs="Times New Roman"/>
          <w:sz w:val="24"/>
          <w:szCs w:val="24"/>
        </w:rPr>
      </w:pPr>
    </w:p>
    <w:p w:rsidR="00833D1C" w:rsidRDefault="00833D1C" w:rsidP="00833D1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33D1C" w:rsidRDefault="00833D1C" w:rsidP="00833D1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33D1C" w:rsidRDefault="00833D1C" w:rsidP="00833D1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833D1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0C38FB">
        <w:rPr>
          <w:rFonts w:ascii="Times New Roman" w:eastAsia="Calibri" w:hAnsi="Times New Roman" w:cs="Times New Roman"/>
          <w:sz w:val="24"/>
          <w:szCs w:val="24"/>
        </w:rPr>
        <w:t>Рис</w:t>
      </w:r>
      <w:r w:rsidR="00764806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0C38FB">
        <w:rPr>
          <w:rFonts w:ascii="Times New Roman" w:eastAsia="Calibri" w:hAnsi="Times New Roman" w:cs="Times New Roman"/>
          <w:sz w:val="24"/>
          <w:szCs w:val="24"/>
        </w:rPr>
        <w:t>1</w:t>
      </w:r>
      <w:r w:rsidR="00764806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764806">
        <w:rPr>
          <w:rFonts w:ascii="Times New Roman" w:eastAsia="Calibri" w:hAnsi="Times New Roman" w:cs="Times New Roman"/>
          <w:b/>
          <w:sz w:val="24"/>
          <w:szCs w:val="24"/>
        </w:rPr>
        <w:t>Динамика просроченной задолженности в России по потребительским кредитам с февраля 2019 года по декабрь 2022 года</w:t>
      </w: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33D1C" w:rsidRPr="000C38FB" w:rsidRDefault="00833D1C" w:rsidP="001B09C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38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ПАО СКБ Приморья «</w:t>
      </w:r>
      <w:proofErr w:type="spellStart"/>
      <w:r w:rsidRPr="000C38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Примсоцбанк</w:t>
      </w:r>
      <w:proofErr w:type="spellEnd"/>
      <w:r w:rsidRPr="000C38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 – один из лидеров банковской сферы Дальнего Востока. С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труктура портфеля потребительского кредитования в разрезе реализующихся направлений кредитования свидетельствует о том, что размер портфеля банка не стабилен. В 2020 г. наблюдается снижение портфеля на 665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250 тыс. руб. по сравнению с 2019 г., в 2021 г. наблюдается рост на 3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288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340 тыс. руб. по сравнению с 2020 г., а в 2022 г. снова наблюдается спад на 1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597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790 тыс. руб.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Причиной данных колебаний 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види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 следующее:</w:t>
      </w:r>
      <w:r w:rsidR="001B09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2020 год: последствия, связанные с пандемией (ухудшение материального положения граждан; кризис на рынке труда; введенный режим самоизоляции, который обусловил сокращение денежных средств граждан);</w:t>
      </w:r>
      <w:r w:rsidR="001B09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2022 год: с конца февраля произошло повышение процентных ставок по кредитам, и, как следствие, сокращени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количества оформленных кредитов; </w:t>
      </w:r>
      <w:r w:rsidRPr="000C38F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сентября, после объявления мобилизации, банк стал тщательнее оценивать каждого заемщика и работодателя, временно было приостановлено кредитование мужчин призывного возраста.</w:t>
      </w: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38FB">
        <w:rPr>
          <w:rFonts w:ascii="Times New Roman" w:eastAsia="Calibri" w:hAnsi="Times New Roman" w:cs="Times New Roman"/>
          <w:sz w:val="24"/>
          <w:szCs w:val="24"/>
        </w:rPr>
        <w:t>Также к причинам вышерассмотренных изменений показателей следует отнести:</w:t>
      </w:r>
    </w:p>
    <w:p w:rsidR="00833D1C" w:rsidRDefault="00461D84" w:rsidP="00461D84">
      <w:pPr>
        <w:pStyle w:val="a3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1) П</w:t>
      </w:r>
      <w:r w:rsidR="00833D1C" w:rsidRPr="009538DC">
        <w:rPr>
          <w:rFonts w:ascii="Times New Roman" w:eastAsia="Times New Roman" w:hAnsi="Times New Roman" w:cs="Times New Roman"/>
          <w:sz w:val="24"/>
          <w:szCs w:val="24"/>
          <w:lang w:eastAsia="ru-RU"/>
        </w:rPr>
        <w:t>ри увеличении ключевой ставки, установленной Центральным Банком Росс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ии, происходит увеличение </w:t>
      </w:r>
      <w:r w:rsidR="00833D1C" w:rsidRPr="009538D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процентной ставки потребительского кредитования банка и наоборот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64806" w:rsidRP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>[5,7]</w:t>
      </w:r>
      <w:r w:rsidR="00833D1C" w:rsidRPr="009538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833D1C" w:rsidRPr="009538DC">
        <w:rPr>
          <w:rFonts w:ascii="Times New Roman" w:eastAsia="Calibri" w:hAnsi="Times New Roman" w:cs="Times New Roman"/>
          <w:sz w:val="24"/>
          <w:szCs w:val="24"/>
        </w:rPr>
        <w:t>В связи с этим происходит снижение потребительской активност</w:t>
      </w:r>
      <w:r w:rsidR="009C2E61">
        <w:rPr>
          <w:rFonts w:ascii="Times New Roman" w:eastAsia="Calibri" w:hAnsi="Times New Roman" w:cs="Times New Roman"/>
          <w:sz w:val="24"/>
          <w:szCs w:val="24"/>
        </w:rPr>
        <w:t>и и темпов экономического роста</w:t>
      </w:r>
      <w:r w:rsidR="00833D1C" w:rsidRPr="009538D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33D1C" w:rsidRPr="000C38FB" w:rsidRDefault="00833D1C" w:rsidP="0076480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Сокращение количества оформленных кредитных продуктов (в связи </w:t>
      </w:r>
      <w:r w:rsidRPr="000C38F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повышенными процентными ставками и временным приостановлением кредитования мужчин призывного возраста). 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2022 г. наблюдается снижение количества оформленных кредитных продуктов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снижение 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8,23% по сравнению с 2021 г.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снижение автокредитов составило 18,17%, снижение овердрафтов 10,22%. Проводя сравнение 2022 г. с 2020 г. можно заметить увеличение количества выданных потребительских кредитов и автокредитов. </w:t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Увеличение количества граждан, признанных банкротами.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2022 году произошло увеличение количества граждан, признанных банкротами на 44,2% и составило 278 137 человек. </w:t>
      </w: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период существования процедуры банкротства, с октября 2015 года по декабрь 2022 года, несостоятельными признаны 753 250 граждан.</w:t>
      </w:r>
      <w:r w:rsidRPr="006E5B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сообщений о введении судами процедур банкротства в отношении физических лиц по Российской Федерации представлено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таблице 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Приморскому краю на рисунке 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Pr="006E5B87" w:rsidRDefault="00764806" w:rsidP="0076480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2</w:t>
      </w:r>
      <w:r w:rsidR="00833D1C"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="00833D1C" w:rsidRPr="007648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Количество сообщений о введении судами процедур банкротства в отношении физических лиц по Российской Федерации за период с 2018 по 2022 годы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851"/>
        <w:gridCol w:w="849"/>
        <w:gridCol w:w="992"/>
        <w:gridCol w:w="994"/>
        <w:gridCol w:w="992"/>
        <w:gridCol w:w="1411"/>
      </w:tblGrid>
      <w:tr w:rsidR="000E0612" w:rsidRPr="006E5B87" w:rsidTr="000E0612">
        <w:trPr>
          <w:trHeight w:val="410"/>
        </w:trPr>
        <w:tc>
          <w:tcPr>
            <w:tcW w:w="1838" w:type="pct"/>
          </w:tcPr>
          <w:p w:rsidR="00833D1C" w:rsidRPr="006E5B87" w:rsidRDefault="00833D1C" w:rsidP="00122C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2" w:type="pct"/>
            <w:vAlign w:val="center"/>
          </w:tcPr>
          <w:p w:rsidR="00833D1C" w:rsidRPr="006E5B87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2018 год</w:t>
            </w:r>
          </w:p>
        </w:tc>
        <w:tc>
          <w:tcPr>
            <w:tcW w:w="441" w:type="pct"/>
            <w:vAlign w:val="center"/>
          </w:tcPr>
          <w:p w:rsidR="00833D1C" w:rsidRPr="006E5B87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2019 год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2020 год</w:t>
            </w:r>
          </w:p>
        </w:tc>
        <w:tc>
          <w:tcPr>
            <w:tcW w:w="516" w:type="pct"/>
            <w:vAlign w:val="center"/>
          </w:tcPr>
          <w:p w:rsidR="00833D1C" w:rsidRPr="006E5B87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2021 год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122C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2022 год</w:t>
            </w:r>
          </w:p>
        </w:tc>
        <w:tc>
          <w:tcPr>
            <w:tcW w:w="733" w:type="pct"/>
            <w:vAlign w:val="center"/>
          </w:tcPr>
          <w:p w:rsidR="00833D1C" w:rsidRPr="006E5B87" w:rsidRDefault="000E0612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Темп роста, 2022/2018, %</w:t>
            </w:r>
          </w:p>
        </w:tc>
      </w:tr>
      <w:tr w:rsidR="000E0612" w:rsidRPr="006E5B87" w:rsidTr="000E0612">
        <w:trPr>
          <w:trHeight w:val="621"/>
        </w:trPr>
        <w:tc>
          <w:tcPr>
            <w:tcW w:w="1838" w:type="pct"/>
          </w:tcPr>
          <w:p w:rsidR="00833D1C" w:rsidRPr="006E5B87" w:rsidRDefault="00833D1C" w:rsidP="00122C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 признании гражданина банкротом и введение реализации имущества гражданина</w:t>
            </w:r>
          </w:p>
        </w:tc>
        <w:tc>
          <w:tcPr>
            <w:tcW w:w="442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43 984</w:t>
            </w:r>
          </w:p>
        </w:tc>
        <w:tc>
          <w:tcPr>
            <w:tcW w:w="441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68 980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119 045</w:t>
            </w:r>
          </w:p>
        </w:tc>
        <w:tc>
          <w:tcPr>
            <w:tcW w:w="516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192 833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278 137</w:t>
            </w:r>
          </w:p>
        </w:tc>
        <w:tc>
          <w:tcPr>
            <w:tcW w:w="733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632,36</w:t>
            </w:r>
          </w:p>
        </w:tc>
      </w:tr>
      <w:tr w:rsidR="000E0612" w:rsidRPr="006E5B87" w:rsidTr="000E0612">
        <w:tc>
          <w:tcPr>
            <w:tcW w:w="1838" w:type="pct"/>
          </w:tcPr>
          <w:p w:rsidR="00833D1C" w:rsidRPr="006E5B87" w:rsidRDefault="00833D1C" w:rsidP="00122C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 признании обоснованным заявления о признании гражданина банкротом и введение реструктуризации его долгов</w:t>
            </w:r>
          </w:p>
        </w:tc>
        <w:tc>
          <w:tcPr>
            <w:tcW w:w="442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9 749</w:t>
            </w:r>
          </w:p>
        </w:tc>
        <w:tc>
          <w:tcPr>
            <w:tcW w:w="441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15 768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24 292</w:t>
            </w:r>
          </w:p>
        </w:tc>
        <w:tc>
          <w:tcPr>
            <w:tcW w:w="516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33 860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42 415</w:t>
            </w:r>
          </w:p>
        </w:tc>
        <w:tc>
          <w:tcPr>
            <w:tcW w:w="733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435,07</w:t>
            </w:r>
          </w:p>
        </w:tc>
      </w:tr>
      <w:tr w:rsidR="000E0612" w:rsidRPr="006E5B87" w:rsidTr="000E0612">
        <w:tc>
          <w:tcPr>
            <w:tcW w:w="1838" w:type="pct"/>
          </w:tcPr>
          <w:p w:rsidR="00833D1C" w:rsidRPr="006E5B87" w:rsidRDefault="00833D1C" w:rsidP="00122C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 утверждении плана реструктуризации долгов гражданина</w:t>
            </w:r>
          </w:p>
        </w:tc>
        <w:tc>
          <w:tcPr>
            <w:tcW w:w="442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179</w:t>
            </w:r>
          </w:p>
        </w:tc>
        <w:tc>
          <w:tcPr>
            <w:tcW w:w="441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209</w:t>
            </w:r>
          </w:p>
        </w:tc>
        <w:tc>
          <w:tcPr>
            <w:tcW w:w="516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329</w:t>
            </w:r>
          </w:p>
        </w:tc>
        <w:tc>
          <w:tcPr>
            <w:tcW w:w="515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461</w:t>
            </w:r>
          </w:p>
        </w:tc>
        <w:tc>
          <w:tcPr>
            <w:tcW w:w="733" w:type="pct"/>
            <w:vAlign w:val="center"/>
          </w:tcPr>
          <w:p w:rsidR="00833D1C" w:rsidRPr="006E5B87" w:rsidRDefault="00833D1C" w:rsidP="000E06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E5B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257,54</w:t>
            </w:r>
          </w:p>
        </w:tc>
      </w:tr>
    </w:tbl>
    <w:p w:rsidR="00833D1C" w:rsidRPr="006E5B87" w:rsidRDefault="00833D1C" w:rsidP="00833D1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Источник: составлено автором на основе </w:t>
      </w:r>
      <w:r w:rsidRPr="006D1440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490DB4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833D1C" w:rsidRDefault="005A15AD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1440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39" behindDoc="1" locked="0" layoutInCell="1" allowOverlap="1" wp14:anchorId="5B0430D5" wp14:editId="4AD23FB5">
            <wp:simplePos x="0" y="0"/>
            <wp:positionH relativeFrom="column">
              <wp:posOffset>887730</wp:posOffset>
            </wp:positionH>
            <wp:positionV relativeFrom="paragraph">
              <wp:posOffset>14605</wp:posOffset>
            </wp:positionV>
            <wp:extent cx="4137660" cy="1950720"/>
            <wp:effectExtent l="0" t="0" r="0" b="0"/>
            <wp:wrapNone/>
            <wp:docPr id="16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Pr="00764806" w:rsidRDefault="00833D1C" w:rsidP="00833D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 w:rsidR="00764806">
        <w:rPr>
          <w:rFonts w:ascii="Times New Roman" w:eastAsia="Times New Roman" w:hAnsi="Times New Roman" w:cs="Times New Roman"/>
          <w:sz w:val="24"/>
          <w:szCs w:val="24"/>
          <w:lang w:eastAsia="ru-RU"/>
        </w:rPr>
        <w:t>. 2.</w:t>
      </w:r>
      <w:r w:rsidRPr="006E5B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648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Динамика количества сообщений о введении судами процедур банкротства в отношении физических лиц по Приморскому краю за период с 2018 по 2022 годы</w:t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Pr="000C38FB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Приморском крае увеличение граждан, признанных банкротами, в 2022 г. составило 62,5% по сравнению с 2021 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одом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. Анализируя 2022 г. с 2018 г., отметим, что увеличение составило 3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214 человек [</w:t>
      </w:r>
      <w:r w:rsidRPr="00D7342E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1]. В ПАО СКБ Приморья «</w:t>
      </w:r>
      <w:proofErr w:type="spellStart"/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Примсоцбанк</w:t>
      </w:r>
      <w:proofErr w:type="spellEnd"/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» также наблюдается ежегодное увеличение количества клиентов, признанных банкротами. В 2022 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оду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данное увеличение составило 32% по сравнению с 2021 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одом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56% по сравнению с 2018 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одом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33D1C" w:rsidRPr="004626D0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Рассмотрим предложения по развитию потребительского кредитования для 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выявленных факторов, негативно влияющих на его организацию в коммерческом банке.</w:t>
      </w:r>
    </w:p>
    <w:p w:rsidR="00833D1C" w:rsidRPr="004626D0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Сокращение количества оформленных потребительских кредитов. Для решения данной проблемы,</w:t>
      </w:r>
      <w:r w:rsidR="005A15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банку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стоит рассмотреть применение POS-кредитование. По мнению автора, торговые точки должны быть выбраны исходя из анализа рынка на отсутствие данного кредитования. Так, например, хорошим вариантом окажутся стоматологические, офтальмологические клиники, салоны красоты. Вторым мероприятием является в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недрение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отдельного вида кредита для владельцев зарплатного счета ПАО СКБ Приморья «</w:t>
      </w:r>
      <w:proofErr w:type="spellStart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Примсоцбанк</w:t>
      </w:r>
      <w:proofErr w:type="spellEnd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со сниженной ставкой, по сравнению с другими видами кредитов. </w:t>
      </w:r>
    </w:p>
    <w:p w:rsidR="00833D1C" w:rsidRPr="004626D0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2. Увеличение количества граждан, признанных банкротами. Для предотвращения данной проблемы Банку следует более тщательно проверять клиента и его работодателя на этапе принятия решения о выдаче кредита. Необходимо расширить базы по проверке заемщика, а именно, добавить проверку в базах налоговой службы, в базах ГИБДД. Также банку стоит увелич</w:t>
      </w:r>
      <w:r w:rsidR="000E0612">
        <w:rPr>
          <w:rFonts w:ascii="Times New Roman" w:eastAsia="Times New Roman" w:hAnsi="Times New Roman" w:cs="Times New Roman"/>
          <w:sz w:val="24"/>
          <w:szCs w:val="24"/>
          <w:lang w:eastAsia="ru-RU"/>
        </w:rPr>
        <w:t>ить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использовани</w:t>
      </w:r>
      <w:r w:rsidR="000E061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обеспечения обязательств.</w:t>
      </w:r>
    </w:p>
    <w:p w:rsidR="00833D1C" w:rsidRPr="004626D0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3. Слабо развитая рекламная кампания. Для решения данной проблемы стоит рассмотреть следующие мероприятия: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проведение информационных мероприятий в организациях, с которыми сотрудничество банка не налажено или налажено слабо, с целью привлечения новых клиентов;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проводить конкурсы в социальных сетях, например, конкурс детских рисунков на тему: «Мои родители и Банк» или конкурс </w:t>
      </w:r>
      <w:proofErr w:type="spellStart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репостов</w:t>
      </w:r>
      <w:proofErr w:type="spellEnd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рекламной информации о потребительском кредите «</w:t>
      </w:r>
      <w:proofErr w:type="spellStart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Акционный</w:t>
      </w:r>
      <w:proofErr w:type="spellEnd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»;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пересмотреть бюджетную политику рекламных мероприятий в пользу размещения рекламы о банковских продуктах в СМИ.</w:t>
      </w:r>
    </w:p>
    <w:p w:rsidR="00833D1C" w:rsidRPr="004626D0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Не удобный интерфейс сайта и мобильного приложения. Для решения данной проблемы необходимо: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доработать форму обратной связи на сайте банка и в мобильном приложении;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разработать вкладку «вопросы клиентов» и подготовить по ним ответы, чтобы клиенты и сотрудники банка не тратили время на консультацию по вопросу, который ранее задавался другим клиентом;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внедрить возможность оформления потребительского кредита «Онлайн» без посещения офиса банка</w:t>
      </w:r>
      <w:r w:rsidR="00461D8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proofErr w:type="gramStart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В  ПАО</w:t>
      </w:r>
      <w:proofErr w:type="gramEnd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СКБ Приморья «</w:t>
      </w:r>
      <w:proofErr w:type="spellStart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Примсоцбанк</w:t>
      </w:r>
      <w:proofErr w:type="spellEnd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наблюдается слабо развитая клиентская политика банка.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Проблемы и пути их решения представлены в таблице </w:t>
      </w:r>
      <w:r w:rsidR="005A15A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Pr="004626D0" w:rsidRDefault="00833D1C" w:rsidP="005A15AD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626D0">
        <w:rPr>
          <w:rFonts w:ascii="Times New Roman" w:eastAsia="Calibri" w:hAnsi="Times New Roman" w:cs="Times New Roman"/>
          <w:sz w:val="24"/>
          <w:szCs w:val="24"/>
        </w:rPr>
        <w:t xml:space="preserve">Таблица </w:t>
      </w:r>
      <w:r w:rsidR="005A15AD">
        <w:rPr>
          <w:rFonts w:ascii="Times New Roman" w:eastAsia="Calibri" w:hAnsi="Times New Roman" w:cs="Times New Roman"/>
          <w:sz w:val="24"/>
          <w:szCs w:val="24"/>
        </w:rPr>
        <w:t>3</w:t>
      </w:r>
      <w:r w:rsidRPr="004626D0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Pr="005A15AD">
        <w:rPr>
          <w:rFonts w:ascii="Times New Roman" w:eastAsia="Calibri" w:hAnsi="Times New Roman" w:cs="Times New Roman"/>
          <w:b/>
          <w:sz w:val="24"/>
          <w:szCs w:val="24"/>
        </w:rPr>
        <w:t>Проблемы клиентской политики ПАО СКБ Приморья «</w:t>
      </w:r>
      <w:proofErr w:type="spellStart"/>
      <w:r w:rsidRPr="005A15AD">
        <w:rPr>
          <w:rFonts w:ascii="Times New Roman" w:eastAsia="Calibri" w:hAnsi="Times New Roman" w:cs="Times New Roman"/>
          <w:b/>
          <w:sz w:val="24"/>
          <w:szCs w:val="24"/>
        </w:rPr>
        <w:t>Примсоцбанк</w:t>
      </w:r>
      <w:proofErr w:type="spellEnd"/>
      <w:r w:rsidRPr="005A15AD">
        <w:rPr>
          <w:rFonts w:ascii="Times New Roman" w:eastAsia="Calibri" w:hAnsi="Times New Roman" w:cs="Times New Roman"/>
          <w:b/>
          <w:sz w:val="24"/>
          <w:szCs w:val="24"/>
        </w:rPr>
        <w:t>» и пути их решения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2"/>
        <w:gridCol w:w="5946"/>
      </w:tblGrid>
      <w:tr w:rsidR="00833D1C" w:rsidRPr="005A15AD" w:rsidTr="000E0612">
        <w:trPr>
          <w:tblHeader/>
        </w:trPr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Проблема</w:t>
            </w:r>
          </w:p>
        </w:tc>
        <w:tc>
          <w:tcPr>
            <w:tcW w:w="3088" w:type="pct"/>
          </w:tcPr>
          <w:p w:rsidR="00833D1C" w:rsidRPr="005A15AD" w:rsidRDefault="00833D1C" w:rsidP="00122CE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Мероприятия по совершенствованию</w:t>
            </w:r>
          </w:p>
        </w:tc>
      </w:tr>
      <w:tr w:rsidR="00833D1C" w:rsidRPr="005A15AD" w:rsidTr="000E0612">
        <w:trPr>
          <w:trHeight w:val="386"/>
        </w:trPr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Некомпетентность сотрудников</w:t>
            </w:r>
          </w:p>
        </w:tc>
        <w:tc>
          <w:tcPr>
            <w:tcW w:w="3088" w:type="pct"/>
            <w:vMerge w:val="restart"/>
          </w:tcPr>
          <w:p w:rsidR="00833D1C" w:rsidRPr="005A15AD" w:rsidRDefault="00833D1C" w:rsidP="00461D8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Разработать программу обучения для специалиста каждого направления. Проводить еженедельные обучающие тренинги по продуктовой линии банка, которые проводят сами специалисты. Разделение обязанностей сотрудников операционного зала. </w:t>
            </w: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Низкая скорость обслуживания клиентов</w:t>
            </w:r>
          </w:p>
        </w:tc>
        <w:tc>
          <w:tcPr>
            <w:tcW w:w="3088" w:type="pct"/>
            <w:vMerge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Высокие % ставки по кредитованию и низкие % ставки по депозитам</w:t>
            </w:r>
          </w:p>
        </w:tc>
        <w:tc>
          <w:tcPr>
            <w:tcW w:w="3088" w:type="pct"/>
            <w:vMerge w:val="restar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Научить сотрудников правильно отрабатывать возражения клиента, акцентировать внимание клиентов на преимуществах обслуживания в банке.</w:t>
            </w: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0E061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Недостоверная информация на са</w:t>
            </w:r>
            <w:r w:rsidR="000E0612">
              <w:rPr>
                <w:rFonts w:ascii="Times New Roman" w:eastAsia="Calibri" w:hAnsi="Times New Roman" w:cs="Times New Roman"/>
                <w:sz w:val="20"/>
                <w:szCs w:val="20"/>
              </w:rPr>
              <w:t>йте банка о процентных ставках</w:t>
            </w:r>
          </w:p>
        </w:tc>
        <w:tc>
          <w:tcPr>
            <w:tcW w:w="3088" w:type="pct"/>
            <w:vMerge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0E061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Навязывание дополнительных услуг при оформлении </w:t>
            </w:r>
            <w:r w:rsidR="000E0612">
              <w:rPr>
                <w:rFonts w:ascii="Times New Roman" w:eastAsia="Calibri" w:hAnsi="Times New Roman" w:cs="Times New Roman"/>
                <w:sz w:val="20"/>
                <w:szCs w:val="20"/>
              </w:rPr>
              <w:t>потребительских кредитов</w:t>
            </w:r>
          </w:p>
        </w:tc>
        <w:tc>
          <w:tcPr>
            <w:tcW w:w="3088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Обучить сотрудников грамотно предлагать страховые продукты и отрабатывать возражения.</w:t>
            </w: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Частые звонки с предложениями</w:t>
            </w:r>
          </w:p>
        </w:tc>
        <w:tc>
          <w:tcPr>
            <w:tcW w:w="3088" w:type="pct"/>
          </w:tcPr>
          <w:p w:rsidR="00833D1C" w:rsidRPr="005A15AD" w:rsidRDefault="00833D1C" w:rsidP="000E061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Наладить работу </w:t>
            </w:r>
            <w:r w:rsidRPr="005A15A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CRM</w:t>
            </w: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. Установить норматив звонков для клиента – 1 раз в полтора месяца, в случае, если клиент отказывается от предложения из-за невыгодных условий, звонить клиенту только при на</w:t>
            </w:r>
            <w:r w:rsidR="000E0612">
              <w:rPr>
                <w:rFonts w:ascii="Times New Roman" w:eastAsia="Calibri" w:hAnsi="Times New Roman" w:cs="Times New Roman"/>
                <w:sz w:val="20"/>
                <w:szCs w:val="20"/>
              </w:rPr>
              <w:t>личии улучшенных условий</w:t>
            </w: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</w:t>
            </w: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Малое количество банкоматов</w:t>
            </w:r>
          </w:p>
        </w:tc>
        <w:tc>
          <w:tcPr>
            <w:tcW w:w="3088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Увеличить количество банкоматов или обеспечить для клиентов приемлемые условия обслуживания карт банка в сторонних банках.</w:t>
            </w:r>
          </w:p>
        </w:tc>
      </w:tr>
      <w:tr w:rsidR="00833D1C" w:rsidRPr="005A15AD" w:rsidTr="000E0612">
        <w:tc>
          <w:tcPr>
            <w:tcW w:w="1912" w:type="pct"/>
          </w:tcPr>
          <w:p w:rsidR="00833D1C" w:rsidRPr="005A15AD" w:rsidRDefault="00833D1C" w:rsidP="00122CEB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Неудобный режим работы офисов</w:t>
            </w:r>
          </w:p>
        </w:tc>
        <w:tc>
          <w:tcPr>
            <w:tcW w:w="3088" w:type="pct"/>
          </w:tcPr>
          <w:p w:rsidR="00833D1C" w:rsidRPr="005A15AD" w:rsidRDefault="00833D1C" w:rsidP="000E061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Пересмотреть график работы офиса (было: 0</w:t>
            </w:r>
            <w:r w:rsidR="000E0612">
              <w:rPr>
                <w:rFonts w:ascii="Times New Roman" w:eastAsia="Calibri" w:hAnsi="Times New Roman" w:cs="Times New Roman"/>
                <w:sz w:val="20"/>
                <w:szCs w:val="20"/>
              </w:rPr>
              <w:t>9:00-18:00, стало: 10:30-19:30)</w:t>
            </w:r>
            <w:r w:rsidRPr="005A15AD">
              <w:rPr>
                <w:rFonts w:ascii="Times New Roman" w:eastAsia="Calibri" w:hAnsi="Times New Roman" w:cs="Times New Roman"/>
                <w:sz w:val="20"/>
                <w:szCs w:val="20"/>
              </w:rPr>
              <w:t>.</w:t>
            </w:r>
          </w:p>
        </w:tc>
      </w:tr>
    </w:tbl>
    <w:p w:rsidR="00833D1C" w:rsidRDefault="00833D1C" w:rsidP="00461D8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Источник: составлено автором</w:t>
      </w:r>
    </w:p>
    <w:p w:rsidR="00833D1C" w:rsidRDefault="00833D1C" w:rsidP="00461D8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84381" w:rsidRDefault="00F84381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ПАО СКБ Приморья «</w:t>
      </w:r>
      <w:proofErr w:type="spellStart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Примсоцбанк</w:t>
      </w:r>
      <w:proofErr w:type="spellEnd"/>
      <w:r w:rsidRPr="004626D0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отстает от ведущих банков, в том числе по уровню удовлетворенности обслуживанием у физических лиц. По мнению автора, необходимо улучшить качество обслуживания клиентов, повысить лояльность к действующим клиентам, усовершенствовать систему дистанционного обслуживания. </w:t>
      </w:r>
    </w:p>
    <w:p w:rsidR="00833D1C" w:rsidRPr="004626D0" w:rsidRDefault="00833D1C" w:rsidP="00833D1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13B">
        <w:rPr>
          <w:rFonts w:ascii="Times New Roman" w:eastAsia="Calibri" w:hAnsi="Times New Roman" w:cs="Times New Roman"/>
          <w:sz w:val="24"/>
          <w:szCs w:val="24"/>
        </w:rPr>
        <w:t>6.</w:t>
      </w:r>
      <w:r w:rsidRPr="00DA513B">
        <w:rPr>
          <w:rFonts w:ascii="Times New Roman" w:eastAsia="Calibri" w:hAnsi="Times New Roman" w:cs="Times New Roman"/>
          <w:sz w:val="24"/>
          <w:szCs w:val="24"/>
        </w:rPr>
        <w:tab/>
        <w:t>Недостаточно развитая финансовая грамотность населения. Для улучшения данной проблемы стоит организовать проведение уроков финансовой грамотности у школьников, студентов и в организациях, с которыми сотрудничает банк. Цель данных уроков – повышение уровня финансовой грамотности населения. Формат урока – игровой для школьников и</w:t>
      </w:r>
      <w:r w:rsidR="00461D84">
        <w:rPr>
          <w:rFonts w:ascii="Times New Roman" w:eastAsia="Calibri" w:hAnsi="Times New Roman" w:cs="Times New Roman"/>
          <w:sz w:val="24"/>
          <w:szCs w:val="24"/>
        </w:rPr>
        <w:t xml:space="preserve"> студентов, </w:t>
      </w:r>
      <w:r w:rsidRPr="00DA513B">
        <w:rPr>
          <w:rFonts w:ascii="Times New Roman" w:eastAsia="Calibri" w:hAnsi="Times New Roman" w:cs="Times New Roman"/>
          <w:sz w:val="24"/>
          <w:szCs w:val="24"/>
        </w:rPr>
        <w:t>лекционный для сотрудников организаций.</w:t>
      </w:r>
    </w:p>
    <w:p w:rsidR="00833D1C" w:rsidRPr="003F3E82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E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настоящее время развитие рынка потребительского кредитования в Российской Федерации приобретает все большее значение.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70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связи со сложившейся экономической ситуацией, перспективы рынка потребительского кредитования </w:t>
      </w:r>
      <w:r w:rsidRPr="003F3E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Российской Федерации </w:t>
      </w:r>
      <w:r w:rsidRPr="00700417">
        <w:rPr>
          <w:rFonts w:ascii="Times New Roman" w:eastAsia="Times New Roman" w:hAnsi="Times New Roman" w:cs="Times New Roman"/>
          <w:sz w:val="24"/>
          <w:szCs w:val="24"/>
          <w:lang w:eastAsia="ru-RU"/>
        </w:rPr>
        <w:t>выглядят довольно оптимистично. При отсутствии негативных экономических последствий можно ожидать, что в целом рынок потребительского кредитования способен развиваться небольшими темпами.</w:t>
      </w:r>
      <w:r w:rsidRPr="00700417"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700417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втором было составлено графическое представление перспектив развития рынка потребительского кредитования 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(рисунок </w:t>
      </w:r>
      <w:r w:rsidR="005A15A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700417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833D1C" w:rsidRDefault="00F84381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7EE2E4E8" wp14:editId="61749689">
            <wp:simplePos x="0" y="0"/>
            <wp:positionH relativeFrom="column">
              <wp:posOffset>1146810</wp:posOffset>
            </wp:positionH>
            <wp:positionV relativeFrom="paragraph">
              <wp:posOffset>-517525</wp:posOffset>
            </wp:positionV>
            <wp:extent cx="3543300" cy="2166620"/>
            <wp:effectExtent l="0" t="0" r="0" b="5080"/>
            <wp:wrapNone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299" t="36032" r="31373" b="15850"/>
                    <a:stretch/>
                  </pic:blipFill>
                  <pic:spPr bwMode="auto">
                    <a:xfrm>
                      <a:off x="0" y="0"/>
                      <a:ext cx="3543300" cy="2166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836DA" w:rsidRDefault="005836DA" w:rsidP="00833D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Pr="00700417" w:rsidRDefault="00461D84" w:rsidP="001B09C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Рис. 3. </w:t>
      </w:r>
      <w:r w:rsidR="00833D1C" w:rsidRPr="00461D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Перспективы развития рынка потребительского кредитования в Российской Федерации</w:t>
      </w:r>
    </w:p>
    <w:p w:rsidR="00833D1C" w:rsidRDefault="00833D1C" w:rsidP="001B09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D1C" w:rsidRDefault="00833D1C" w:rsidP="001B09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современная экономическая ситуация в России </w:t>
      </w:r>
      <w:r w:rsidRPr="000C38FB">
        <w:rPr>
          <w:rFonts w:ascii="Times New Roman" w:eastAsia="Calibri" w:hAnsi="Times New Roman" w:cs="Times New Roman"/>
          <w:sz w:val="24"/>
          <w:szCs w:val="24"/>
        </w:rPr>
        <w:t>негативно ск</w:t>
      </w:r>
      <w:r w:rsidR="001B09CE">
        <w:rPr>
          <w:rFonts w:ascii="Times New Roman" w:eastAsia="Calibri" w:hAnsi="Times New Roman" w:cs="Times New Roman"/>
          <w:sz w:val="24"/>
          <w:szCs w:val="24"/>
        </w:rPr>
        <w:t>азывается на банковском секторе</w:t>
      </w:r>
      <w:r w:rsidR="000E061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8A0329">
        <w:rPr>
          <w:rFonts w:ascii="Times New Roman" w:eastAsia="Times New Roman" w:hAnsi="Times New Roman" w:cs="Times New Roman"/>
          <w:sz w:val="24"/>
          <w:szCs w:val="24"/>
          <w:lang w:eastAsia="ru-RU"/>
        </w:rPr>
        <w:t>Влияние потребительского кредита на состояние и перспективы развития экономики весьма значит</w:t>
      </w:r>
      <w:r w:rsidR="000E0612">
        <w:rPr>
          <w:rFonts w:ascii="Times New Roman" w:eastAsia="Times New Roman" w:hAnsi="Times New Roman" w:cs="Times New Roman"/>
          <w:sz w:val="24"/>
          <w:szCs w:val="24"/>
          <w:lang w:eastAsia="ru-RU"/>
        </w:rPr>
        <w:t>ельны</w:t>
      </w:r>
      <w:r w:rsidRPr="000C38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</w:t>
      </w:r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егодняшний день рынок потребительского кредитования имеет ряд проблем, основными из которых являются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9C2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сокращение количества оформленных кредитов; </w:t>
      </w:r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рост числа просроченной задолженности;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увеличение количества банкрот</w:t>
      </w:r>
      <w:r w:rsidR="005D67B7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>слабо развитая клиентская политика; ужесточение требований к заемщикам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 недостаточно развитая финансовая грамотность населения</w:t>
      </w:r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развития потребительского кредитования в ПАО СКБ Приморья «</w:t>
      </w:r>
      <w:proofErr w:type="spellStart"/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Примсоцбанк</w:t>
      </w:r>
      <w:proofErr w:type="spellEnd"/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необходимо рассмотреть применение POS-кредитования; ввести отдельный вид кредита для владельцев зарплатного счета; более тщательно проверять клиента и его работодателя; расширить базы по проверке заемщика; увеличить использование известных способов обеспечения обязательств; пересмотреть рекламную и клиентскую политики банка; доработать интерфейс</w:t>
      </w:r>
      <w:r w:rsidR="000E06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сайта и мобильного приложения;</w:t>
      </w:r>
      <w:r w:rsidRPr="00E71B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также  организовать проведение уроков финансовой грамотности.</w:t>
      </w:r>
    </w:p>
    <w:p w:rsidR="005A15AD" w:rsidRPr="000C38FB" w:rsidRDefault="005A15AD" w:rsidP="001B09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3D1C" w:rsidRPr="005A15AD" w:rsidRDefault="005A15AD" w:rsidP="001B09C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15AD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490DB4" w:rsidRPr="00490DB4" w:rsidRDefault="00490DB4" w:rsidP="001B09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0DB4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Губарьков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 А.С.,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Губарьков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 С.В. Особенности поведения российских потребителей на рынке банковских услуг // Управление и экономика народного хозяйства России: сборник статей Межд. научно-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практич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>. (17–18 марта 2021 г., г. Пенза). – Пенза: РИО ПГ</w:t>
      </w:r>
      <w:r w:rsidR="005A15AD">
        <w:rPr>
          <w:rFonts w:ascii="Times New Roman" w:hAnsi="Times New Roman" w:cs="Times New Roman"/>
          <w:sz w:val="24"/>
          <w:szCs w:val="24"/>
        </w:rPr>
        <w:t xml:space="preserve">АУ, 2021. </w:t>
      </w:r>
      <w:r w:rsidRPr="00490DB4">
        <w:rPr>
          <w:rFonts w:ascii="Times New Roman" w:hAnsi="Times New Roman" w:cs="Times New Roman"/>
          <w:sz w:val="24"/>
          <w:szCs w:val="24"/>
        </w:rPr>
        <w:t>С. 92 – 98</w:t>
      </w:r>
      <w:r w:rsidR="005A15AD">
        <w:rPr>
          <w:rFonts w:ascii="Times New Roman" w:hAnsi="Times New Roman" w:cs="Times New Roman"/>
          <w:sz w:val="24"/>
          <w:szCs w:val="24"/>
        </w:rPr>
        <w:t>.</w:t>
      </w:r>
    </w:p>
    <w:p w:rsidR="00490DB4" w:rsidRPr="00490DB4" w:rsidRDefault="00490DB4" w:rsidP="001B09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0DB4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Губарьков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 С.В., Егошин В.С. Стратегия внедрения новых банковских проду</w:t>
      </w:r>
      <w:r w:rsidR="005A15AD">
        <w:rPr>
          <w:rFonts w:ascii="Times New Roman" w:hAnsi="Times New Roman" w:cs="Times New Roman"/>
          <w:sz w:val="24"/>
          <w:szCs w:val="24"/>
        </w:rPr>
        <w:t xml:space="preserve">ктов: оптимизация каналов сбыта </w:t>
      </w:r>
      <w:r w:rsidRPr="00490DB4">
        <w:rPr>
          <w:rFonts w:ascii="Times New Roman" w:hAnsi="Times New Roman" w:cs="Times New Roman"/>
          <w:sz w:val="24"/>
          <w:szCs w:val="24"/>
        </w:rPr>
        <w:t>// Трансграничные рынки товаров и услуг: проблемы исследования: сборник материалов IV Межд. научно-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практич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. (9-10 ноября 2021 г., г. Владивосток). - Владивосток: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Дальневост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>. федерал. ун-т, 2021. С. 237 – 240. DOI: 10.24866/7444-5125-7.</w:t>
      </w:r>
    </w:p>
    <w:p w:rsidR="00490DB4" w:rsidRPr="00490DB4" w:rsidRDefault="00490DB4" w:rsidP="001B09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0DB4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Губарьков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 С.В., Егошин В.С. Технология создания новых банковских продуктов: актуальные проблемы и перспек</w:t>
      </w:r>
      <w:r w:rsidR="005A15AD">
        <w:rPr>
          <w:rFonts w:ascii="Times New Roman" w:hAnsi="Times New Roman" w:cs="Times New Roman"/>
          <w:sz w:val="24"/>
          <w:szCs w:val="24"/>
        </w:rPr>
        <w:t xml:space="preserve">тивы развития </w:t>
      </w:r>
      <w:r w:rsidRPr="00490DB4">
        <w:rPr>
          <w:rFonts w:ascii="Times New Roman" w:hAnsi="Times New Roman" w:cs="Times New Roman"/>
          <w:sz w:val="24"/>
          <w:szCs w:val="24"/>
        </w:rPr>
        <w:t xml:space="preserve">// Вестник Алтайской академии экономики и </w:t>
      </w:r>
      <w:r w:rsidR="005A15AD">
        <w:rPr>
          <w:rFonts w:ascii="Times New Roman" w:hAnsi="Times New Roman" w:cs="Times New Roman"/>
          <w:sz w:val="24"/>
          <w:szCs w:val="24"/>
        </w:rPr>
        <w:t>права. – 2021. – № 5 (часть 2).</w:t>
      </w:r>
      <w:r w:rsidRPr="00490DB4">
        <w:rPr>
          <w:rFonts w:ascii="Times New Roman" w:hAnsi="Times New Roman" w:cs="Times New Roman"/>
          <w:sz w:val="24"/>
          <w:szCs w:val="24"/>
        </w:rPr>
        <w:t xml:space="preserve"> С. 175-180. DOI: https://doi.org/10.17513/vaael.1702</w:t>
      </w:r>
    </w:p>
    <w:p w:rsidR="00490DB4" w:rsidRPr="00490DB4" w:rsidRDefault="00490DB4" w:rsidP="001B09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0DB4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Губарьков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 С.В., Ким А.Г., </w:t>
      </w:r>
      <w:proofErr w:type="spellStart"/>
      <w:r w:rsidRPr="00490DB4">
        <w:rPr>
          <w:rFonts w:ascii="Times New Roman" w:hAnsi="Times New Roman" w:cs="Times New Roman"/>
          <w:sz w:val="24"/>
          <w:szCs w:val="24"/>
        </w:rPr>
        <w:t>Губарьков</w:t>
      </w:r>
      <w:proofErr w:type="spellEnd"/>
      <w:r w:rsidRPr="00490DB4">
        <w:rPr>
          <w:rFonts w:ascii="Times New Roman" w:hAnsi="Times New Roman" w:cs="Times New Roman"/>
          <w:sz w:val="24"/>
          <w:szCs w:val="24"/>
        </w:rPr>
        <w:t xml:space="preserve"> А.С. Способы совершенствования ценовой политики для корпоративных клиентов коммерческого банка // Вестник Алтайской академии экономики и права. – 2021. – № 7. Ч. 1. С. 17-23. DOI: https://doi.org/10.17513/vaael.1775</w:t>
      </w:r>
    </w:p>
    <w:p w:rsidR="00490DB4" w:rsidRPr="005A15AD" w:rsidRDefault="00490DB4" w:rsidP="001B09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0DB4">
        <w:rPr>
          <w:rFonts w:ascii="Times New Roman" w:hAnsi="Times New Roman" w:cs="Times New Roman"/>
          <w:sz w:val="24"/>
          <w:szCs w:val="24"/>
        </w:rPr>
        <w:t>5. Кредиты, предоставленные физическим лицам. – URL: https://www.cbr.ru/statistics/bank_sector/sors</w:t>
      </w:r>
      <w:r w:rsidRPr="005A15AD">
        <w:rPr>
          <w:rFonts w:ascii="Times New Roman" w:hAnsi="Times New Roman" w:cs="Times New Roman"/>
          <w:sz w:val="24"/>
          <w:szCs w:val="24"/>
        </w:rPr>
        <w:t xml:space="preserve">/ </w:t>
      </w:r>
      <w:r w:rsidRPr="005A15AD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(дата обращения 05.04.2023).</w:t>
      </w:r>
    </w:p>
    <w:p w:rsidR="00490DB4" w:rsidRPr="005A15AD" w:rsidRDefault="00490DB4" w:rsidP="001B09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15AD">
        <w:rPr>
          <w:rFonts w:ascii="Times New Roman" w:hAnsi="Times New Roman" w:cs="Times New Roman"/>
          <w:sz w:val="24"/>
          <w:szCs w:val="24"/>
        </w:rPr>
        <w:t xml:space="preserve">6. Национальные счета. – URL: https://rosstat.gov.ru/statistics/accounts </w:t>
      </w:r>
      <w:r w:rsidRPr="005A15AD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(дата обращения 08.04.2023).</w:t>
      </w:r>
    </w:p>
    <w:p w:rsidR="00490DB4" w:rsidRPr="005A15AD" w:rsidRDefault="00490DB4" w:rsidP="001B09CE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A15AD">
        <w:rPr>
          <w:rFonts w:ascii="Times New Roman" w:hAnsi="Times New Roman" w:cs="Times New Roman"/>
          <w:sz w:val="24"/>
          <w:szCs w:val="24"/>
        </w:rPr>
        <w:t>7. Официальный интернет-сайт ПАО СКБ Приморья «</w:t>
      </w:r>
      <w:proofErr w:type="spellStart"/>
      <w:r w:rsidRPr="005A15AD">
        <w:rPr>
          <w:rFonts w:ascii="Times New Roman" w:hAnsi="Times New Roman" w:cs="Times New Roman"/>
          <w:sz w:val="24"/>
          <w:szCs w:val="24"/>
        </w:rPr>
        <w:t>Примсоцбанк</w:t>
      </w:r>
      <w:proofErr w:type="spellEnd"/>
      <w:r w:rsidRPr="005A15AD">
        <w:rPr>
          <w:rFonts w:ascii="Times New Roman" w:hAnsi="Times New Roman" w:cs="Times New Roman"/>
          <w:sz w:val="24"/>
          <w:szCs w:val="24"/>
        </w:rPr>
        <w:t xml:space="preserve">». – URL: https://pskb.com/ </w:t>
      </w:r>
      <w:r w:rsidRPr="005A15AD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(дата обращения 25.03.2023).</w:t>
      </w:r>
    </w:p>
    <w:p w:rsidR="002227C8" w:rsidRPr="005D67B7" w:rsidRDefault="00490DB4" w:rsidP="005D67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15AD">
        <w:rPr>
          <w:rFonts w:ascii="Times New Roman" w:hAnsi="Times New Roman" w:cs="Times New Roman"/>
          <w:sz w:val="24"/>
          <w:szCs w:val="24"/>
        </w:rPr>
        <w:t xml:space="preserve">8. Банкротство в России: итоги 2022 года. Статистический релиз </w:t>
      </w:r>
      <w:proofErr w:type="spellStart"/>
      <w:r w:rsidRPr="005A15AD">
        <w:rPr>
          <w:rFonts w:ascii="Times New Roman" w:hAnsi="Times New Roman" w:cs="Times New Roman"/>
          <w:sz w:val="24"/>
          <w:szCs w:val="24"/>
        </w:rPr>
        <w:t>Федресурса</w:t>
      </w:r>
      <w:proofErr w:type="spellEnd"/>
      <w:r w:rsidRPr="005A15AD">
        <w:rPr>
          <w:rFonts w:ascii="Times New Roman" w:hAnsi="Times New Roman" w:cs="Times New Roman"/>
          <w:sz w:val="24"/>
          <w:szCs w:val="24"/>
        </w:rPr>
        <w:t>. – URL: https://download.fedresurs.ru/news/%D0%91%D0%B0%D0%BD%D0%BA%D1%80%D0%BE%D1%82%D1%81%D1%82%D0%B2%D0%B0%20%D1%81%D1%82%D0%B0%D1%82%D1%80%D0%B5%D0%BB%D0%B8%D0%B7%202022</w:t>
      </w:r>
      <w:bookmarkStart w:id="0" w:name="_GoBack"/>
      <w:bookmarkEnd w:id="0"/>
      <w:r w:rsidRPr="005A15AD">
        <w:rPr>
          <w:rFonts w:ascii="Times New Roman" w:hAnsi="Times New Roman" w:cs="Times New Roman"/>
          <w:sz w:val="24"/>
          <w:szCs w:val="24"/>
        </w:rPr>
        <w:t xml:space="preserve">.pdf </w:t>
      </w:r>
      <w:r w:rsidRPr="005A15AD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(дата обращения 02.04</w:t>
      </w:r>
      <w:r w:rsidR="005A15AD" w:rsidRPr="005A15AD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.2023)</w:t>
      </w:r>
      <w:r w:rsidR="005D67B7">
        <w:rPr>
          <w:rFonts w:ascii="Times New Roman" w:hAnsi="Times New Roman" w:cs="Times New Roman"/>
          <w:sz w:val="24"/>
          <w:szCs w:val="24"/>
        </w:rPr>
        <w:t>.</w:t>
      </w:r>
    </w:p>
    <w:sectPr w:rsidR="002227C8" w:rsidRPr="005D67B7" w:rsidSect="0038118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5E40" w:rsidRDefault="000B5E40" w:rsidP="00490DB4">
      <w:pPr>
        <w:spacing w:after="0" w:line="240" w:lineRule="auto"/>
      </w:pPr>
      <w:r>
        <w:separator/>
      </w:r>
    </w:p>
  </w:endnote>
  <w:endnote w:type="continuationSeparator" w:id="0">
    <w:p w:rsidR="000B5E40" w:rsidRDefault="000B5E40" w:rsidP="00490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5E40" w:rsidRDefault="000B5E40" w:rsidP="00490DB4">
      <w:pPr>
        <w:spacing w:after="0" w:line="240" w:lineRule="auto"/>
      </w:pPr>
      <w:r>
        <w:separator/>
      </w:r>
    </w:p>
  </w:footnote>
  <w:footnote w:type="continuationSeparator" w:id="0">
    <w:p w:rsidR="000B5E40" w:rsidRDefault="000B5E40" w:rsidP="00490DB4">
      <w:pPr>
        <w:spacing w:after="0" w:line="240" w:lineRule="auto"/>
      </w:pPr>
      <w:r>
        <w:continuationSeparator/>
      </w:r>
    </w:p>
  </w:footnote>
  <w:footnote w:id="1">
    <w:p w:rsidR="00490DB4" w:rsidRPr="00764806" w:rsidRDefault="00490DB4" w:rsidP="00764806">
      <w:pPr>
        <w:pStyle w:val="ad"/>
        <w:jc w:val="both"/>
        <w:rPr>
          <w:rFonts w:ascii="Times New Roman" w:hAnsi="Times New Roman" w:cs="Times New Roman"/>
        </w:rPr>
      </w:pPr>
      <w:r w:rsidRPr="00490DB4">
        <w:rPr>
          <w:rStyle w:val="af"/>
          <w:rFonts w:ascii="Times New Roman" w:hAnsi="Times New Roman" w:cs="Times New Roman"/>
        </w:rPr>
        <w:footnoteRef/>
      </w:r>
      <w:r w:rsidRPr="00490DB4">
        <w:rPr>
          <w:rFonts w:ascii="Times New Roman" w:hAnsi="Times New Roman" w:cs="Times New Roman"/>
        </w:rPr>
        <w:t xml:space="preserve"> Борисова Анна Сергеевна</w:t>
      </w:r>
      <w:r>
        <w:rPr>
          <w:rFonts w:ascii="Times New Roman" w:hAnsi="Times New Roman" w:cs="Times New Roman"/>
        </w:rPr>
        <w:t xml:space="preserve">, студент-магистрант, </w:t>
      </w:r>
      <w:r w:rsidRPr="00490DB4">
        <w:rPr>
          <w:rFonts w:ascii="Times New Roman" w:hAnsi="Times New Roman" w:cs="Times New Roman"/>
        </w:rPr>
        <w:t>ФГАОУ ВО «Дальневосточный федеральн</w:t>
      </w:r>
      <w:r w:rsidR="00764806">
        <w:rPr>
          <w:rFonts w:ascii="Times New Roman" w:hAnsi="Times New Roman" w:cs="Times New Roman"/>
        </w:rPr>
        <w:t xml:space="preserve">ый университет» (Адрес: </w:t>
      </w:r>
      <w:r w:rsidRPr="00490DB4">
        <w:rPr>
          <w:rFonts w:ascii="Times New Roman" w:hAnsi="Times New Roman" w:cs="Times New Roman"/>
        </w:rPr>
        <w:t xml:space="preserve">690922, </w:t>
      </w:r>
      <w:r w:rsidR="00764806" w:rsidRPr="00490DB4">
        <w:rPr>
          <w:rFonts w:ascii="Times New Roman" w:hAnsi="Times New Roman" w:cs="Times New Roman"/>
        </w:rPr>
        <w:t>Россия,</w:t>
      </w:r>
      <w:r w:rsidR="00764806">
        <w:rPr>
          <w:rFonts w:ascii="Times New Roman" w:hAnsi="Times New Roman" w:cs="Times New Roman"/>
        </w:rPr>
        <w:t xml:space="preserve"> </w:t>
      </w:r>
      <w:r w:rsidRPr="00490DB4">
        <w:rPr>
          <w:rFonts w:ascii="Times New Roman" w:hAnsi="Times New Roman" w:cs="Times New Roman"/>
        </w:rPr>
        <w:t>г. Владиво</w:t>
      </w:r>
      <w:r w:rsidR="00764806">
        <w:rPr>
          <w:rFonts w:ascii="Times New Roman" w:hAnsi="Times New Roman" w:cs="Times New Roman"/>
        </w:rPr>
        <w:t xml:space="preserve">сток, о. Русский, п. Аякс, 10, </w:t>
      </w:r>
      <w:r w:rsidR="00764806">
        <w:rPr>
          <w:rFonts w:ascii="Times New Roman" w:hAnsi="Times New Roman" w:cs="Times New Roman"/>
          <w:lang w:val="en-US"/>
        </w:rPr>
        <w:t>E</w:t>
      </w:r>
      <w:r w:rsidR="00764806" w:rsidRPr="00764806">
        <w:rPr>
          <w:rFonts w:ascii="Times New Roman" w:hAnsi="Times New Roman" w:cs="Times New Roman"/>
        </w:rPr>
        <w:t>-</w:t>
      </w:r>
      <w:proofErr w:type="spellStart"/>
      <w:r w:rsidRPr="00490DB4">
        <w:rPr>
          <w:rFonts w:ascii="Times New Roman" w:hAnsi="Times New Roman" w:cs="Times New Roman"/>
        </w:rPr>
        <w:t>mail</w:t>
      </w:r>
      <w:proofErr w:type="spellEnd"/>
      <w:r w:rsidRPr="00490DB4">
        <w:rPr>
          <w:rFonts w:ascii="Times New Roman" w:hAnsi="Times New Roman" w:cs="Times New Roman"/>
        </w:rPr>
        <w:t>: voevodina_a_9a@mail.ru</w:t>
      </w:r>
      <w:r w:rsidR="00764806" w:rsidRPr="00764806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69566E"/>
    <w:multiLevelType w:val="hybridMultilevel"/>
    <w:tmpl w:val="18B8C7D4"/>
    <w:lvl w:ilvl="0" w:tplc="62C82D4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D1C"/>
    <w:rsid w:val="000B5E40"/>
    <w:rsid w:val="000E0612"/>
    <w:rsid w:val="001B09CE"/>
    <w:rsid w:val="001B6236"/>
    <w:rsid w:val="002227C8"/>
    <w:rsid w:val="0038118F"/>
    <w:rsid w:val="00461D84"/>
    <w:rsid w:val="00490DB4"/>
    <w:rsid w:val="005836DA"/>
    <w:rsid w:val="005A15AD"/>
    <w:rsid w:val="005D67B7"/>
    <w:rsid w:val="00735C95"/>
    <w:rsid w:val="00764806"/>
    <w:rsid w:val="00833D1C"/>
    <w:rsid w:val="009C2E61"/>
    <w:rsid w:val="00B4578B"/>
    <w:rsid w:val="00F84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8DFD50-D764-4E8E-B2FF-49345DA04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3D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D1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33D1C"/>
    <w:rPr>
      <w:color w:val="0000FF"/>
      <w:u w:val="single"/>
    </w:rPr>
  </w:style>
  <w:style w:type="table" w:customStyle="1" w:styleId="1">
    <w:name w:val="Сетка таблицы1"/>
    <w:basedOn w:val="a1"/>
    <w:next w:val="a5"/>
    <w:uiPriority w:val="39"/>
    <w:rsid w:val="00833D1C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a5">
    <w:name w:val="Table Grid"/>
    <w:basedOn w:val="a1"/>
    <w:uiPriority w:val="39"/>
    <w:rsid w:val="00833D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490DB4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90DB4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490DB4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90DB4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90DB4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490D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490DB4"/>
    <w:rPr>
      <w:rFonts w:ascii="Segoe UI" w:hAnsi="Segoe UI" w:cs="Segoe UI"/>
      <w:sz w:val="18"/>
      <w:szCs w:val="18"/>
    </w:rPr>
  </w:style>
  <w:style w:type="paragraph" w:styleId="ad">
    <w:name w:val="footnote text"/>
    <w:basedOn w:val="a"/>
    <w:link w:val="ae"/>
    <w:uiPriority w:val="99"/>
    <w:semiHidden/>
    <w:unhideWhenUsed/>
    <w:rsid w:val="00490DB4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490DB4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490DB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www\Desktop\&#1044;&#1080;&#1089;&#1089;&#1077;&#1088;&#1090;&#1072;&#1091;&#1080;&#1103;\&#1076;&#1080;&#1089;&#1089;&#1077;&#1088;&#1090;&#1072;&#1094;&#1080;&#1103;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www\Desktop\&#1044;&#1080;&#1089;&#1089;&#1077;&#1088;&#1090;&#1072;&#1091;&#1080;&#1103;\&#1076;&#1080;&#1089;&#1089;&#1077;&#1088;&#1090;&#1072;&#1094;&#1080;&#110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lineChart>
        <c:grouping val="standard"/>
        <c:varyColors val="0"/>
        <c:ser>
          <c:idx val="0"/>
          <c:order val="0"/>
          <c:spPr>
            <a:ln>
              <a:solidFill>
                <a:sysClr val="windowText" lastClr="000000"/>
              </a:solidFill>
            </a:ln>
          </c:spPr>
          <c:marker>
            <c:symbol val="none"/>
          </c:marker>
          <c:cat>
            <c:strRef>
              <c:f>'рис. 4'!$A$2:$A$49</c:f>
              <c:strCache>
                <c:ptCount val="48"/>
                <c:pt idx="0">
                  <c:v>01.02.2019</c:v>
                </c:pt>
                <c:pt idx="1">
                  <c:v>01.03.2019</c:v>
                </c:pt>
                <c:pt idx="2">
                  <c:v>01.04.2019</c:v>
                </c:pt>
                <c:pt idx="3">
                  <c:v>01.05.2019</c:v>
                </c:pt>
                <c:pt idx="4">
                  <c:v>01.06.2019</c:v>
                </c:pt>
                <c:pt idx="5">
                  <c:v>01.07.2019</c:v>
                </c:pt>
                <c:pt idx="6">
                  <c:v>01.08.2019</c:v>
                </c:pt>
                <c:pt idx="7">
                  <c:v>01.09.2019</c:v>
                </c:pt>
                <c:pt idx="8">
                  <c:v>01.10.2019</c:v>
                </c:pt>
                <c:pt idx="9">
                  <c:v>01.11.2019</c:v>
                </c:pt>
                <c:pt idx="10">
                  <c:v>01.12.2019</c:v>
                </c:pt>
                <c:pt idx="11">
                  <c:v>01.01.2020</c:v>
                </c:pt>
                <c:pt idx="12">
                  <c:v>01.02.2020</c:v>
                </c:pt>
                <c:pt idx="13">
                  <c:v>01.03.2020</c:v>
                </c:pt>
                <c:pt idx="14">
                  <c:v>01.04.2020</c:v>
                </c:pt>
                <c:pt idx="15">
                  <c:v>01.05.2020</c:v>
                </c:pt>
                <c:pt idx="16">
                  <c:v>01.06.2020</c:v>
                </c:pt>
                <c:pt idx="17">
                  <c:v>01.07.2020</c:v>
                </c:pt>
                <c:pt idx="18">
                  <c:v>01.08.2020</c:v>
                </c:pt>
                <c:pt idx="19">
                  <c:v>01.09.2020</c:v>
                </c:pt>
                <c:pt idx="20">
                  <c:v>01.10.2020</c:v>
                </c:pt>
                <c:pt idx="21">
                  <c:v>01.11.2020</c:v>
                </c:pt>
                <c:pt idx="22">
                  <c:v>01.12.2020</c:v>
                </c:pt>
                <c:pt idx="23">
                  <c:v>01.01.2021</c:v>
                </c:pt>
                <c:pt idx="24">
                  <c:v>01.02.2021</c:v>
                </c:pt>
                <c:pt idx="25">
                  <c:v>01.03.2021</c:v>
                </c:pt>
                <c:pt idx="26">
                  <c:v>01.04.2021</c:v>
                </c:pt>
                <c:pt idx="27">
                  <c:v>01.05.2021</c:v>
                </c:pt>
                <c:pt idx="28">
                  <c:v>01.06.2021</c:v>
                </c:pt>
                <c:pt idx="29">
                  <c:v>01.07.2021</c:v>
                </c:pt>
                <c:pt idx="30">
                  <c:v>01.08.2021</c:v>
                </c:pt>
                <c:pt idx="31">
                  <c:v>01.09.2021</c:v>
                </c:pt>
                <c:pt idx="32">
                  <c:v>01.10.2021</c:v>
                </c:pt>
                <c:pt idx="33">
                  <c:v>01.11.2021</c:v>
                </c:pt>
                <c:pt idx="34">
                  <c:v>01.12.2021</c:v>
                </c:pt>
                <c:pt idx="35">
                  <c:v>01.01.2022</c:v>
                </c:pt>
                <c:pt idx="36">
                  <c:v>01.02.2022</c:v>
                </c:pt>
                <c:pt idx="37">
                  <c:v>01.03.2022</c:v>
                </c:pt>
                <c:pt idx="38">
                  <c:v>01.04.2022</c:v>
                </c:pt>
                <c:pt idx="39">
                  <c:v>01.05.2022</c:v>
                </c:pt>
                <c:pt idx="40">
                  <c:v>01.06.2022</c:v>
                </c:pt>
                <c:pt idx="41">
                  <c:v>01.07.2022</c:v>
                </c:pt>
                <c:pt idx="42">
                  <c:v>01.08.2022</c:v>
                </c:pt>
                <c:pt idx="43">
                  <c:v>01.09.2022</c:v>
                </c:pt>
                <c:pt idx="44">
                  <c:v>01.10.2022</c:v>
                </c:pt>
                <c:pt idx="45">
                  <c:v>01.11.2022</c:v>
                </c:pt>
                <c:pt idx="46">
                  <c:v>01.12.2022</c:v>
                </c:pt>
                <c:pt idx="47">
                  <c:v>01.01.2023</c:v>
                </c:pt>
              </c:strCache>
            </c:strRef>
          </c:cat>
          <c:val>
            <c:numRef>
              <c:f>'рис. 4'!$B$2:$B$49</c:f>
              <c:numCache>
                <c:formatCode>#,##0;\-#,##0;0</c:formatCode>
                <c:ptCount val="48"/>
                <c:pt idx="0">
                  <c:v>746301</c:v>
                </c:pt>
                <c:pt idx="1">
                  <c:v>738080</c:v>
                </c:pt>
                <c:pt idx="2">
                  <c:v>729185</c:v>
                </c:pt>
                <c:pt idx="3">
                  <c:v>736718</c:v>
                </c:pt>
                <c:pt idx="4">
                  <c:v>743034</c:v>
                </c:pt>
                <c:pt idx="5">
                  <c:v>734554</c:v>
                </c:pt>
                <c:pt idx="6">
                  <c:v>746483</c:v>
                </c:pt>
                <c:pt idx="7">
                  <c:v>749629</c:v>
                </c:pt>
                <c:pt idx="8">
                  <c:v>732695</c:v>
                </c:pt>
                <c:pt idx="9">
                  <c:v>736470</c:v>
                </c:pt>
                <c:pt idx="10">
                  <c:v>721035</c:v>
                </c:pt>
                <c:pt idx="11">
                  <c:v>708985</c:v>
                </c:pt>
                <c:pt idx="12">
                  <c:v>729941</c:v>
                </c:pt>
                <c:pt idx="13">
                  <c:v>746916</c:v>
                </c:pt>
                <c:pt idx="14">
                  <c:v>763384</c:v>
                </c:pt>
                <c:pt idx="15">
                  <c:v>773502</c:v>
                </c:pt>
                <c:pt idx="16">
                  <c:v>780050</c:v>
                </c:pt>
                <c:pt idx="17">
                  <c:v>788156</c:v>
                </c:pt>
                <c:pt idx="18">
                  <c:v>807444</c:v>
                </c:pt>
                <c:pt idx="19">
                  <c:v>833440</c:v>
                </c:pt>
                <c:pt idx="20">
                  <c:v>827843</c:v>
                </c:pt>
                <c:pt idx="21">
                  <c:v>867082</c:v>
                </c:pt>
                <c:pt idx="22">
                  <c:v>880592</c:v>
                </c:pt>
                <c:pt idx="23">
                  <c:v>869181</c:v>
                </c:pt>
                <c:pt idx="24">
                  <c:v>894241</c:v>
                </c:pt>
                <c:pt idx="25">
                  <c:v>913156</c:v>
                </c:pt>
                <c:pt idx="26">
                  <c:v>920853</c:v>
                </c:pt>
                <c:pt idx="27">
                  <c:v>913432</c:v>
                </c:pt>
                <c:pt idx="28">
                  <c:v>926122</c:v>
                </c:pt>
                <c:pt idx="29">
                  <c:v>919223</c:v>
                </c:pt>
                <c:pt idx="30">
                  <c:v>930348</c:v>
                </c:pt>
                <c:pt idx="31">
                  <c:v>940757</c:v>
                </c:pt>
                <c:pt idx="32">
                  <c:v>935726</c:v>
                </c:pt>
                <c:pt idx="33">
                  <c:v>945780</c:v>
                </c:pt>
                <c:pt idx="34">
                  <c:v>960447</c:v>
                </c:pt>
                <c:pt idx="35">
                  <c:v>932089</c:v>
                </c:pt>
                <c:pt idx="36">
                  <c:v>954218</c:v>
                </c:pt>
                <c:pt idx="37">
                  <c:v>966261</c:v>
                </c:pt>
                <c:pt idx="38">
                  <c:v>967397</c:v>
                </c:pt>
                <c:pt idx="39">
                  <c:v>980613</c:v>
                </c:pt>
                <c:pt idx="40">
                  <c:v>997995</c:v>
                </c:pt>
                <c:pt idx="41">
                  <c:v>1006183</c:v>
                </c:pt>
                <c:pt idx="42">
                  <c:v>1014558</c:v>
                </c:pt>
                <c:pt idx="43">
                  <c:v>1036565</c:v>
                </c:pt>
                <c:pt idx="44">
                  <c:v>1057321</c:v>
                </c:pt>
                <c:pt idx="45">
                  <c:v>1065938</c:v>
                </c:pt>
                <c:pt idx="46">
                  <c:v>1075097</c:v>
                </c:pt>
                <c:pt idx="47">
                  <c:v>1069280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FDAB-4F37-BFE8-F894DEFAF8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-1553707696"/>
        <c:axId val="-1553716944"/>
      </c:lineChart>
      <c:catAx>
        <c:axId val="-155370769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Период</a:t>
                </a:r>
              </a:p>
            </c:rich>
          </c:tx>
          <c:layout>
            <c:manualLayout>
              <c:xMode val="edge"/>
              <c:yMode val="edge"/>
              <c:x val="0.53567236854013933"/>
              <c:y val="0.80740740740740735"/>
            </c:manualLayout>
          </c:layout>
          <c:overlay val="0"/>
        </c:title>
        <c:numFmt formatCode="General" sourceLinked="0"/>
        <c:majorTickMark val="out"/>
        <c:minorTickMark val="none"/>
        <c:tickLblPos val="nextTo"/>
        <c:crossAx val="-1553716944"/>
        <c:crosses val="autoZero"/>
        <c:auto val="1"/>
        <c:lblAlgn val="ctr"/>
        <c:lblOffset val="100"/>
        <c:noMultiLvlLbl val="0"/>
      </c:catAx>
      <c:valAx>
        <c:axId val="-1553716944"/>
        <c:scaling>
          <c:orientation val="minMax"/>
          <c:min val="700000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Млн. руб.</a:t>
                </a:r>
              </a:p>
            </c:rich>
          </c:tx>
          <c:overlay val="0"/>
        </c:title>
        <c:numFmt formatCode="#,##0;\-#,##0;0" sourceLinked="1"/>
        <c:majorTickMark val="out"/>
        <c:minorTickMark val="none"/>
        <c:tickLblPos val="nextTo"/>
        <c:crossAx val="-155370769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>
          <a:latin typeface="Times New Roman" pitchFamily="18" charset="0"/>
          <a:cs typeface="Times New Roman" pitchFamily="18" charset="0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tx1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'табл. 2.16'!$B$1:$F$1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'табл. 2.16'!$B$6:$F$6</c:f>
              <c:numCache>
                <c:formatCode>General</c:formatCode>
                <c:ptCount val="5"/>
                <c:pt idx="0">
                  <c:v>562</c:v>
                </c:pt>
                <c:pt idx="1">
                  <c:v>825</c:v>
                </c:pt>
                <c:pt idx="2">
                  <c:v>1326</c:v>
                </c:pt>
                <c:pt idx="3">
                  <c:v>2324</c:v>
                </c:pt>
                <c:pt idx="4">
                  <c:v>3776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-1553702256"/>
        <c:axId val="-1553706608"/>
      </c:barChart>
      <c:catAx>
        <c:axId val="-155370225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Год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-1553706608"/>
        <c:crosses val="autoZero"/>
        <c:auto val="1"/>
        <c:lblAlgn val="ctr"/>
        <c:lblOffset val="100"/>
        <c:noMultiLvlLbl val="0"/>
      </c:catAx>
      <c:valAx>
        <c:axId val="-155370660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Человек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-155370225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D024EF-F02B-466F-AEB7-2D3945761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2340</Words>
  <Characters>13344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2023-05-11T01:28:00Z</cp:lastPrinted>
  <dcterms:created xsi:type="dcterms:W3CDTF">2023-05-09T01:31:00Z</dcterms:created>
  <dcterms:modified xsi:type="dcterms:W3CDTF">2023-05-11T01:28:00Z</dcterms:modified>
</cp:coreProperties>
</file>