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A6C82F" w14:textId="3C9FD8B7" w:rsidR="007A2F42" w:rsidRDefault="00C32730" w:rsidP="008B2CAA">
      <w:pPr>
        <w:spacing w:after="0"/>
        <w:jc w:val="right"/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</w:pPr>
      <w:r w:rsidRPr="00C32730"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t>Колесов А. А.</w:t>
      </w:r>
      <w:r w:rsidR="00871E10">
        <w:rPr>
          <w:rStyle w:val="a5"/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footnoteReference w:id="1"/>
      </w:r>
    </w:p>
    <w:p w14:paraId="724F59BA" w14:textId="21690F51" w:rsidR="00C32730" w:rsidRDefault="00871E10" w:rsidP="008B2CAA">
      <w:pPr>
        <w:spacing w:after="0" w:line="360" w:lineRule="auto"/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t>Исполнение национального проекта «Демография» за 2019-2022 годы</w:t>
      </w:r>
    </w:p>
    <w:p w14:paraId="567D695F" w14:textId="24403E46" w:rsidR="00871E10" w:rsidRDefault="00871E10" w:rsidP="008B2CAA">
      <w:pPr>
        <w:spacing w:after="0" w:line="360" w:lineRule="auto"/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</w:pPr>
    </w:p>
    <w:p w14:paraId="343D3A0F" w14:textId="179EB8DA" w:rsidR="00871E10" w:rsidRPr="00DA78EF" w:rsidRDefault="00871E10" w:rsidP="008B2CA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i/>
          <w:iCs/>
          <w:shd w:val="clear" w:color="auto" w:fill="FFFFFF"/>
          <w:lang w:eastAsia="ru-RU"/>
        </w:rPr>
      </w:pPr>
      <w:r w:rsidRPr="00DA78EF">
        <w:rPr>
          <w:rFonts w:ascii="Times New Roman" w:hAnsi="Times New Roman" w:cs="Times New Roman"/>
          <w:b/>
          <w:bCs/>
          <w:color w:val="000000" w:themeColor="text1"/>
        </w:rPr>
        <w:t>Аннотация</w:t>
      </w:r>
      <w:r w:rsidR="00DA78EF" w:rsidRPr="00DA78EF">
        <w:rPr>
          <w:rFonts w:ascii="Times New Roman" w:hAnsi="Times New Roman" w:cs="Times New Roman"/>
          <w:b/>
          <w:bCs/>
          <w:color w:val="000000" w:themeColor="text1"/>
        </w:rPr>
        <w:t>:</w:t>
      </w:r>
      <w:r w:rsidRPr="00DA78EF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DA78EF">
        <w:rPr>
          <w:rFonts w:ascii="Times New Roman" w:hAnsi="Times New Roman" w:cs="Times New Roman"/>
          <w:i/>
          <w:iCs/>
        </w:rPr>
        <w:t>Статья посвящена анализу нацпроекта «Демография» с 2019 по 2022 годы</w:t>
      </w:r>
      <w:r w:rsidRPr="00DA78EF">
        <w:rPr>
          <w:rFonts w:ascii="Times New Roman" w:eastAsia="SimSun" w:hAnsi="Times New Roman" w:cs="Times New Roman"/>
          <w:bCs/>
          <w:i/>
          <w:iCs/>
          <w:shd w:val="clear" w:color="auto" w:fill="FFFFFF"/>
          <w:lang w:eastAsia="ru-RU"/>
        </w:rPr>
        <w:t xml:space="preserve">. Проведён анализ результатов за этот период и сравнение целевых и фактических показателей. Проанализирована реализация нацпроекта «Демография» на 2023 год с рассмотрением ключевых рисков.  </w:t>
      </w:r>
    </w:p>
    <w:p w14:paraId="2BE929CB" w14:textId="77777777" w:rsidR="00871E10" w:rsidRPr="00DA78EF" w:rsidRDefault="00871E10" w:rsidP="008B2CAA">
      <w:pPr>
        <w:shd w:val="clear" w:color="auto" w:fill="FFFFFF"/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  <w:color w:val="000000" w:themeColor="text1"/>
        </w:rPr>
      </w:pPr>
      <w:r w:rsidRPr="00DA78EF">
        <w:rPr>
          <w:rFonts w:ascii="Times New Roman" w:hAnsi="Times New Roman" w:cs="Times New Roman"/>
          <w:b/>
          <w:bCs/>
          <w:color w:val="000000" w:themeColor="text1"/>
        </w:rPr>
        <w:t xml:space="preserve">Ключевые слова: </w:t>
      </w:r>
      <w:r w:rsidRPr="00DA78EF">
        <w:rPr>
          <w:rFonts w:ascii="Times New Roman" w:hAnsi="Times New Roman" w:cs="Times New Roman"/>
          <w:i/>
          <w:iCs/>
          <w:color w:val="000000" w:themeColor="text1"/>
        </w:rPr>
        <w:t xml:space="preserve">национальный проект «демография», </w:t>
      </w:r>
      <w:r w:rsidRPr="00DA78EF">
        <w:rPr>
          <w:rFonts w:ascii="Times New Roman" w:hAnsi="Times New Roman" w:cs="Times New Roman"/>
          <w:i/>
          <w:iCs/>
        </w:rPr>
        <w:t>нацпроекты, демография, демографическая политика</w:t>
      </w:r>
      <w:r w:rsidRPr="00DA78EF">
        <w:rPr>
          <w:rFonts w:ascii="Times New Roman" w:hAnsi="Times New Roman" w:cs="Times New Roman"/>
          <w:i/>
          <w:iCs/>
          <w:color w:val="000000" w:themeColor="text1"/>
        </w:rPr>
        <w:t>.</w:t>
      </w:r>
    </w:p>
    <w:p w14:paraId="591A2F41" w14:textId="77777777" w:rsidR="008B2CAA" w:rsidRDefault="008B2CAA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</w:p>
    <w:p w14:paraId="39797B2E" w14:textId="0B0FCA4A" w:rsidR="00132AEF" w:rsidRDefault="00132AEF" w:rsidP="00614BC1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>Человеческий ресурс – один из самых важных факторов для пространственного развития. Он определяет не только ситуацию с населением, но и экономическую и социологическую ситуацию в регионе.</w:t>
      </w:r>
      <w:r w:rsidR="000E29A4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  <w:r w:rsidR="000E29A4" w:rsidRPr="000E29A4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Наличие </w:t>
      </w:r>
      <w:r w:rsidR="003772CE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демографической дифференциации на межрегиональном и </w:t>
      </w:r>
      <w:proofErr w:type="spellStart"/>
      <w:r w:rsidR="003772CE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внутрирегиональном</w:t>
      </w:r>
      <w:proofErr w:type="spellEnd"/>
      <w:r w:rsidR="003772CE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уровне</w:t>
      </w:r>
      <w:r w:rsidR="000E29A4" w:rsidRPr="000E29A4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оказывает негативное влияние как на социально-экономическое, так и на пространственное развитие государства</w:t>
      </w:r>
      <w:r w:rsidR="00DA1A44" w:rsidRPr="00DA1A44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[4]</w:t>
      </w:r>
      <w:r w:rsidR="000E29A4">
        <w:rPr>
          <w:rFonts w:ascii="Times New Roman" w:hAnsi="Times New Roman" w:cs="Times New Roman"/>
          <w:spacing w:val="-7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Одним из способов анализа и планирования человеческого ресурса является </w:t>
      </w:r>
      <w:r w:rsidR="001A10BB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социально-демографическая политика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>, связанн</w:t>
      </w:r>
      <w:r w:rsidR="001A10BB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ая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с увеличением рождаемости и уменьшением смертности. </w:t>
      </w:r>
      <w:r w:rsidR="001A10BB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На федеральном уровне одной из мер для выполнения данных задач стало введение в обращение нацпроекта «Демография».</w:t>
      </w:r>
      <w:bookmarkStart w:id="0" w:name="_GoBack"/>
      <w:bookmarkEnd w:id="0"/>
    </w:p>
    <w:p w14:paraId="5C754703" w14:textId="1A2BE39F" w:rsidR="008B2CAA" w:rsidRPr="008B2CAA" w:rsidRDefault="008B2CAA" w:rsidP="00614BC1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Национальный проект «Демография» был </w:t>
      </w:r>
      <w:r w:rsidR="00600FEE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сформирован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в 2018 году</w:t>
      </w:r>
      <w:r w:rsidR="00600FEE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  <w:r w:rsidR="00600FEE" w:rsidRPr="00600FEE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президиумом Совета при Президенте РФ по стратегическому развитию и национальным проектам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. </w:t>
      </w:r>
      <w:r w:rsidR="00600FEE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Он</w:t>
      </w:r>
      <w:r w:rsidR="00600FEE" w:rsidRPr="00600FEE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был введён в обращение 1-го января 2019 года. Его реализация запланирована на 5 лет до 31-го декабря 2024 года</w:t>
      </w:r>
      <w:r w:rsidR="00DA1A44">
        <w:rPr>
          <w:rFonts w:ascii="Times New Roman" w:hAnsi="Times New Roman" w:cs="Times New Roman"/>
          <w:spacing w:val="-7"/>
          <w:sz w:val="24"/>
          <w:szCs w:val="24"/>
          <w:lang w:val="en-US" w:eastAsia="ru-RU"/>
        </w:rPr>
        <w:t xml:space="preserve"> [2,</w:t>
      </w:r>
      <w:r w:rsidR="00DA1A44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  <w:r w:rsidR="00DA1A44">
        <w:rPr>
          <w:rFonts w:ascii="Times New Roman" w:hAnsi="Times New Roman" w:cs="Times New Roman"/>
          <w:spacing w:val="-7"/>
          <w:sz w:val="24"/>
          <w:szCs w:val="24"/>
          <w:lang w:val="en-US" w:eastAsia="ru-RU"/>
        </w:rPr>
        <w:t>3]</w:t>
      </w:r>
      <w:r w:rsidR="00600FEE" w:rsidRPr="00600FEE">
        <w:rPr>
          <w:rFonts w:ascii="Times New Roman" w:hAnsi="Times New Roman" w:cs="Times New Roman"/>
          <w:spacing w:val="-7"/>
          <w:sz w:val="24"/>
          <w:szCs w:val="24"/>
          <w:lang w:eastAsia="ru-RU"/>
        </w:rPr>
        <w:t>.</w:t>
      </w:r>
      <w:r w:rsidR="00600FEE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В нацпроект «Демография» входят 5 федеральных проектов: Финансовая поддержка семей при рождении детей», «Содействие занятости» (ранее – «Содействие занятости женщин – создание условий дошкольного образования для детей в возрасте до трех лет»), «Старшее поколение», «Укрепление общественного здоровья» и «Спорт-норма жизни».</w:t>
      </w:r>
      <w:r w:rsid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Своими целями нацпроект изначально ставил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увеличение ожидаемой продолжительность здоровой жизни до 67 лет; увеличение суммарного коэффициента рождаемости до 1,7 на одну женщину; увеличение доли граждан, ведущих здоровый образ жизни; увеличение до 55% доли граждан, систематически занимающихся физической культурой и спортом. С ними были связаны целевые показатели национального проекта «Демография». Сравнение с реальными показателями за 2019-2022 гг. показывает, что многие из них не достигли поставленных значений.</w:t>
      </w:r>
    </w:p>
    <w:p w14:paraId="2CDD730A" w14:textId="77777777" w:rsidR="00614BC1" w:rsidRDefault="00614BC1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Анализ значений показателей нацпроекта за 2019-2022 гг. по России показывает, что многие из поставленных целей не были достигнуты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. </w:t>
      </w:r>
      <w:r w:rsidR="008B2CAA"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В выделенный период </w:t>
      </w: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наиболее сильные расхождения целевого и фактического значений приходится на показатели смертности и продолжительности жизни. В наибольшей степени на это повлияла охватившая в 2020 году весь мир пандемия COVID-19. Если в 2019 году смертность снижалась и даже была ниже целевого показателя (целевой – 37,6 умерших на 1000 человек, а фактический – 36,6 умерших на 1000 человек), то после 2020 года он резко увеличился (в 2021 году – целевой 37 умерших на 1000 человек и фактический – 51 умерший на 1000 человек).</w:t>
      </w:r>
    </w:p>
    <w:p w14:paraId="4CF98897" w14:textId="77777777" w:rsidR="00614BC1" w:rsidRDefault="00614BC1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Рост смертности в период вспышки новой </w:t>
      </w:r>
      <w:proofErr w:type="spellStart"/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коронавирусной</w:t>
      </w:r>
      <w:proofErr w:type="spellEnd"/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инфекции негативно повлиял на показатель ОПЗЖ. Тем не менее, ещё в 2019 году его фактическое значение (60,3 года) значительно отставало от целевого (65 лет). В 2020 году разрыв между целевым и достигнутым значением увеличился еще больше (65,5 и 58,9 лет соответственно). В дальнейшем (с 2021 г.) ожидаемая продолжительность здоровой жизни незначительно увеличивалась, но также не достигала заявленных целевых показателей (в 2022 г. – 59,8 и 66,4 года соответственно).</w:t>
      </w:r>
    </w:p>
    <w:p w14:paraId="713D6CAE" w14:textId="77777777" w:rsidR="00614BC1" w:rsidRDefault="00614BC1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Показатель суммарного коэффициента рождаемости демонстрирует противоположную запланированной тенденцию снижения практически на всем периоде реализации национального проекта.  Так, ожидалось повышение суммарного коэффициента рождаемости к 2022 году до </w:t>
      </w: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lastRenderedPageBreak/>
        <w:t xml:space="preserve">значения 1,68 детей на женщину, то в реальности он снизился на 13,6% и составил 1,4 ребенка на одну женщину. </w:t>
      </w:r>
    </w:p>
    <w:p w14:paraId="19029F42" w14:textId="77777777" w:rsidR="00614BC1" w:rsidRDefault="00614BC1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Единственная из поставленных целей, которая успешно идёт к своему достижению, – это увеличение к 2024 году до 55% доли граждан, систематически занимающихся физической культурой и спортом. В 2019-2022 годы отмечается не только рост данного показателя, но и опережение целевых значений (в 2022 году – целевой 48 % и фактический 50,3 %).</w:t>
      </w:r>
    </w:p>
    <w:p w14:paraId="689E02EA" w14:textId="624B7C3E" w:rsidR="008B2CAA" w:rsidRPr="008B2CAA" w:rsidRDefault="00614BC1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Таким образом, на достижение установленных в 2019 году ряда целей национального проекта «Демография», оказала негативное влияние пандемия COVID-19, оказав заметное негативное влияние на социально-экономическое развитие. В результате был создан Единый план по достижению национальных целей развития Российской Федерации на период до 2024 года и на плановый период до 2030 год</w:t>
      </w:r>
      <w:r w:rsidR="00DA1A44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  <w:r w:rsidR="00DA1A44" w:rsidRPr="00DA1A44">
        <w:rPr>
          <w:rFonts w:ascii="Times New Roman" w:hAnsi="Times New Roman" w:cs="Times New Roman"/>
          <w:spacing w:val="-7"/>
          <w:sz w:val="24"/>
          <w:szCs w:val="24"/>
          <w:lang w:eastAsia="ru-RU"/>
        </w:rPr>
        <w:t>[1]</w:t>
      </w: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, где обновлены национальные цели развития и поставлены новые целевые показатели для нацпроектов. Несмотря на то, что величин даны до 2030 года, срок реализации национального проекта «Демография» остался до 31-го декабря 2024 года.</w:t>
      </w:r>
    </w:p>
    <w:p w14:paraId="10E2C3DF" w14:textId="77777777" w:rsidR="008B2CAA" w:rsidRPr="008B2CAA" w:rsidRDefault="008B2CAA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На 2023 год основными целями национального проекта «Демография» являются:</w:t>
      </w:r>
    </w:p>
    <w:p w14:paraId="6680F4F6" w14:textId="77777777" w:rsidR="008B2CAA" w:rsidRPr="008B2CAA" w:rsidRDefault="008B2CAA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-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ab/>
        <w:t xml:space="preserve">Обеспечение устойчивого роста численности населения Российской Федерации; </w:t>
      </w:r>
    </w:p>
    <w:p w14:paraId="7C426EFC" w14:textId="77777777" w:rsidR="008B2CAA" w:rsidRPr="008B2CAA" w:rsidRDefault="008B2CAA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-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ab/>
        <w:t xml:space="preserve">Повышение ожидаемой продолжительности жизни до 78 лет; </w:t>
      </w:r>
    </w:p>
    <w:p w14:paraId="1BA8AFC9" w14:textId="77777777" w:rsidR="008B2CAA" w:rsidRPr="008B2CAA" w:rsidRDefault="008B2CAA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-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ab/>
        <w:t xml:space="preserve">Снижение уровня бедности в два раза по сравнению с показателем 2017 года; </w:t>
      </w:r>
    </w:p>
    <w:p w14:paraId="316C7DC6" w14:textId="77777777" w:rsidR="008B2CAA" w:rsidRPr="008B2CAA" w:rsidRDefault="008B2CAA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-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ab/>
        <w:t>Увеличение доли граждан, систематически занимающихся физической культурой и спортом, до 70 %.</w:t>
      </w:r>
    </w:p>
    <w:p w14:paraId="2A21E0E9" w14:textId="592E274D" w:rsidR="008B2CAA" w:rsidRPr="008B2CAA" w:rsidRDefault="00614BC1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Обеспечение устойчивого роста численности населения Российской Федерации стало первой целью национального проекта. С 2018 года происходит её снижение, которое обострилось после пандемии COVID-19. Однако данное падение естественного прироста слабее, чем в начале 2000-х годов. Тогда серьёзный спад был связан с ухудшением демографической и экономической ситуации в 90-е гг. В 2009-2017 гг. благодаря воздействию структурных факторов (в активном репродуктивном возрасте в этот период находились многочисленные поколения 1980-х гг. рождения) и активизации государственной демографической политики (введение дополнительных мер стимулирования рождаемости, в частности «материнского капитала») наблюдался прирост численности населения. В </w:t>
      </w:r>
      <w:proofErr w:type="spellStart"/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допандемийных</w:t>
      </w:r>
      <w:proofErr w:type="spellEnd"/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2018-2019 гг. показатель начал снижаться, а в 2020-2021 гг. значительно убыл. Тем не менее, к 2030 году планируется, что естественный прирост снова будет положительный и будет выше на 2,9%, чем в 2017 году (который был базисным в начале реализации нацпроекта).</w:t>
      </w:r>
    </w:p>
    <w:p w14:paraId="70BE0529" w14:textId="7BBB5D0C" w:rsidR="008B2CAA" w:rsidRPr="008B2CAA" w:rsidRDefault="00614BC1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614BC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Для обеспечения устойчивого роста численности реализуются мероприятия по трём направлениям: повышение рождаемости, снижение смертности и обеспечение качественного миграционного прироста. Основные задачи данной политики – стимулирование семей к рождению детей, борьба со смертностью от предотвратимых причин и восполнение трудовых ресурсов за счёт мигрантов. Мероприятия в данном направлении имеют важное значение, так как с 2014 года наблюдается снижение рождаемости при резком повышении смертности после пандемии</w:t>
      </w:r>
    </w:p>
    <w:p w14:paraId="5199D7EF" w14:textId="7DD51FD1" w:rsidR="008B2CAA" w:rsidRPr="008B2CAA" w:rsidRDefault="00AB5572" w:rsidP="00AB5572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AB557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Основным инструментом по обеспечению устойчивого роста численности населения к 2030 г. является заявленный правительством федеральный проект «Финансовая поддержка семей при рождении детей». В 2024 году объём финансирования проекта составит 842 млрд или 95,33% от объёма финансирования Нацпроекта. В рамках проекта осуществляется финансовая поддержка семей при рождении детей и повышение для них доступности жилья.</w:t>
      </w:r>
    </w:p>
    <w:p w14:paraId="15FDDD45" w14:textId="6721A00C" w:rsidR="008B2CAA" w:rsidRPr="008B2CAA" w:rsidRDefault="00AB5572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>Вторая цель национального проекта - п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овышение ожидаемой продолжительности жизни до 78 лет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. </w:t>
      </w:r>
      <w:r w:rsidRPr="00AB557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За 2000-2019 гг. ожидаемая продолжительность жизни постепенно росла и достигла 73,3 лет. После начала пандемии COVID-19 данный показатель резко снизился за 2 года до 70,1 лет. Согласно прогнозам властей, к 2030 году ОПЖ вновь вырастет и достигнет 78 лет (что больше показателя за 2017 год на 5,3 года или 7,3%).</w:t>
      </w:r>
    </w:p>
    <w:p w14:paraId="471E53B1" w14:textId="1098E803" w:rsidR="008B2CAA" w:rsidRPr="008B2CAA" w:rsidRDefault="005127FD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5127FD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Для увеличения ОПЖ планируется снижение показателей смертности благодаря повышению качества и доступности медицинской помощи и лекарственного обеспечения. Для этого требуется обеспечить устойчивость системы здравоохранения к новым вызовам и рискам, включая инфекционные заболевания. В рамках федерального проекта «Старшее поколение» важно развитие системы предоставления социальных услуг и медицинской помощи.</w:t>
      </w:r>
      <w:r w:rsidR="008B2CAA"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</w:p>
    <w:p w14:paraId="717D8CE8" w14:textId="01FDCDE5" w:rsidR="008B2CAA" w:rsidRPr="008B2CAA" w:rsidRDefault="005127FD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lastRenderedPageBreak/>
        <w:t xml:space="preserve">Третья цель национального проекта - 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Снижение уровня бедности в два раза по сравнению с показателем 2017 года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. </w:t>
      </w:r>
      <w:r w:rsidRPr="005127FD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В России с 2000 по 2022 гг. уровень бедности снизился втрое (с 29 до 10,5%). В 2017 г. численность населения с денежными доходами ниже границы бедности составляла 13% (рис. 4). К 2022 г. можно говорить лишь о 22%-ном снижении данного показателя. В результате реализации нацпроекта ожидается, что к 2030 г. за чертой бедности останется 6,5% россиян, что в 2 раза ниже показателя 2017 года.</w:t>
      </w:r>
    </w:p>
    <w:p w14:paraId="789397CA" w14:textId="5C2D2D42" w:rsidR="008B2CAA" w:rsidRPr="008B2CAA" w:rsidRDefault="005127FD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5127FD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Снижения уровня бедности возможно при стимулировании общего роста реальных доходов населения и ускоренном росте доходов малообеспеченных слоев населения. В рамках федерального проекта «Содействие занятости» планируется содействие гражданам в поиске работы и работодателям в привлечении трудовых ресурсов, а также организация профессионального обучения и дополнительного профессионального образования.</w:t>
      </w:r>
      <w:r w:rsidR="008B2CAA"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</w:p>
    <w:p w14:paraId="513315CB" w14:textId="5F25289C" w:rsidR="008B2CAA" w:rsidRPr="008B2CAA" w:rsidRDefault="005127FD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5127FD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Через индексацию социальных пособий и льгот не ниже уровня инфляции реализуется повышение уровня социального обеспечения. Каждый год индексируется страховая пенсия для неработающих пенсионеров, что увеличивает её размер. В 2022 году была проведена самая высокая индексация страховых пенсий для неработающих. Это было связано с резким повышением уровня инфляции из-за экономических санкций. К 2030 году планируется, что индексация уже не будет столь значительной и станет равной 4%.</w:t>
      </w:r>
    </w:p>
    <w:p w14:paraId="2FD7FEDD" w14:textId="67843C70" w:rsidR="008B2CAA" w:rsidRPr="008B2CAA" w:rsidRDefault="005127FD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Четвёртая цель национального проекта - </w:t>
      </w:r>
      <w:r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Увеличение доли граждан, систематически занимающихся физической культурой и спортом, до 70 %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. </w:t>
      </w:r>
      <w:r w:rsidRPr="005127FD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Как уже отмечалось, доля граждан, занимающихся физической культурой и спортом, продолжала расти и превысила базовые значения, указанные в паспорте нацпроекта «Демография». К октябрю 2022 года каждый второй гражданин был вовлечен в данную активность. К 2030 г. показатель должен достичь 70%, что почти в два раза выше показателя 2017 года.</w:t>
      </w:r>
    </w:p>
    <w:p w14:paraId="0C593044" w14:textId="42425370" w:rsidR="008B2CAA" w:rsidRPr="008B2CAA" w:rsidRDefault="005127FD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 w:rsidRPr="005127FD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Увеличение доли граждан, систематически занимающихся физической культурой и спортом – важнейший фактор укрепления здоровья населения. Как отмечает заместитель Председателя Правительства Татьяна Голикова, увеличение продолжительности жизни возможно не только при повышении доступности и качества медицинской помощи, но и при продвижении здорового образа жизни. Для решения цели требуется внедрение модели массового спорта (с созданием общедоступной инфраструктуры в рамках федерального проекта «Спорт – норма жизни»), совершенствование профессионального образования в сфере физической культуры и спорта, а также развитие спорта высших достижений.</w:t>
      </w:r>
    </w:p>
    <w:p w14:paraId="549D5B39" w14:textId="18EBB423" w:rsidR="008B2CAA" w:rsidRDefault="00132AEF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>Стоит отметить риски, связанные с</w:t>
      </w:r>
      <w:r w:rsidR="008B2CAA"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нацпроект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>ом</w:t>
      </w:r>
      <w:r w:rsidR="008B2CAA" w:rsidRPr="008B2CAA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«Демография». Актуальными остаются отсутствие связи между целями и задачами государственных программ и нацпроекта «Демография»; отсутствие согласованности между федеральными и региональными программами; сохранение диспропорции в финансировании; недостаточность научного подхода при обосновании целей и задач; отсутствие возможности оперативного мониторинга целевых показателей в течение года вследствие «запаздывания» статистических данных. С 2019 года ярче выразились такие риски, как сохранение диспропорции в финансировании; отсутствие в нацпроекте важных социально значимых индикаторов демографического развития (смертность трудоспособного населения, особенно мужчин, число абортов и др.) и части целевых показателей, присутствовавших ранее (ожидаемая продолжительность здоровой жизни, суммарный коэффициент рождаемости и др.); отсутствие чёткой скоординированности с другими национальными проектами и несогласованность федеральных проектов между собой. Сами федеральные проекты в нацпроекте имеют свои специфические риски и проблемы, связанные с планируемыми мерами, отсутствием в плане некоторых из них и риском ухудшения тех проблем, против которых направлены проекты.</w:t>
      </w:r>
    </w:p>
    <w:p w14:paraId="256A5777" w14:textId="77D02922" w:rsidR="00B85448" w:rsidRDefault="00B85448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В заключение стоит сказать, что нацпроект «Демография» важен </w:t>
      </w:r>
      <w:r w:rsid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для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развити</w:t>
      </w:r>
      <w:r w:rsid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я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человеческого ресурса</w:t>
      </w:r>
      <w:r w:rsid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  <w:r w:rsidR="004D5929" w:rsidRPr="001968E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Д</w:t>
      </w:r>
      <w:r w:rsidRPr="001968E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ля</w:t>
      </w:r>
      <w:r w:rsidR="004D5929" w:rsidRPr="001968E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достижения устойчивого</w:t>
      </w:r>
      <w:r w:rsidRPr="001968E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пространственного развития</w:t>
      </w:r>
      <w:r w:rsidR="004D5929" w:rsidRPr="001968E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должен быть использован экономический, социальный и культурный потенциал</w:t>
      </w:r>
      <w:r w:rsidR="001968E1" w:rsidRPr="001968E1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населения</w:t>
      </w:r>
      <w:r w:rsidR="004D5929" w:rsidRPr="001968E1">
        <w:rPr>
          <w:rFonts w:ascii="Times New Roman" w:hAnsi="Times New Roman" w:cs="Times New Roman"/>
          <w:spacing w:val="-7"/>
          <w:sz w:val="24"/>
          <w:szCs w:val="24"/>
          <w:lang w:eastAsia="ru-RU"/>
        </w:rPr>
        <w:t>.</w:t>
      </w:r>
      <w:r w:rsid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Из этого следует</w:t>
      </w:r>
      <w:r w:rsidR="004D5929" w:rsidRP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>,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что</w:t>
      </w:r>
      <w:r w:rsidR="004D5929" w:rsidRP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демографический фактор 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-</w:t>
      </w:r>
      <w:r w:rsidR="004D5929" w:rsidRP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од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ин</w:t>
      </w:r>
      <w:r w:rsidR="004D5929" w:rsidRPr="004D5929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из основных факторов, определяющих успех процесса развития.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Увеличение </w:t>
      </w:r>
      <w:r w:rsidR="00292BD8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численности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населения, повышение ожидаемой продолжительности жизни и снижение бедности </w:t>
      </w:r>
      <w:r w:rsidR="00077FF2" w:rsidRP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способствует увеличению производительности труда и доходов, а также повышению качества и доступности образования, здравоохранения и других услуг.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Поэтому </w:t>
      </w:r>
      <w:r w:rsidR="00077FF2" w:rsidRP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управление </w:t>
      </w:r>
      <w:r w:rsidR="00077FF2" w:rsidRP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lastRenderedPageBreak/>
        <w:t>человеческим ресурсом и демографией должно являться ключевой стратегией в процессе устойчив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ого</w:t>
      </w:r>
      <w:r w:rsidR="00077FF2" w:rsidRP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пространственн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ого</w:t>
      </w:r>
      <w:r w:rsidR="00077FF2" w:rsidRP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 xml:space="preserve"> развити</w:t>
      </w:r>
      <w:r w:rsid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я</w:t>
      </w:r>
      <w:r w:rsidR="00077FF2" w:rsidRPr="00077FF2">
        <w:rPr>
          <w:rFonts w:ascii="Times New Roman" w:hAnsi="Times New Roman" w:cs="Times New Roman"/>
          <w:spacing w:val="-7"/>
          <w:sz w:val="24"/>
          <w:szCs w:val="24"/>
          <w:lang w:eastAsia="ru-RU"/>
        </w:rPr>
        <w:t>.</w:t>
      </w:r>
    </w:p>
    <w:p w14:paraId="1CAFDD10" w14:textId="21C06643" w:rsidR="008B2CAA" w:rsidRDefault="008B2CAA" w:rsidP="008B2CAA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  <w:lang w:eastAsia="ru-RU"/>
        </w:rPr>
      </w:pPr>
    </w:p>
    <w:p w14:paraId="6D1FDBB3" w14:textId="346EFE3C" w:rsidR="008B2CAA" w:rsidRPr="008B2CAA" w:rsidRDefault="008B2CAA" w:rsidP="008B2C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</w:pPr>
      <w:r w:rsidRPr="008B2CAA"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t>ЛИТЕРАТУРА</w:t>
      </w:r>
    </w:p>
    <w:p w14:paraId="772856E3" w14:textId="77777777" w:rsidR="00DA1A44" w:rsidRPr="00DA1A44" w:rsidRDefault="00DA1A44" w:rsidP="00DA1A44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1A44">
        <w:rPr>
          <w:rFonts w:ascii="Times New Roman" w:eastAsia="Calibri" w:hAnsi="Times New Roman" w:cs="Times New Roman"/>
          <w:sz w:val="24"/>
          <w:szCs w:val="24"/>
        </w:rPr>
        <w:t>Единый план по достижению национальных целей развития Российской Федерации на период до 2024 года и на плановый период до 2030 года / Министерство экономического развития Российской Федерации. URL: https://www.economy.gov.ru/material/file/ffccd6ed40dbd803eedd11bc8c9f7571/Plan_po_dostizheniyu_nacionalnyh_celey_razvitiya_do_2024g.pdf</w:t>
      </w:r>
    </w:p>
    <w:p w14:paraId="619A4391" w14:textId="77777777" w:rsidR="00DA1A44" w:rsidRPr="00DA1A44" w:rsidRDefault="00DA1A44" w:rsidP="00DA1A44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1A44">
        <w:rPr>
          <w:rFonts w:ascii="Times New Roman" w:eastAsia="Calibri" w:hAnsi="Times New Roman" w:cs="Times New Roman"/>
          <w:sz w:val="24"/>
          <w:szCs w:val="24"/>
        </w:rPr>
        <w:t>Национальные проекты 2019–2024 гг.: анализ и ключевые риски их реализации. Социальная сфера: науч.-</w:t>
      </w:r>
      <w:proofErr w:type="spellStart"/>
      <w:r w:rsidRPr="00DA1A44">
        <w:rPr>
          <w:rFonts w:ascii="Times New Roman" w:eastAsia="Calibri" w:hAnsi="Times New Roman" w:cs="Times New Roman"/>
          <w:sz w:val="24"/>
          <w:szCs w:val="24"/>
        </w:rPr>
        <w:t>аналит</w:t>
      </w:r>
      <w:proofErr w:type="spellEnd"/>
      <w:r w:rsidRPr="00DA1A44">
        <w:rPr>
          <w:rFonts w:ascii="Times New Roman" w:eastAsia="Calibri" w:hAnsi="Times New Roman" w:cs="Times New Roman"/>
          <w:sz w:val="24"/>
          <w:szCs w:val="24"/>
        </w:rPr>
        <w:t xml:space="preserve">. изд. / кол. авт.; под науч. рук. А.А. </w:t>
      </w:r>
      <w:proofErr w:type="spellStart"/>
      <w:r w:rsidRPr="00DA1A44">
        <w:rPr>
          <w:rFonts w:ascii="Times New Roman" w:eastAsia="Calibri" w:hAnsi="Times New Roman" w:cs="Times New Roman"/>
          <w:sz w:val="24"/>
          <w:szCs w:val="24"/>
        </w:rPr>
        <w:t>Шабуновой</w:t>
      </w:r>
      <w:proofErr w:type="spellEnd"/>
      <w:r w:rsidRPr="00DA1A44">
        <w:rPr>
          <w:rFonts w:ascii="Times New Roman" w:eastAsia="Calibri" w:hAnsi="Times New Roman" w:cs="Times New Roman"/>
          <w:sz w:val="24"/>
          <w:szCs w:val="24"/>
        </w:rPr>
        <w:t xml:space="preserve">. Вологда: ФГБУН </w:t>
      </w:r>
      <w:proofErr w:type="spellStart"/>
      <w:r w:rsidRPr="00DA1A44"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 w:rsidRPr="00DA1A44">
        <w:rPr>
          <w:rFonts w:ascii="Times New Roman" w:eastAsia="Calibri" w:hAnsi="Times New Roman" w:cs="Times New Roman"/>
          <w:sz w:val="24"/>
          <w:szCs w:val="24"/>
        </w:rPr>
        <w:t xml:space="preserve"> РАН, 2019. 68 с.</w:t>
      </w:r>
    </w:p>
    <w:p w14:paraId="761EEA50" w14:textId="77777777" w:rsidR="00DA1A44" w:rsidRPr="00DA1A44" w:rsidRDefault="00DA1A44" w:rsidP="00DA1A44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1A44">
        <w:rPr>
          <w:rFonts w:ascii="Times New Roman" w:eastAsia="Calibri" w:hAnsi="Times New Roman" w:cs="Times New Roman"/>
          <w:sz w:val="24"/>
          <w:szCs w:val="24"/>
        </w:rPr>
        <w:t xml:space="preserve">Национальные проекты: целевые показатели и основные результаты / Правительство России. URL: http://static.government.ru/media/files/p7nn2CS0pVhvQ98OOwAt2dzCIAietQih.pdf </w:t>
      </w:r>
    </w:p>
    <w:p w14:paraId="1B0FFAB2" w14:textId="77777777" w:rsidR="00DA1A44" w:rsidRPr="00DA1A44" w:rsidRDefault="00DA1A44" w:rsidP="00DA1A44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1A44">
        <w:rPr>
          <w:rFonts w:ascii="Times New Roman" w:eastAsia="Calibri" w:hAnsi="Times New Roman" w:cs="Times New Roman"/>
          <w:sz w:val="24"/>
          <w:szCs w:val="24"/>
        </w:rPr>
        <w:t xml:space="preserve">Ускова Т.В., </w:t>
      </w:r>
      <w:proofErr w:type="spellStart"/>
      <w:r w:rsidRPr="00DA1A44">
        <w:rPr>
          <w:rFonts w:ascii="Times New Roman" w:eastAsia="Calibri" w:hAnsi="Times New Roman" w:cs="Times New Roman"/>
          <w:sz w:val="24"/>
          <w:szCs w:val="24"/>
        </w:rPr>
        <w:t>Секушина</w:t>
      </w:r>
      <w:proofErr w:type="spellEnd"/>
      <w:r w:rsidRPr="00DA1A44">
        <w:rPr>
          <w:rFonts w:ascii="Times New Roman" w:eastAsia="Calibri" w:hAnsi="Times New Roman" w:cs="Times New Roman"/>
          <w:sz w:val="24"/>
          <w:szCs w:val="24"/>
        </w:rPr>
        <w:t xml:space="preserve"> И.А. Стратегические приоритеты развития малых и средних городов // Экономические и социальные перемены: факты, тенденции, прогноз. 2021. Т. 14. № 1. С. 56–70. DOI: 10.15838/ esc.2021.1.73.5</w:t>
      </w:r>
      <w:r w:rsidRPr="00DA1A44">
        <w:rPr>
          <w:rFonts w:ascii="Times New Roman" w:eastAsia="Calibri" w:hAnsi="Times New Roman" w:cs="Times New Roman"/>
          <w:sz w:val="24"/>
          <w:szCs w:val="24"/>
        </w:rPr>
        <w:t>.</w:t>
      </w:r>
    </w:p>
    <w:sectPr w:rsidR="00DA1A44" w:rsidRPr="00DA1A44" w:rsidSect="003A1E6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098D4F" w14:textId="77777777" w:rsidR="00AD1B4D" w:rsidRDefault="00AD1B4D" w:rsidP="00871E10">
      <w:pPr>
        <w:spacing w:after="0" w:line="240" w:lineRule="auto"/>
      </w:pPr>
      <w:r>
        <w:separator/>
      </w:r>
    </w:p>
  </w:endnote>
  <w:endnote w:type="continuationSeparator" w:id="0">
    <w:p w14:paraId="0339A027" w14:textId="77777777" w:rsidR="00AD1B4D" w:rsidRDefault="00AD1B4D" w:rsidP="00871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76C8A5" w14:textId="77777777" w:rsidR="00AD1B4D" w:rsidRDefault="00AD1B4D" w:rsidP="00871E10">
      <w:pPr>
        <w:spacing w:after="0" w:line="240" w:lineRule="auto"/>
      </w:pPr>
      <w:r>
        <w:separator/>
      </w:r>
    </w:p>
  </w:footnote>
  <w:footnote w:type="continuationSeparator" w:id="0">
    <w:p w14:paraId="00808805" w14:textId="77777777" w:rsidR="00AD1B4D" w:rsidRDefault="00AD1B4D" w:rsidP="00871E10">
      <w:pPr>
        <w:spacing w:after="0" w:line="240" w:lineRule="auto"/>
      </w:pPr>
      <w:r>
        <w:continuationSeparator/>
      </w:r>
    </w:p>
  </w:footnote>
  <w:footnote w:id="1">
    <w:p w14:paraId="5B49BE2B" w14:textId="19029884" w:rsidR="00871E10" w:rsidRPr="00CC0430" w:rsidRDefault="00871E10">
      <w:pPr>
        <w:pStyle w:val="a3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Pr="00CC0430">
        <w:rPr>
          <w:rFonts w:ascii="Times New Roman" w:hAnsi="Times New Roman" w:cs="Times New Roman"/>
        </w:rPr>
        <w:t>Колесов Александр Анатольевич, инженер-исследователь</w:t>
      </w:r>
      <w:r w:rsidR="000D05C6" w:rsidRPr="00CC0430">
        <w:rPr>
          <w:rFonts w:ascii="Times New Roman" w:hAnsi="Times New Roman" w:cs="Times New Roman"/>
        </w:rPr>
        <w:t xml:space="preserve">, </w:t>
      </w:r>
      <w:r w:rsidR="000D05C6">
        <w:rPr>
          <w:rFonts w:ascii="Times New Roman" w:hAnsi="Times New Roman" w:cs="Times New Roman"/>
        </w:rPr>
        <w:t>Вологодский научный центр Российской Академии Наук</w:t>
      </w:r>
      <w:r w:rsidR="000D05C6" w:rsidRPr="00CA7DF7">
        <w:rPr>
          <w:rFonts w:ascii="Times New Roman" w:hAnsi="Times New Roman" w:cs="Times New Roman"/>
        </w:rPr>
        <w:t xml:space="preserve"> (Адрес: </w:t>
      </w:r>
      <w:r w:rsidR="000D05C6">
        <w:rPr>
          <w:rFonts w:ascii="Times New Roman" w:hAnsi="Times New Roman" w:cs="Times New Roman"/>
        </w:rPr>
        <w:t>160014</w:t>
      </w:r>
      <w:r w:rsidR="000D05C6" w:rsidRPr="00CA7DF7">
        <w:rPr>
          <w:rFonts w:ascii="Times New Roman" w:hAnsi="Times New Roman" w:cs="Times New Roman"/>
        </w:rPr>
        <w:t xml:space="preserve">, </w:t>
      </w:r>
      <w:r w:rsidR="000D05C6">
        <w:rPr>
          <w:rFonts w:ascii="Times New Roman" w:hAnsi="Times New Roman" w:cs="Times New Roman"/>
        </w:rPr>
        <w:t>Россия</w:t>
      </w:r>
      <w:r w:rsidR="000D05C6" w:rsidRPr="00CA7DF7">
        <w:rPr>
          <w:rFonts w:ascii="Times New Roman" w:hAnsi="Times New Roman" w:cs="Times New Roman"/>
        </w:rPr>
        <w:t xml:space="preserve">, </w:t>
      </w:r>
      <w:r w:rsidR="000D05C6">
        <w:rPr>
          <w:rFonts w:ascii="Times New Roman" w:hAnsi="Times New Roman" w:cs="Times New Roman"/>
        </w:rPr>
        <w:t>Вологда</w:t>
      </w:r>
      <w:r w:rsidR="000D05C6" w:rsidRPr="00CA7DF7">
        <w:rPr>
          <w:rFonts w:ascii="Times New Roman" w:hAnsi="Times New Roman" w:cs="Times New Roman"/>
        </w:rPr>
        <w:t xml:space="preserve">, ул. </w:t>
      </w:r>
      <w:r w:rsidR="000D05C6">
        <w:rPr>
          <w:rFonts w:ascii="Times New Roman" w:hAnsi="Times New Roman" w:cs="Times New Roman"/>
        </w:rPr>
        <w:t>Горького</w:t>
      </w:r>
      <w:r w:rsidR="000D05C6" w:rsidRPr="00CA7DF7">
        <w:rPr>
          <w:rFonts w:ascii="Times New Roman" w:hAnsi="Times New Roman" w:cs="Times New Roman"/>
        </w:rPr>
        <w:t xml:space="preserve">, д. </w:t>
      </w:r>
      <w:r w:rsidR="000D05C6">
        <w:rPr>
          <w:rFonts w:ascii="Times New Roman" w:hAnsi="Times New Roman" w:cs="Times New Roman"/>
        </w:rPr>
        <w:t>56А</w:t>
      </w:r>
      <w:r w:rsidR="000D05C6" w:rsidRPr="00CA7DF7">
        <w:rPr>
          <w:rFonts w:ascii="Times New Roman" w:hAnsi="Times New Roman" w:cs="Times New Roman"/>
        </w:rPr>
        <w:t>; E-</w:t>
      </w:r>
      <w:proofErr w:type="spellStart"/>
      <w:r w:rsidR="000D05C6" w:rsidRPr="00CA7DF7">
        <w:rPr>
          <w:rFonts w:ascii="Times New Roman" w:hAnsi="Times New Roman" w:cs="Times New Roman"/>
        </w:rPr>
        <w:t>mail</w:t>
      </w:r>
      <w:proofErr w:type="spellEnd"/>
      <w:r w:rsidR="000D05C6" w:rsidRPr="00CA7DF7">
        <w:rPr>
          <w:rFonts w:ascii="Times New Roman" w:hAnsi="Times New Roman" w:cs="Times New Roman"/>
        </w:rPr>
        <w:t>:</w:t>
      </w:r>
      <w:r w:rsidR="00CC0430">
        <w:rPr>
          <w:rFonts w:ascii="Times New Roman" w:hAnsi="Times New Roman" w:cs="Times New Roman"/>
        </w:rPr>
        <w:t xml:space="preserve"> </w:t>
      </w:r>
      <w:r w:rsidR="00CC0430" w:rsidRPr="00CC0430">
        <w:rPr>
          <w:rFonts w:ascii="Times New Roman" w:hAnsi="Times New Roman" w:cs="Times New Roman"/>
        </w:rPr>
        <w:t>aleks.kolesov@bk.ru</w:t>
      </w:r>
      <w:r w:rsidR="000D05C6" w:rsidRPr="00CA7DF7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510959"/>
    <w:multiLevelType w:val="hybridMultilevel"/>
    <w:tmpl w:val="9CE6B23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732"/>
    <w:rsid w:val="00077FF2"/>
    <w:rsid w:val="000A2767"/>
    <w:rsid w:val="000D05C6"/>
    <w:rsid w:val="000E29A4"/>
    <w:rsid w:val="0012577D"/>
    <w:rsid w:val="00132AEF"/>
    <w:rsid w:val="0018126F"/>
    <w:rsid w:val="001968E1"/>
    <w:rsid w:val="001A10BB"/>
    <w:rsid w:val="00292BD8"/>
    <w:rsid w:val="002E3621"/>
    <w:rsid w:val="00334CCB"/>
    <w:rsid w:val="003772CE"/>
    <w:rsid w:val="003A1E64"/>
    <w:rsid w:val="004D5929"/>
    <w:rsid w:val="005127FD"/>
    <w:rsid w:val="00594732"/>
    <w:rsid w:val="00600FEE"/>
    <w:rsid w:val="006069AA"/>
    <w:rsid w:val="00614BC1"/>
    <w:rsid w:val="00871E10"/>
    <w:rsid w:val="008B2CAA"/>
    <w:rsid w:val="00AB5572"/>
    <w:rsid w:val="00AD1B4D"/>
    <w:rsid w:val="00B85448"/>
    <w:rsid w:val="00B92678"/>
    <w:rsid w:val="00C32730"/>
    <w:rsid w:val="00CC0430"/>
    <w:rsid w:val="00DA1A44"/>
    <w:rsid w:val="00DA7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536BC"/>
  <w15:chartTrackingRefBased/>
  <w15:docId w15:val="{B7D1C25C-10F0-4CC0-AEFF-75A218701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71E10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871E10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71E10"/>
    <w:rPr>
      <w:vertAlign w:val="superscript"/>
    </w:rPr>
  </w:style>
  <w:style w:type="character" w:styleId="a6">
    <w:name w:val="annotation reference"/>
    <w:basedOn w:val="a0"/>
    <w:uiPriority w:val="99"/>
    <w:semiHidden/>
    <w:unhideWhenUsed/>
    <w:rsid w:val="0018126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18126F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18126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18126F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18126F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1812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18126F"/>
    <w:rPr>
      <w:rFonts w:ascii="Segoe UI" w:hAnsi="Segoe UI" w:cs="Segoe UI"/>
      <w:sz w:val="18"/>
      <w:szCs w:val="18"/>
    </w:rPr>
  </w:style>
  <w:style w:type="character" w:styleId="ad">
    <w:name w:val="Hyperlink"/>
    <w:basedOn w:val="a0"/>
    <w:uiPriority w:val="99"/>
    <w:unhideWhenUsed/>
    <w:rsid w:val="000E29A4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0E29A4"/>
    <w:rPr>
      <w:color w:val="605E5C"/>
      <w:shd w:val="clear" w:color="auto" w:fill="E1DFDD"/>
    </w:rPr>
  </w:style>
  <w:style w:type="paragraph" w:styleId="af">
    <w:name w:val="List Paragraph"/>
    <w:basedOn w:val="a"/>
    <w:uiPriority w:val="34"/>
    <w:qFormat/>
    <w:rsid w:val="00DA1A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9AFB9-BD19-4C75-BB0B-22B95FB7C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4</Pages>
  <Words>1975</Words>
  <Characters>11261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20</cp:revision>
  <dcterms:created xsi:type="dcterms:W3CDTF">2023-05-11T06:56:00Z</dcterms:created>
  <dcterms:modified xsi:type="dcterms:W3CDTF">2023-05-12T10:51:00Z</dcterms:modified>
</cp:coreProperties>
</file>