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0E7D" w:rsidRPr="005825E8" w:rsidRDefault="00070E7D" w:rsidP="005825E8">
      <w:pPr>
        <w:spacing w:after="0" w:line="240" w:lineRule="auto"/>
        <w:ind w:firstLine="709"/>
        <w:jc w:val="right"/>
        <w:rPr>
          <w:rFonts w:ascii="Times New Roman" w:eastAsiaTheme="minorHAnsi" w:hAnsi="Times New Roman" w:cs="Times New Roman"/>
          <w:b/>
          <w:bCs/>
          <w:spacing w:val="-7"/>
          <w:sz w:val="24"/>
          <w:szCs w:val="24"/>
        </w:rPr>
      </w:pPr>
      <w:r w:rsidRPr="005825E8">
        <w:rPr>
          <w:rFonts w:ascii="Times New Roman" w:eastAsiaTheme="minorHAnsi" w:hAnsi="Times New Roman" w:cs="Times New Roman"/>
          <w:b/>
          <w:bCs/>
          <w:spacing w:val="-7"/>
          <w:sz w:val="24"/>
          <w:szCs w:val="24"/>
        </w:rPr>
        <w:t>Морошкина М.В.</w:t>
      </w:r>
      <w:r w:rsidR="00934BF7">
        <w:rPr>
          <w:rStyle w:val="a7"/>
          <w:rFonts w:ascii="Times New Roman" w:eastAsiaTheme="minorHAnsi" w:hAnsi="Times New Roman" w:cs="Times New Roman"/>
          <w:b/>
          <w:bCs/>
          <w:spacing w:val="-7"/>
          <w:sz w:val="24"/>
          <w:szCs w:val="24"/>
        </w:rPr>
        <w:footnoteReference w:id="2"/>
      </w:r>
    </w:p>
    <w:p w:rsidR="00070E7D" w:rsidRPr="00934BF7" w:rsidRDefault="00BC10F0" w:rsidP="005825E8">
      <w:pPr>
        <w:spacing w:after="0" w:line="240" w:lineRule="auto"/>
        <w:ind w:firstLine="709"/>
        <w:jc w:val="right"/>
        <w:rPr>
          <w:rFonts w:ascii="Times New Roman" w:eastAsiaTheme="minorHAnsi" w:hAnsi="Times New Roman" w:cs="Times New Roman"/>
          <w:b/>
          <w:bCs/>
          <w:spacing w:val="-7"/>
          <w:sz w:val="24"/>
          <w:szCs w:val="24"/>
        </w:rPr>
      </w:pPr>
      <w:r w:rsidRPr="005825E8">
        <w:rPr>
          <w:rFonts w:ascii="Times New Roman" w:eastAsiaTheme="minorHAnsi" w:hAnsi="Times New Roman" w:cs="Times New Roman"/>
          <w:b/>
          <w:bCs/>
          <w:spacing w:val="-7"/>
          <w:sz w:val="24"/>
          <w:szCs w:val="24"/>
        </w:rPr>
        <w:t>Резанова Л.В.</w:t>
      </w:r>
      <w:r w:rsidR="00934BF7">
        <w:rPr>
          <w:rStyle w:val="a7"/>
          <w:rFonts w:ascii="Times New Roman" w:eastAsiaTheme="minorHAnsi" w:hAnsi="Times New Roman" w:cs="Times New Roman"/>
          <w:b/>
          <w:bCs/>
          <w:spacing w:val="-7"/>
          <w:sz w:val="24"/>
          <w:szCs w:val="24"/>
        </w:rPr>
        <w:footnoteReference w:id="3"/>
      </w:r>
    </w:p>
    <w:p w:rsidR="00C66FDE" w:rsidRPr="005825E8" w:rsidRDefault="00C66FDE" w:rsidP="005825E8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napToGrid w:val="0"/>
          <w:color w:val="000000" w:themeColor="text1"/>
          <w:sz w:val="24"/>
          <w:szCs w:val="24"/>
        </w:rPr>
      </w:pPr>
      <w:r w:rsidRPr="005825E8">
        <w:rPr>
          <w:rFonts w:ascii="Times New Roman" w:eastAsia="Times New Roman" w:hAnsi="Times New Roman" w:cs="Times New Roman"/>
          <w:b/>
          <w:snapToGrid w:val="0"/>
          <w:color w:val="000000" w:themeColor="text1"/>
          <w:sz w:val="24"/>
          <w:szCs w:val="24"/>
        </w:rPr>
        <w:t>Уровень активност</w:t>
      </w:r>
      <w:r w:rsidR="00123131" w:rsidRPr="005825E8">
        <w:rPr>
          <w:rFonts w:ascii="Times New Roman" w:eastAsia="Times New Roman" w:hAnsi="Times New Roman" w:cs="Times New Roman"/>
          <w:b/>
          <w:snapToGrid w:val="0"/>
          <w:color w:val="000000" w:themeColor="text1"/>
          <w:sz w:val="24"/>
          <w:szCs w:val="24"/>
        </w:rPr>
        <w:t>и</w:t>
      </w:r>
      <w:r w:rsidRPr="005825E8">
        <w:rPr>
          <w:rFonts w:ascii="Times New Roman" w:eastAsia="Times New Roman" w:hAnsi="Times New Roman" w:cs="Times New Roman"/>
          <w:b/>
          <w:snapToGrid w:val="0"/>
          <w:color w:val="000000" w:themeColor="text1"/>
          <w:sz w:val="24"/>
          <w:szCs w:val="24"/>
        </w:rPr>
        <w:t xml:space="preserve"> страховой деятельности в СЗФО и РФ: сравнительный анализ</w:t>
      </w:r>
    </w:p>
    <w:p w:rsidR="00070E7D" w:rsidRPr="005825E8" w:rsidRDefault="00070E7D" w:rsidP="005825E8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napToGrid w:val="0"/>
          <w:color w:val="000000" w:themeColor="text1"/>
          <w:sz w:val="24"/>
          <w:szCs w:val="24"/>
        </w:rPr>
      </w:pPr>
    </w:p>
    <w:p w:rsidR="00070E7D" w:rsidRPr="007F1E87" w:rsidRDefault="00070E7D" w:rsidP="005825E8">
      <w:pPr>
        <w:spacing w:after="0" w:line="240" w:lineRule="auto"/>
        <w:ind w:firstLine="709"/>
        <w:jc w:val="both"/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</w:pPr>
      <w:r w:rsidRPr="005825E8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7F1E8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7F1E87" w:rsidRPr="007F1E87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Проведение сравнительного анализа по уровню активности страховой деятельности, в рамках данного исследования,  заключается в количественной  оценке заключенных страховых договоров, в разрезе регионов Северо-Западного федерального округа и общероссийских показателей</w:t>
      </w:r>
    </w:p>
    <w:p w:rsidR="00070E7D" w:rsidRPr="007F1E87" w:rsidRDefault="00070E7D" w:rsidP="005825E8">
      <w:pPr>
        <w:spacing w:after="0" w:line="240" w:lineRule="auto"/>
        <w:ind w:firstLine="709"/>
        <w:jc w:val="both"/>
        <w:rPr>
          <w:rFonts w:ascii="Times New Roman" w:eastAsiaTheme="minorHAnsi" w:hAnsi="Times New Roman" w:cs="Times New Roman"/>
          <w:b/>
          <w:bCs/>
          <w:iCs/>
          <w:sz w:val="24"/>
          <w:szCs w:val="24"/>
          <w:lang w:eastAsia="en-US"/>
        </w:rPr>
      </w:pPr>
      <w:r w:rsidRPr="007F1E87">
        <w:rPr>
          <w:rFonts w:ascii="Times New Roman" w:eastAsiaTheme="minorHAnsi" w:hAnsi="Times New Roman" w:cs="Times New Roman"/>
          <w:b/>
          <w:bCs/>
          <w:iCs/>
          <w:sz w:val="24"/>
          <w:szCs w:val="24"/>
          <w:lang w:eastAsia="en-US"/>
        </w:rPr>
        <w:t>Ключевые слова</w:t>
      </w:r>
      <w:r w:rsidR="007F1E87">
        <w:rPr>
          <w:rFonts w:ascii="Times New Roman" w:eastAsiaTheme="minorHAnsi" w:hAnsi="Times New Roman" w:cs="Times New Roman"/>
          <w:b/>
          <w:bCs/>
          <w:iCs/>
          <w:sz w:val="24"/>
          <w:szCs w:val="24"/>
          <w:lang w:eastAsia="en-US"/>
        </w:rPr>
        <w:t xml:space="preserve">. </w:t>
      </w:r>
      <w:r w:rsidR="007F1E87" w:rsidRPr="007F1E87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Страховая деятельность, регионы, количество заключенных страховых договоров, Северо-Западный федеральный округ, Российская Федерация</w:t>
      </w:r>
    </w:p>
    <w:p w:rsidR="00070E7D" w:rsidRPr="005825E8" w:rsidRDefault="00070E7D" w:rsidP="005825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B505B" w:rsidRPr="00703B9A" w:rsidRDefault="00070E7D" w:rsidP="005825E8">
      <w:pPr>
        <w:pStyle w:val="Default"/>
        <w:ind w:firstLine="709"/>
        <w:jc w:val="both"/>
      </w:pPr>
      <w:r w:rsidRPr="005825E8">
        <w:rPr>
          <w:b/>
        </w:rPr>
        <w:t>Введение.</w:t>
      </w:r>
      <w:r w:rsidR="002B505B" w:rsidRPr="005825E8">
        <w:rPr>
          <w:b/>
        </w:rPr>
        <w:t xml:space="preserve">   </w:t>
      </w:r>
      <w:r w:rsidR="00AB6BD8" w:rsidRPr="005825E8">
        <w:t>В современных условиях</w:t>
      </w:r>
      <w:r w:rsidR="00AB6BD8" w:rsidRPr="005825E8">
        <w:rPr>
          <w:b/>
        </w:rPr>
        <w:t xml:space="preserve"> </w:t>
      </w:r>
      <w:r w:rsidR="00AB6BD8" w:rsidRPr="005825E8">
        <w:t xml:space="preserve">неопределенности и высоких рисков значительно возрастает роль страхового рынка.  Исследователи определяют множество целей развития страхового рынка, которые сводятся к развитию страховой сферы, </w:t>
      </w:r>
      <w:r w:rsidR="00AB6BD8" w:rsidRPr="00703B9A">
        <w:t>трансформации страхового бизнеса в стратегический важный сектор национальной экономики</w:t>
      </w:r>
      <w:r w:rsidR="00AA086C" w:rsidRPr="00703B9A">
        <w:t xml:space="preserve"> [</w:t>
      </w:r>
      <w:r w:rsidR="00703B9A" w:rsidRPr="00703B9A">
        <w:t>1, 2</w:t>
      </w:r>
      <w:r w:rsidR="00AA086C" w:rsidRPr="00703B9A">
        <w:t>]</w:t>
      </w:r>
      <w:r w:rsidR="00AB6BD8" w:rsidRPr="00703B9A">
        <w:t>.</w:t>
      </w:r>
    </w:p>
    <w:p w:rsidR="00AB6BD8" w:rsidRPr="005825E8" w:rsidRDefault="00123131" w:rsidP="005825E8">
      <w:pPr>
        <w:pStyle w:val="Default"/>
        <w:ind w:firstLine="709"/>
        <w:jc w:val="both"/>
      </w:pPr>
      <w:r w:rsidRPr="00703B9A">
        <w:t>На современном</w:t>
      </w:r>
      <w:r w:rsidRPr="005825E8">
        <w:t xml:space="preserve"> этапе значимость страхового рынка определяется возможностью обеспечить рост экономической стабил</w:t>
      </w:r>
      <w:r w:rsidR="00A62B20" w:rsidRPr="005825E8">
        <w:t>ьности</w:t>
      </w:r>
      <w:r w:rsidRPr="005825E8">
        <w:t>. Основной целью и  государственной стратегической задачей  призн</w:t>
      </w:r>
      <w:r w:rsidR="00A62B20" w:rsidRPr="005825E8">
        <w:t xml:space="preserve">ается развитие страхового рынка. </w:t>
      </w:r>
    </w:p>
    <w:p w:rsidR="00A62B20" w:rsidRPr="005825E8" w:rsidRDefault="00A62B20" w:rsidP="005825E8">
      <w:pPr>
        <w:pStyle w:val="Default"/>
        <w:ind w:firstLine="709"/>
        <w:jc w:val="both"/>
      </w:pPr>
      <w:r w:rsidRPr="005825E8">
        <w:t>В рамках государственной экономики страхование способно обеспечить устойчивые темпы экономического развития в результате  привлечения долгосрочных инвестиционных ресурсов</w:t>
      </w:r>
      <w:r w:rsidR="00180BAF" w:rsidRPr="005825E8">
        <w:t>. Особое значение развити</w:t>
      </w:r>
      <w:r w:rsidR="006E51EB" w:rsidRPr="005825E8">
        <w:t>я</w:t>
      </w:r>
      <w:r w:rsidR="00180BAF" w:rsidRPr="005825E8">
        <w:t xml:space="preserve"> страховой отрасли определяется формировани</w:t>
      </w:r>
      <w:r w:rsidR="006E51EB" w:rsidRPr="005825E8">
        <w:t>ем</w:t>
      </w:r>
      <w:r w:rsidR="00180BAF" w:rsidRPr="005825E8">
        <w:t xml:space="preserve"> стабилизационных процессов в обществе, выступая гарантом защиты от рисков различных направлений.  </w:t>
      </w:r>
    </w:p>
    <w:p w:rsidR="00D657F8" w:rsidRPr="00703B9A" w:rsidRDefault="00D657F8" w:rsidP="005825E8">
      <w:pPr>
        <w:pStyle w:val="Default"/>
        <w:ind w:firstLine="709"/>
        <w:jc w:val="both"/>
      </w:pPr>
      <w:r w:rsidRPr="005825E8">
        <w:t xml:space="preserve">Анализ развития страховой отрасли обладает географической направленностью: отдельные территории характеризуются высоким уровнем развития страховой отрасли, другие наоборот, демонстрируют низкие показатели развития. Исследователями выделяются точки активного роста финансовой и страховой деятельности, которые сосредоточены в крупных городах и столичных </w:t>
      </w:r>
      <w:r w:rsidRPr="00703B9A">
        <w:t>мегаполисах [</w:t>
      </w:r>
      <w:r w:rsidR="00703B9A" w:rsidRPr="00703B9A">
        <w:t>3</w:t>
      </w:r>
      <w:r w:rsidRPr="00703B9A">
        <w:t xml:space="preserve">]. </w:t>
      </w:r>
    </w:p>
    <w:p w:rsidR="00077E23" w:rsidRPr="005825E8" w:rsidRDefault="00077E23" w:rsidP="005825E8">
      <w:pPr>
        <w:pStyle w:val="Default"/>
        <w:ind w:firstLine="709"/>
        <w:jc w:val="both"/>
      </w:pPr>
      <w:r w:rsidRPr="00703B9A">
        <w:t>На современном этапе модель развития страхового</w:t>
      </w:r>
      <w:r w:rsidRPr="005825E8">
        <w:t xml:space="preserve"> рынка трансформируется и приобретает инновационное направление, которому положил начало период пандемии, и связанные с ним ограничения. В контексте вышеизложенного изменяется поведение страхового рынка в разрезе территориальных образований. Концентрация страховой и финансовой отрасли имеет тенденцию к концентрации в крупных городах и столичных мегаполисах. </w:t>
      </w:r>
    </w:p>
    <w:p w:rsidR="00077E23" w:rsidRPr="005825E8" w:rsidRDefault="00077E23" w:rsidP="005825E8">
      <w:pPr>
        <w:pStyle w:val="Default"/>
        <w:ind w:firstLine="709"/>
        <w:jc w:val="both"/>
      </w:pPr>
      <w:r w:rsidRPr="005825E8">
        <w:t>Целью исследования выступает развитие страхового рынка в СЗФО, объектами – регионы СЗФО.</w:t>
      </w:r>
    </w:p>
    <w:p w:rsidR="00123131" w:rsidRPr="005825E8" w:rsidRDefault="00123131" w:rsidP="005825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25E8">
        <w:rPr>
          <w:rFonts w:ascii="Times New Roman" w:hAnsi="Times New Roman" w:cs="Times New Roman"/>
          <w:b/>
          <w:color w:val="000000"/>
          <w:sz w:val="24"/>
          <w:szCs w:val="24"/>
        </w:rPr>
        <w:t>Результаты</w:t>
      </w:r>
      <w:r w:rsidR="001C122D" w:rsidRPr="005825E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  <w:r w:rsidR="001C122D" w:rsidRPr="005825E8">
        <w:rPr>
          <w:rFonts w:ascii="Times New Roman" w:hAnsi="Times New Roman" w:cs="Times New Roman"/>
          <w:color w:val="000000"/>
          <w:sz w:val="24"/>
          <w:szCs w:val="24"/>
        </w:rPr>
        <w:t xml:space="preserve"> В рамках поставленных  задач были исследованы регионы Северо-Западного федерального округа по отдельным показателям развития страхового рынка. </w:t>
      </w:r>
    </w:p>
    <w:p w:rsidR="001C122D" w:rsidRPr="005825E8" w:rsidRDefault="001C122D" w:rsidP="005825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25E8">
        <w:rPr>
          <w:rFonts w:ascii="Times New Roman" w:hAnsi="Times New Roman" w:cs="Times New Roman"/>
          <w:color w:val="000000"/>
          <w:sz w:val="24"/>
          <w:szCs w:val="24"/>
        </w:rPr>
        <w:t xml:space="preserve">Начальным этапом оценки явились данные в региональном разрезе по показателю количество заключенных страховых договоров, позволяющие оценить уровень активности страховой деятельности в территориальном образовании (рисунок 1). Значительный отрыв по данному показателю имеет </w:t>
      </w:r>
      <w:r w:rsidR="002C3A7F" w:rsidRPr="005825E8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Pr="005825E8">
        <w:rPr>
          <w:rFonts w:ascii="Times New Roman" w:hAnsi="Times New Roman" w:cs="Times New Roman"/>
          <w:color w:val="000000"/>
          <w:sz w:val="24"/>
          <w:szCs w:val="24"/>
        </w:rPr>
        <w:t xml:space="preserve">Санкт-Петербург, что объясняется высоким содержанием финансового и банковского сектора в городе. </w:t>
      </w:r>
    </w:p>
    <w:p w:rsidR="00123131" w:rsidRDefault="001C122D">
      <w:pPr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23131">
        <w:rPr>
          <w:rFonts w:ascii="Times New Roman" w:hAnsi="Times New Roman" w:cs="Times New Roman"/>
          <w:b/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5950585" cy="2438400"/>
            <wp:effectExtent l="19050" t="0" r="12065" b="0"/>
            <wp:docPr id="5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23131" w:rsidRDefault="00123131" w:rsidP="005825E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F1E87">
        <w:rPr>
          <w:rFonts w:ascii="Times New Roman" w:hAnsi="Times New Roman" w:cs="Times New Roman"/>
          <w:color w:val="000000"/>
          <w:sz w:val="24"/>
          <w:szCs w:val="24"/>
        </w:rPr>
        <w:t>Рис</w:t>
      </w:r>
      <w:r w:rsidR="007F1E87" w:rsidRPr="007F1E87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7F1E87">
        <w:rPr>
          <w:rFonts w:ascii="Times New Roman" w:hAnsi="Times New Roman" w:cs="Times New Roman"/>
          <w:color w:val="000000"/>
          <w:sz w:val="24"/>
          <w:szCs w:val="24"/>
        </w:rPr>
        <w:t>1.</w:t>
      </w:r>
      <w:r w:rsidRPr="005825E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7F1E87">
        <w:rPr>
          <w:rFonts w:ascii="Times New Roman" w:hAnsi="Times New Roman" w:cs="Times New Roman"/>
          <w:b/>
          <w:color w:val="000000"/>
          <w:sz w:val="24"/>
          <w:szCs w:val="24"/>
        </w:rPr>
        <w:t>Количество</w:t>
      </w:r>
      <w:r w:rsidR="001C122D" w:rsidRPr="007F1E8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заключенных страховых договоров, в регионах Северо-Западного федерального округа, ед.</w:t>
      </w:r>
    </w:p>
    <w:p w:rsidR="007F1E87" w:rsidRPr="007F1E87" w:rsidRDefault="007F1E87" w:rsidP="005825E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C122D" w:rsidRPr="005825E8" w:rsidRDefault="004E2294" w:rsidP="005825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25E8">
        <w:rPr>
          <w:rFonts w:ascii="Times New Roman" w:hAnsi="Times New Roman" w:cs="Times New Roman"/>
          <w:color w:val="000000"/>
          <w:sz w:val="24"/>
          <w:szCs w:val="24"/>
        </w:rPr>
        <w:t xml:space="preserve">Поведение исследуемого показателя в </w:t>
      </w:r>
      <w:r w:rsidR="002C3A7F" w:rsidRPr="005825E8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Pr="005825E8">
        <w:rPr>
          <w:rFonts w:ascii="Times New Roman" w:hAnsi="Times New Roman" w:cs="Times New Roman"/>
          <w:color w:val="000000"/>
          <w:sz w:val="24"/>
          <w:szCs w:val="24"/>
        </w:rPr>
        <w:t>Санкт-Петербурге не характеризуется устойчивым состоянием, в период 2019-2020 г. количественный показатель страховых договоров  уменьшается.  Стоит отметить, что тренд поведения показателя дублирует общероссийские изменения (рисунок 2).</w:t>
      </w:r>
    </w:p>
    <w:p w:rsidR="00A415D0" w:rsidRPr="001C122D" w:rsidRDefault="00A415D0" w:rsidP="001C122D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415D0">
        <w:rPr>
          <w:rFonts w:ascii="Times New Roman" w:hAnsi="Times New Roman" w:cs="Times New Roman"/>
          <w:noProof/>
          <w:color w:val="000000"/>
          <w:sz w:val="28"/>
          <w:szCs w:val="28"/>
        </w:rPr>
        <w:drawing>
          <wp:inline distT="0" distB="0" distL="0" distR="0">
            <wp:extent cx="5566410" cy="2286000"/>
            <wp:effectExtent l="19050" t="0" r="15240" b="0"/>
            <wp:docPr id="6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123131" w:rsidRDefault="00A415D0" w:rsidP="005825E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F1E87">
        <w:rPr>
          <w:rFonts w:ascii="Times New Roman" w:hAnsi="Times New Roman" w:cs="Times New Roman"/>
          <w:color w:val="000000"/>
          <w:sz w:val="24"/>
          <w:szCs w:val="24"/>
        </w:rPr>
        <w:t>Рис</w:t>
      </w:r>
      <w:r w:rsidR="007F1E87" w:rsidRPr="007F1E87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7F1E8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E0EF6" w:rsidRPr="007F1E8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7F1E8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7F1E87">
        <w:rPr>
          <w:rFonts w:ascii="Times New Roman" w:hAnsi="Times New Roman" w:cs="Times New Roman"/>
          <w:b/>
          <w:color w:val="000000"/>
          <w:sz w:val="24"/>
          <w:szCs w:val="24"/>
        </w:rPr>
        <w:t>Количество заключенных страховых договоров, в Российской Федерации, ед.</w:t>
      </w:r>
    </w:p>
    <w:p w:rsidR="007F1E87" w:rsidRPr="007F1E87" w:rsidRDefault="007F1E87" w:rsidP="005825E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2C3A7F" w:rsidRPr="005825E8" w:rsidRDefault="002C3A7F" w:rsidP="005825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25E8">
        <w:rPr>
          <w:rFonts w:ascii="Times New Roman" w:hAnsi="Times New Roman" w:cs="Times New Roman"/>
          <w:color w:val="000000"/>
          <w:sz w:val="24"/>
          <w:szCs w:val="24"/>
        </w:rPr>
        <w:t>Полученные результаты</w:t>
      </w:r>
      <w:r w:rsidR="00A1062D" w:rsidRPr="005825E8">
        <w:rPr>
          <w:rFonts w:ascii="Times New Roman" w:hAnsi="Times New Roman" w:cs="Times New Roman"/>
          <w:color w:val="000000"/>
          <w:sz w:val="24"/>
          <w:szCs w:val="24"/>
        </w:rPr>
        <w:t xml:space="preserve"> по показателю количество заключенных страховых договоров, по Российской Федерации и г. Санк</w:t>
      </w:r>
      <w:r w:rsidR="003E0EF6" w:rsidRPr="005825E8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="00A1062D" w:rsidRPr="005825E8">
        <w:rPr>
          <w:rFonts w:ascii="Times New Roman" w:hAnsi="Times New Roman" w:cs="Times New Roman"/>
          <w:color w:val="000000"/>
          <w:sz w:val="24"/>
          <w:szCs w:val="24"/>
        </w:rPr>
        <w:t xml:space="preserve">-Петербургу повторяют основные тенденции </w:t>
      </w:r>
      <w:r w:rsidRPr="005825E8">
        <w:rPr>
          <w:rFonts w:ascii="Times New Roman" w:hAnsi="Times New Roman" w:cs="Times New Roman"/>
          <w:color w:val="000000"/>
          <w:sz w:val="24"/>
          <w:szCs w:val="24"/>
        </w:rPr>
        <w:t>поведения исследуемого показателя</w:t>
      </w:r>
      <w:r w:rsidR="00A1062D" w:rsidRPr="005825E8">
        <w:rPr>
          <w:rFonts w:ascii="Times New Roman" w:hAnsi="Times New Roman" w:cs="Times New Roman"/>
          <w:color w:val="000000"/>
          <w:sz w:val="24"/>
          <w:szCs w:val="24"/>
        </w:rPr>
        <w:t>. Данное совпадение может быть объяснено</w:t>
      </w:r>
      <w:r w:rsidRPr="005825E8">
        <w:rPr>
          <w:rFonts w:ascii="Times New Roman" w:hAnsi="Times New Roman" w:cs="Times New Roman"/>
          <w:color w:val="000000"/>
          <w:sz w:val="24"/>
          <w:szCs w:val="24"/>
        </w:rPr>
        <w:t xml:space="preserve"> преобладанием в общероссийском массиве </w:t>
      </w:r>
      <w:r w:rsidR="00A1062D" w:rsidRPr="005825E8">
        <w:rPr>
          <w:rFonts w:ascii="Times New Roman" w:hAnsi="Times New Roman" w:cs="Times New Roman"/>
          <w:color w:val="000000"/>
          <w:sz w:val="24"/>
          <w:szCs w:val="24"/>
        </w:rPr>
        <w:t xml:space="preserve">столичных мегаполисов и наибольшим количественным состоянием страховых договоров в данных городах. </w:t>
      </w:r>
    </w:p>
    <w:p w:rsidR="00A1062D" w:rsidRPr="005825E8" w:rsidRDefault="00A1062D" w:rsidP="005825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25E8">
        <w:rPr>
          <w:rFonts w:ascii="Times New Roman" w:hAnsi="Times New Roman" w:cs="Times New Roman"/>
          <w:color w:val="000000"/>
          <w:sz w:val="24"/>
          <w:szCs w:val="24"/>
        </w:rPr>
        <w:t>Убрав из исследуемого массива г. Санкт-Петербург, получаем более содержательную картину, позволяющую оценить положение регионов СЗФО по исследуемому показателю (рисунок 2).</w:t>
      </w:r>
    </w:p>
    <w:p w:rsidR="00A1062D" w:rsidRDefault="00A1062D" w:rsidP="002C3A7F">
      <w:pPr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A1062D">
        <w:rPr>
          <w:rFonts w:ascii="Times New Roman" w:hAnsi="Times New Roman" w:cs="Times New Roman"/>
          <w:b/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5942965" cy="2306320"/>
            <wp:effectExtent l="19050" t="0" r="19685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F075F0" w:rsidRDefault="00F075F0" w:rsidP="005825E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F1E87">
        <w:rPr>
          <w:rFonts w:ascii="Times New Roman" w:hAnsi="Times New Roman" w:cs="Times New Roman"/>
          <w:color w:val="000000"/>
          <w:sz w:val="24"/>
          <w:szCs w:val="24"/>
        </w:rPr>
        <w:t>Рис</w:t>
      </w:r>
      <w:r w:rsidR="007F1E87" w:rsidRPr="007F1E87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7F1E8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E0EF6" w:rsidRPr="007F1E87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7F1E87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5825E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7F1E87">
        <w:rPr>
          <w:rFonts w:ascii="Times New Roman" w:hAnsi="Times New Roman" w:cs="Times New Roman"/>
          <w:b/>
          <w:color w:val="000000"/>
          <w:sz w:val="24"/>
          <w:szCs w:val="24"/>
        </w:rPr>
        <w:t>Количество заключенных страховых договоров, в СЗФО без г. Санкт-Петербурга, ед.</w:t>
      </w:r>
    </w:p>
    <w:p w:rsidR="007F1E87" w:rsidRPr="007F1E87" w:rsidRDefault="007F1E87" w:rsidP="005825E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3E0EF6" w:rsidRPr="005825E8" w:rsidRDefault="003E0EF6" w:rsidP="005825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25E8">
        <w:rPr>
          <w:rFonts w:ascii="Times New Roman" w:hAnsi="Times New Roman" w:cs="Times New Roman"/>
          <w:color w:val="000000"/>
          <w:sz w:val="24"/>
          <w:szCs w:val="24"/>
        </w:rPr>
        <w:t xml:space="preserve">В контексте оценки регионов СЗФО и исключения из объектов анализа г. Санкт-Петербурга выделяется Архангельская область, которая сравнительно преобладает в совокупности рассматриваемых территорий. В отличие от лидирующего столичного мегаполиса Архангельская область демонстрирует иную тенденцию, нежели общероссийская динамика и динамика г. Санкт-Петербурга.  Начиная с 2019 г. </w:t>
      </w:r>
      <w:r w:rsidR="005825E8" w:rsidRPr="005825E8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Pr="005825E8">
        <w:rPr>
          <w:rFonts w:ascii="Times New Roman" w:hAnsi="Times New Roman" w:cs="Times New Roman"/>
          <w:color w:val="000000"/>
          <w:sz w:val="24"/>
          <w:szCs w:val="24"/>
        </w:rPr>
        <w:t xml:space="preserve"> Архангельской области наблюдается устойчивое снижение количественных показателей заключенных страховых договоров</w:t>
      </w:r>
      <w:r w:rsidR="005825E8" w:rsidRPr="005825E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825E8" w:rsidRPr="005825E8" w:rsidRDefault="005825E8" w:rsidP="005825E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25E8">
        <w:rPr>
          <w:rFonts w:ascii="Times New Roman" w:hAnsi="Times New Roman" w:cs="Times New Roman"/>
          <w:color w:val="000000"/>
          <w:sz w:val="24"/>
          <w:szCs w:val="24"/>
        </w:rPr>
        <w:t>Убрав из исследуемого массива г. Санкт-Петербург и Архангельскую область  получаем сложившее положение по оставшимся регионам СЗФО по исследуемому показателю (рисунок 3).</w:t>
      </w:r>
    </w:p>
    <w:p w:rsidR="005825E8" w:rsidRDefault="005825E8" w:rsidP="005825E8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825E8">
        <w:rPr>
          <w:rFonts w:ascii="Times New Roman" w:hAnsi="Times New Roman" w:cs="Times New Roman"/>
          <w:noProof/>
          <w:color w:val="000000"/>
          <w:sz w:val="28"/>
          <w:szCs w:val="28"/>
        </w:rPr>
        <w:drawing>
          <wp:inline distT="0" distB="0" distL="0" distR="0">
            <wp:extent cx="5942965" cy="2072640"/>
            <wp:effectExtent l="19050" t="0" r="19685" b="3810"/>
            <wp:docPr id="2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5825E8" w:rsidRPr="005825E8" w:rsidRDefault="005825E8" w:rsidP="005825E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825E8">
        <w:rPr>
          <w:rFonts w:ascii="Times New Roman" w:hAnsi="Times New Roman" w:cs="Times New Roman"/>
          <w:b/>
          <w:color w:val="000000"/>
          <w:sz w:val="24"/>
          <w:szCs w:val="24"/>
        </w:rPr>
        <w:t>Рис</w:t>
      </w:r>
      <w:r w:rsidR="007F1E87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5825E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4. </w:t>
      </w:r>
      <w:r w:rsidRPr="007F1E87">
        <w:rPr>
          <w:rFonts w:ascii="Times New Roman" w:hAnsi="Times New Roman" w:cs="Times New Roman"/>
          <w:b/>
          <w:color w:val="000000"/>
          <w:sz w:val="24"/>
          <w:szCs w:val="24"/>
        </w:rPr>
        <w:t>Количество заключенных страховых договоров, в СЗФО без г. Санкт-Петербурга, Архангельской области, ед</w:t>
      </w:r>
      <w:r w:rsidRPr="005825E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123131" w:rsidRPr="00CC5A7A" w:rsidRDefault="00123131" w:rsidP="00CC5A7A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123131" w:rsidRDefault="007F1E87" w:rsidP="007F1E8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F1E87">
        <w:rPr>
          <w:rFonts w:ascii="Times New Roman" w:hAnsi="Times New Roman" w:cs="Times New Roman"/>
          <w:color w:val="000000"/>
          <w:sz w:val="24"/>
          <w:szCs w:val="24"/>
        </w:rPr>
        <w:t xml:space="preserve">Полученные результаты показывают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снижение количества заключенных страховых договоров </w:t>
      </w:r>
      <w:r w:rsidR="00934BF7">
        <w:rPr>
          <w:rFonts w:ascii="Times New Roman" w:hAnsi="Times New Roman" w:cs="Times New Roman"/>
          <w:color w:val="000000"/>
          <w:sz w:val="24"/>
          <w:szCs w:val="24"/>
        </w:rPr>
        <w:t xml:space="preserve">по большинству территориальных образований Северо-Западного федерального округа. </w:t>
      </w:r>
    </w:p>
    <w:p w:rsidR="00A23E08" w:rsidRDefault="00A23E08" w:rsidP="007F1E8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В рамках оценки количественных показателей заключенных договоров особе внимание уделяется различным сегментам страхования. В рамках проведения анализа по количеству договоров рассматривается 2 основных сегмента: страхование, относящиеся к личному страхованию (жизнь), и страхование, не относящиеся к личному страхованию (не жизнь)</w:t>
      </w:r>
      <w:r w:rsidR="00AA086C">
        <w:rPr>
          <w:rFonts w:ascii="Times New Roman" w:hAnsi="Times New Roman" w:cs="Times New Roman"/>
          <w:color w:val="000000"/>
          <w:sz w:val="24"/>
          <w:szCs w:val="24"/>
        </w:rPr>
        <w:t>. Российский страховой рынок характеризуется</w:t>
      </w:r>
      <w:r w:rsidR="00394C12">
        <w:rPr>
          <w:rFonts w:ascii="Times New Roman" w:hAnsi="Times New Roman" w:cs="Times New Roman"/>
          <w:color w:val="000000"/>
          <w:sz w:val="24"/>
          <w:szCs w:val="24"/>
        </w:rPr>
        <w:t xml:space="preserve"> сменой</w:t>
      </w:r>
      <w:r w:rsidR="00AA086C">
        <w:rPr>
          <w:rFonts w:ascii="Times New Roman" w:hAnsi="Times New Roman" w:cs="Times New Roman"/>
          <w:color w:val="000000"/>
          <w:sz w:val="24"/>
          <w:szCs w:val="24"/>
        </w:rPr>
        <w:t xml:space="preserve"> тенденций,  </w:t>
      </w:r>
      <w:r w:rsidR="00394C12">
        <w:rPr>
          <w:rFonts w:ascii="Times New Roman" w:hAnsi="Times New Roman" w:cs="Times New Roman"/>
          <w:color w:val="000000"/>
          <w:sz w:val="24"/>
          <w:szCs w:val="24"/>
        </w:rPr>
        <w:t>реагируя</w:t>
      </w:r>
      <w:r w:rsidR="00AA086C">
        <w:rPr>
          <w:rFonts w:ascii="Times New Roman" w:hAnsi="Times New Roman" w:cs="Times New Roman"/>
          <w:color w:val="000000"/>
          <w:sz w:val="24"/>
          <w:szCs w:val="24"/>
        </w:rPr>
        <w:t xml:space="preserve"> на ситуацию, сложившуюся в экономике.</w:t>
      </w:r>
      <w:r w:rsidR="00394C12">
        <w:rPr>
          <w:rFonts w:ascii="Times New Roman" w:hAnsi="Times New Roman" w:cs="Times New Roman"/>
          <w:color w:val="000000"/>
          <w:sz w:val="24"/>
          <w:szCs w:val="24"/>
        </w:rPr>
        <w:t xml:space="preserve"> В исследовательский период попадает пандемия </w:t>
      </w:r>
      <w:r w:rsidR="00CC5A7A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COVID</w:t>
      </w:r>
      <w:r w:rsidR="00394C12">
        <w:rPr>
          <w:rFonts w:ascii="Times New Roman" w:hAnsi="Times New Roman" w:cs="Times New Roman"/>
          <w:color w:val="000000"/>
          <w:sz w:val="24"/>
          <w:szCs w:val="24"/>
        </w:rPr>
        <w:t>-19, которая воздействует на показатели страховой активности.  В рамках данного исследования рассмотрено количество заключенных договоров в различных сегментах страхового рынка в 2021 г.  (таблица 1).</w:t>
      </w:r>
    </w:p>
    <w:p w:rsidR="00CC5A7A" w:rsidRDefault="00CC5A7A" w:rsidP="007F1E8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394C12" w:rsidRDefault="00394C12" w:rsidP="00CC5A7A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Таблица 1</w:t>
      </w:r>
      <w:r w:rsidR="00CC5A7A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CC5A7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Количество заключенных договоров в различных сегментах страховой деятельности </w:t>
      </w:r>
      <w:r w:rsidR="00CC5A7A" w:rsidRPr="00CC5A7A">
        <w:rPr>
          <w:rFonts w:ascii="Times New Roman" w:hAnsi="Times New Roman" w:cs="Times New Roman"/>
          <w:b/>
          <w:color w:val="000000"/>
          <w:sz w:val="24"/>
          <w:szCs w:val="24"/>
        </w:rPr>
        <w:t>в</w:t>
      </w:r>
      <w:r w:rsidRPr="00CC5A7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Российской Федерации, 2021 г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tbl>
      <w:tblPr>
        <w:tblW w:w="9644" w:type="dxa"/>
        <w:tblInd w:w="103" w:type="dxa"/>
        <w:tblLayout w:type="fixed"/>
        <w:tblLook w:val="04A0"/>
      </w:tblPr>
      <w:tblGrid>
        <w:gridCol w:w="3266"/>
        <w:gridCol w:w="1317"/>
        <w:gridCol w:w="3374"/>
        <w:gridCol w:w="1687"/>
      </w:tblGrid>
      <w:tr w:rsidR="00394C12" w:rsidRPr="00394C12" w:rsidTr="00394C12">
        <w:trPr>
          <w:trHeight w:val="300"/>
        </w:trPr>
        <w:tc>
          <w:tcPr>
            <w:tcW w:w="4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703B9A" w:rsidP="00394C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03B9A">
              <w:rPr>
                <w:rFonts w:ascii="Times New Roman" w:eastAsia="Times New Roman" w:hAnsi="Times New Roman" w:cs="Times New Roman"/>
                <w:color w:val="000000"/>
              </w:rPr>
              <w:t>сегмент страхования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394C12">
              <w:rPr>
                <w:rFonts w:ascii="Times New Roman" w:eastAsia="Times New Roman" w:hAnsi="Times New Roman" w:cs="Times New Roman"/>
                <w:color w:val="000000"/>
              </w:rPr>
              <w:t>«</w:t>
            </w:r>
            <w:r w:rsidR="00394C12" w:rsidRPr="00394C12">
              <w:rPr>
                <w:rFonts w:ascii="Times New Roman" w:eastAsia="Times New Roman" w:hAnsi="Times New Roman" w:cs="Times New Roman"/>
                <w:color w:val="000000"/>
              </w:rPr>
              <w:t>Не</w:t>
            </w:r>
            <w:r w:rsidR="00394C12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394C12" w:rsidRPr="00394C12">
              <w:rPr>
                <w:rFonts w:ascii="Times New Roman" w:eastAsia="Times New Roman" w:hAnsi="Times New Roman" w:cs="Times New Roman"/>
                <w:color w:val="000000"/>
              </w:rPr>
              <w:t>жизнь</w:t>
            </w:r>
            <w:r w:rsidR="00394C12">
              <w:rPr>
                <w:rFonts w:ascii="Times New Roman" w:eastAsia="Times New Roman" w:hAnsi="Times New Roman" w:cs="Times New Roman"/>
                <w:color w:val="000000"/>
              </w:rPr>
              <w:t>»</w:t>
            </w:r>
          </w:p>
        </w:tc>
        <w:tc>
          <w:tcPr>
            <w:tcW w:w="50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703B9A" w:rsidP="00394C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03B9A">
              <w:rPr>
                <w:rFonts w:ascii="Times New Roman" w:eastAsia="Times New Roman" w:hAnsi="Times New Roman" w:cs="Times New Roman"/>
                <w:color w:val="000000"/>
              </w:rPr>
              <w:t>сегмент страхования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394C12">
              <w:rPr>
                <w:rFonts w:ascii="Times New Roman" w:eastAsia="Times New Roman" w:hAnsi="Times New Roman" w:cs="Times New Roman"/>
                <w:color w:val="000000"/>
              </w:rPr>
              <w:t>«</w:t>
            </w:r>
            <w:r w:rsidR="00394C12" w:rsidRPr="00394C12">
              <w:rPr>
                <w:rFonts w:ascii="Times New Roman" w:eastAsia="Times New Roman" w:hAnsi="Times New Roman" w:cs="Times New Roman"/>
                <w:color w:val="000000"/>
              </w:rPr>
              <w:t>жизнь</w:t>
            </w:r>
            <w:r w:rsidR="00394C12">
              <w:rPr>
                <w:rFonts w:ascii="Times New Roman" w:eastAsia="Times New Roman" w:hAnsi="Times New Roman" w:cs="Times New Roman"/>
                <w:color w:val="000000"/>
              </w:rPr>
              <w:t>»</w:t>
            </w:r>
          </w:p>
        </w:tc>
      </w:tr>
      <w:tr w:rsidR="00394C12" w:rsidRPr="00394C12" w:rsidTr="00394C12">
        <w:trPr>
          <w:trHeight w:val="30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Лидирующие страховые компании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94C12" w:rsidRPr="00394C12" w:rsidRDefault="00394C12" w:rsidP="00394C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Количество страховых договоров</w:t>
            </w:r>
          </w:p>
        </w:tc>
        <w:tc>
          <w:tcPr>
            <w:tcW w:w="3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121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Лидирующие страховые компании</w:t>
            </w:r>
          </w:p>
        </w:tc>
        <w:tc>
          <w:tcPr>
            <w:tcW w:w="1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94C12" w:rsidRPr="00394C12" w:rsidRDefault="00394C12" w:rsidP="00121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Количество страховых договоров</w:t>
            </w:r>
          </w:p>
        </w:tc>
      </w:tr>
      <w:tr w:rsidR="00394C12" w:rsidRPr="00394C12" w:rsidTr="00394C12">
        <w:trPr>
          <w:trHeight w:val="315"/>
        </w:trPr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АльфаСтрахование – Жизнь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72498884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ПАО СК «Росгосстрах»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1961535</w:t>
            </w:r>
          </w:p>
        </w:tc>
      </w:tr>
      <w:tr w:rsidR="00394C12" w:rsidRPr="00394C12" w:rsidTr="00394C12">
        <w:trPr>
          <w:trHeight w:val="315"/>
        </w:trPr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САО «ВСК»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29623805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Сбербанк страхование жизни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1929045</w:t>
            </w:r>
          </w:p>
        </w:tc>
      </w:tr>
      <w:tr w:rsidR="00394C12" w:rsidRPr="00394C12" w:rsidTr="00394C12">
        <w:trPr>
          <w:trHeight w:val="315"/>
        </w:trPr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ПАО СК «Росгосстрах»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18474855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АльфаСтрахование – Жизнь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1285847</w:t>
            </w:r>
          </w:p>
        </w:tc>
      </w:tr>
      <w:tr w:rsidR="00394C12" w:rsidRPr="00394C12" w:rsidTr="00394C12">
        <w:trPr>
          <w:trHeight w:val="315"/>
        </w:trPr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САО «РЕСО-Гарантия»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14363071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ООО "Капитал Лайф Страхование Жизни"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217547</w:t>
            </w:r>
          </w:p>
        </w:tc>
      </w:tr>
      <w:tr w:rsidR="00394C12" w:rsidRPr="00394C12" w:rsidTr="00394C12">
        <w:trPr>
          <w:trHeight w:val="315"/>
        </w:trPr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СК СОГАЗ-Жизнь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13011741</w:t>
            </w:r>
          </w:p>
        </w:tc>
        <w:tc>
          <w:tcPr>
            <w:tcW w:w="3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СК СОГАЗ-Жизнь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4C12" w:rsidRPr="00394C12" w:rsidRDefault="00394C12" w:rsidP="00394C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139870</w:t>
            </w:r>
          </w:p>
        </w:tc>
      </w:tr>
    </w:tbl>
    <w:p w:rsidR="00394C12" w:rsidRDefault="00CC5A7A" w:rsidP="007F1E8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*Источник: </w:t>
      </w:r>
      <w:hyperlink r:id="rId12" w:history="1">
        <w:r w:rsidRPr="00E84079">
          <w:rPr>
            <w:rStyle w:val="a8"/>
            <w:rFonts w:ascii="Times New Roman" w:hAnsi="Times New Roman" w:cs="Times New Roman"/>
            <w:i/>
            <w:sz w:val="24"/>
            <w:szCs w:val="24"/>
          </w:rPr>
          <w:t>https://calmins.com/dynamics-of-the-insurance-market</w:t>
        </w:r>
      </w:hyperlink>
    </w:p>
    <w:p w:rsidR="00CC5A7A" w:rsidRDefault="00CC5A7A" w:rsidP="007F1E8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:rsidR="00CC5A7A" w:rsidRDefault="00CC5A7A" w:rsidP="007F1E8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Республика Карелия  в  контексте заключенных страховых договоров демонстрирует неустойчивую динамику. Страховые организации, реагируя на трансформацию экономической системы, изменяют количественные показатели заключенных страховых договоров (таблица 2).</w:t>
      </w:r>
    </w:p>
    <w:p w:rsidR="00703B9A" w:rsidRDefault="00703B9A" w:rsidP="007F1E8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03B9A" w:rsidRDefault="00703B9A" w:rsidP="00703B9A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Таблица 2. </w:t>
      </w:r>
      <w:r w:rsidRPr="00CC5A7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Количество заключенных договоров в различных сегментах страховой деятельности в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Республике Карелия</w:t>
      </w:r>
      <w:r w:rsidRPr="00CC5A7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2018 - </w:t>
      </w:r>
      <w:r w:rsidRPr="00CC5A7A">
        <w:rPr>
          <w:rFonts w:ascii="Times New Roman" w:hAnsi="Times New Roman" w:cs="Times New Roman"/>
          <w:b/>
          <w:color w:val="000000"/>
          <w:sz w:val="24"/>
          <w:szCs w:val="24"/>
        </w:rPr>
        <w:t>2021 г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г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tbl>
      <w:tblPr>
        <w:tblW w:w="9678" w:type="dxa"/>
        <w:tblInd w:w="100" w:type="dxa"/>
        <w:tblLook w:val="04A0"/>
      </w:tblPr>
      <w:tblGrid>
        <w:gridCol w:w="2418"/>
        <w:gridCol w:w="616"/>
        <w:gridCol w:w="616"/>
        <w:gridCol w:w="616"/>
        <w:gridCol w:w="616"/>
        <w:gridCol w:w="1932"/>
        <w:gridCol w:w="716"/>
        <w:gridCol w:w="716"/>
        <w:gridCol w:w="716"/>
        <w:gridCol w:w="716"/>
      </w:tblGrid>
      <w:tr w:rsidR="00703B9A" w:rsidRPr="00CC5A7A" w:rsidTr="00703B9A">
        <w:trPr>
          <w:trHeight w:val="300"/>
        </w:trPr>
        <w:tc>
          <w:tcPr>
            <w:tcW w:w="48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3B9A" w:rsidRPr="00394C12" w:rsidRDefault="00703B9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03B9A">
              <w:rPr>
                <w:rFonts w:ascii="Times New Roman" w:eastAsia="Times New Roman" w:hAnsi="Times New Roman" w:cs="Times New Roman"/>
                <w:color w:val="000000"/>
              </w:rPr>
              <w:t>сегмент страхования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«</w:t>
            </w: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Не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жизнь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»</w:t>
            </w:r>
          </w:p>
        </w:tc>
        <w:tc>
          <w:tcPr>
            <w:tcW w:w="479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3B9A" w:rsidRPr="00394C12" w:rsidRDefault="00703B9A" w:rsidP="00121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703B9A">
              <w:rPr>
                <w:rFonts w:ascii="Times New Roman" w:eastAsia="Times New Roman" w:hAnsi="Times New Roman" w:cs="Times New Roman"/>
                <w:color w:val="000000"/>
              </w:rPr>
              <w:t>сегмент страхования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«</w:t>
            </w:r>
            <w:r w:rsidRPr="00394C12">
              <w:rPr>
                <w:rFonts w:ascii="Times New Roman" w:eastAsia="Times New Roman" w:hAnsi="Times New Roman" w:cs="Times New Roman"/>
                <w:color w:val="000000"/>
              </w:rPr>
              <w:t>жизнь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»</w:t>
            </w:r>
          </w:p>
        </w:tc>
      </w:tr>
      <w:tr w:rsidR="00CC5A7A" w:rsidRPr="00CC5A7A" w:rsidTr="00703B9A">
        <w:trPr>
          <w:trHeight w:val="300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2019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2019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2021</w:t>
            </w:r>
          </w:p>
        </w:tc>
      </w:tr>
      <w:tr w:rsidR="00CC5A7A" w:rsidRPr="00CC5A7A" w:rsidTr="00703B9A">
        <w:trPr>
          <w:trHeight w:val="300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Сбербанк страхование жизни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6435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7303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7909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7927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ПАО СК «Росгосстрах»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93645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86700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89636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89579</w:t>
            </w:r>
          </w:p>
        </w:tc>
      </w:tr>
      <w:tr w:rsidR="00CC5A7A" w:rsidRPr="00CC5A7A" w:rsidTr="00703B9A">
        <w:trPr>
          <w:trHeight w:val="300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ООО"ППФ СТРАХОВАНИЕ ЖИЗНИ"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712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830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719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945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САО «РЕСО-Гарантия»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75610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67104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64209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65800</w:t>
            </w:r>
          </w:p>
        </w:tc>
      </w:tr>
      <w:tr w:rsidR="00CC5A7A" w:rsidRPr="00CC5A7A" w:rsidTr="00703B9A">
        <w:trPr>
          <w:trHeight w:val="300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СК СОГАЗ-Жизнь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703B9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283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504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458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АльфаСтрахование – Жизнь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73478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72928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52164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60910</w:t>
            </w:r>
          </w:p>
        </w:tc>
      </w:tr>
      <w:tr w:rsidR="00CC5A7A" w:rsidRPr="00CC5A7A" w:rsidTr="00703B9A">
        <w:trPr>
          <w:trHeight w:val="315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ООО "Капитал Лайф Страхование Жизни"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2132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771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463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410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СК СОГАЗ-Жизнь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29600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30134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30573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24344</w:t>
            </w:r>
          </w:p>
        </w:tc>
      </w:tr>
      <w:tr w:rsidR="00CC5A7A" w:rsidRPr="00CC5A7A" w:rsidTr="00703B9A">
        <w:trPr>
          <w:trHeight w:val="300"/>
        </w:trPr>
        <w:tc>
          <w:tcPr>
            <w:tcW w:w="2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АО «МАКС-М»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242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215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703B9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ПАО "САК "ЭНЕРГОГАРАНТ"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30981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27584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23579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A7A" w:rsidRPr="00CC5A7A" w:rsidRDefault="00CC5A7A" w:rsidP="00703B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C5A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24314</w:t>
            </w:r>
          </w:p>
        </w:tc>
      </w:tr>
    </w:tbl>
    <w:p w:rsidR="00703B9A" w:rsidRDefault="00703B9A" w:rsidP="00703B9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*Источник: </w:t>
      </w:r>
      <w:hyperlink r:id="rId13" w:history="1">
        <w:r w:rsidRPr="00E84079">
          <w:rPr>
            <w:rStyle w:val="a8"/>
            <w:rFonts w:ascii="Times New Roman" w:hAnsi="Times New Roman" w:cs="Times New Roman"/>
            <w:i/>
            <w:sz w:val="24"/>
            <w:szCs w:val="24"/>
          </w:rPr>
          <w:t>https://calmins.com/dynamics-of-the-insurance-market</w:t>
        </w:r>
      </w:hyperlink>
    </w:p>
    <w:p w:rsidR="00703B9A" w:rsidRDefault="00703B9A" w:rsidP="00703B9A">
      <w:pPr>
        <w:spacing w:after="0" w:line="240" w:lineRule="auto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:rsidR="00703B9A" w:rsidRPr="00703B9A" w:rsidRDefault="00703B9A" w:rsidP="00703B9A">
      <w:pPr>
        <w:pStyle w:val="a9"/>
        <w:tabs>
          <w:tab w:val="left" w:pos="8101"/>
        </w:tabs>
        <w:ind w:left="398" w:right="250" w:firstLine="709"/>
        <w:jc w:val="both"/>
        <w:rPr>
          <w:color w:val="000000"/>
          <w:sz w:val="24"/>
          <w:szCs w:val="24"/>
        </w:rPr>
      </w:pPr>
      <w:r w:rsidRPr="00703B9A">
        <w:rPr>
          <w:color w:val="000000"/>
          <w:sz w:val="24"/>
          <w:szCs w:val="24"/>
        </w:rPr>
        <w:t>Полученные результаты</w:t>
      </w:r>
      <w:r>
        <w:rPr>
          <w:color w:val="000000"/>
          <w:sz w:val="24"/>
          <w:szCs w:val="24"/>
        </w:rPr>
        <w:t xml:space="preserve">  по Республике Карелия по показателю заключенных страховых договоров определили сравнительно высокий уровень активности страховых компаний в страховом сегменте «жизнь», что обеспечивается обязательными направлениями данного сегмента. Однако, в страховом сегменте «не жизнь» заключенных дого</w:t>
      </w:r>
      <w:r w:rsidR="000E1AC0">
        <w:rPr>
          <w:color w:val="000000"/>
          <w:sz w:val="24"/>
          <w:szCs w:val="24"/>
        </w:rPr>
        <w:t>во</w:t>
      </w:r>
      <w:r>
        <w:rPr>
          <w:color w:val="000000"/>
          <w:sz w:val="24"/>
          <w:szCs w:val="24"/>
        </w:rPr>
        <w:t xml:space="preserve">ров </w:t>
      </w:r>
      <w:r w:rsidR="000E1AC0">
        <w:rPr>
          <w:color w:val="000000"/>
          <w:sz w:val="24"/>
          <w:szCs w:val="24"/>
        </w:rPr>
        <w:t>сравнительно меньше, но наблюдается тенденций к увеличению их количественных показателей.</w:t>
      </w:r>
    </w:p>
    <w:p w:rsidR="000E1AC0" w:rsidRDefault="00703B9A" w:rsidP="00703B9A">
      <w:pPr>
        <w:pStyle w:val="a9"/>
        <w:tabs>
          <w:tab w:val="left" w:pos="8101"/>
        </w:tabs>
        <w:ind w:left="398" w:right="250" w:firstLine="709"/>
        <w:jc w:val="both"/>
        <w:rPr>
          <w:rFonts w:eastAsiaTheme="minorEastAsia"/>
          <w:color w:val="000000"/>
          <w:sz w:val="24"/>
          <w:szCs w:val="24"/>
          <w:lang w:eastAsia="ru-RU"/>
        </w:rPr>
      </w:pPr>
      <w:r w:rsidRPr="00703B9A">
        <w:rPr>
          <w:b/>
          <w:color w:val="000000"/>
          <w:sz w:val="24"/>
          <w:szCs w:val="24"/>
        </w:rPr>
        <w:t>Выводы</w:t>
      </w:r>
      <w:r>
        <w:rPr>
          <w:color w:val="000000"/>
          <w:sz w:val="24"/>
          <w:szCs w:val="24"/>
        </w:rPr>
        <w:t xml:space="preserve">. </w:t>
      </w:r>
      <w:r w:rsidR="00CC5A7A">
        <w:rPr>
          <w:color w:val="000000"/>
          <w:sz w:val="24"/>
          <w:szCs w:val="24"/>
        </w:rPr>
        <w:t xml:space="preserve"> </w:t>
      </w:r>
      <w:r w:rsidRPr="00703B9A">
        <w:rPr>
          <w:rFonts w:eastAsiaTheme="minorEastAsia"/>
          <w:color w:val="000000"/>
          <w:sz w:val="24"/>
          <w:szCs w:val="24"/>
          <w:lang w:eastAsia="ru-RU"/>
        </w:rPr>
        <w:t>Проведенный анализ деятельности страховой отрасли определил изменение</w:t>
      </w:r>
      <w:r w:rsidR="000E1AC0">
        <w:rPr>
          <w:rFonts w:eastAsiaTheme="minorEastAsia"/>
          <w:color w:val="000000"/>
          <w:sz w:val="24"/>
          <w:szCs w:val="24"/>
          <w:lang w:eastAsia="ru-RU"/>
        </w:rPr>
        <w:t xml:space="preserve"> ряда </w:t>
      </w:r>
      <w:r w:rsidRPr="00703B9A">
        <w:rPr>
          <w:rFonts w:eastAsiaTheme="minorEastAsia"/>
          <w:color w:val="000000"/>
          <w:sz w:val="24"/>
          <w:szCs w:val="24"/>
          <w:lang w:eastAsia="ru-RU"/>
        </w:rPr>
        <w:t xml:space="preserve"> направлений на деятельность рынка. </w:t>
      </w:r>
      <w:r w:rsidR="000E1AC0">
        <w:rPr>
          <w:rFonts w:eastAsiaTheme="minorEastAsia"/>
          <w:color w:val="000000"/>
          <w:sz w:val="24"/>
          <w:szCs w:val="24"/>
          <w:lang w:eastAsia="ru-RU"/>
        </w:rPr>
        <w:t>Экономическая ситуация в исследуемый период привела</w:t>
      </w:r>
      <w:r w:rsidRPr="00703B9A">
        <w:rPr>
          <w:rFonts w:eastAsiaTheme="minorEastAsia"/>
          <w:color w:val="000000"/>
          <w:sz w:val="24"/>
          <w:szCs w:val="24"/>
          <w:lang w:eastAsia="ru-RU"/>
        </w:rPr>
        <w:t xml:space="preserve"> к изменению</w:t>
      </w:r>
      <w:r w:rsidR="000E1AC0">
        <w:rPr>
          <w:rFonts w:eastAsiaTheme="minorEastAsia"/>
          <w:color w:val="000000"/>
          <w:sz w:val="24"/>
          <w:szCs w:val="24"/>
          <w:lang w:eastAsia="ru-RU"/>
        </w:rPr>
        <w:t xml:space="preserve"> отдельных направлений и положений функционирования </w:t>
      </w:r>
      <w:r w:rsidRPr="00703B9A">
        <w:rPr>
          <w:rFonts w:eastAsiaTheme="minorEastAsia"/>
          <w:color w:val="000000"/>
          <w:sz w:val="24"/>
          <w:szCs w:val="24"/>
          <w:lang w:eastAsia="ru-RU"/>
        </w:rPr>
        <w:t xml:space="preserve"> на финансовом рынке. </w:t>
      </w:r>
    </w:p>
    <w:p w:rsidR="000E1AC0" w:rsidRDefault="000E1AC0" w:rsidP="00703B9A">
      <w:pPr>
        <w:pStyle w:val="a9"/>
        <w:tabs>
          <w:tab w:val="left" w:pos="8101"/>
        </w:tabs>
        <w:ind w:left="398" w:right="250" w:firstLine="709"/>
        <w:jc w:val="both"/>
        <w:rPr>
          <w:rFonts w:eastAsiaTheme="minorEastAsia"/>
          <w:color w:val="000000"/>
          <w:sz w:val="24"/>
          <w:szCs w:val="24"/>
          <w:lang w:eastAsia="ru-RU"/>
        </w:rPr>
      </w:pPr>
      <w:r w:rsidRPr="000E1AC0">
        <w:rPr>
          <w:rFonts w:eastAsiaTheme="minorEastAsia"/>
          <w:color w:val="000000"/>
          <w:sz w:val="24"/>
          <w:szCs w:val="24"/>
          <w:lang w:eastAsia="ru-RU"/>
        </w:rPr>
        <w:t>Последствия ограничений</w:t>
      </w:r>
      <w:r>
        <w:rPr>
          <w:rFonts w:eastAsiaTheme="minorEastAsia"/>
          <w:color w:val="000000"/>
          <w:sz w:val="24"/>
          <w:szCs w:val="24"/>
          <w:lang w:eastAsia="ru-RU"/>
        </w:rPr>
        <w:t xml:space="preserve">, связанных с пандемией </w:t>
      </w:r>
      <w:r>
        <w:rPr>
          <w:rFonts w:eastAsiaTheme="minorEastAsia"/>
          <w:color w:val="000000"/>
          <w:sz w:val="24"/>
          <w:szCs w:val="24"/>
          <w:lang w:val="en-US" w:eastAsia="ru-RU"/>
        </w:rPr>
        <w:t>COVID</w:t>
      </w:r>
      <w:r w:rsidRPr="000E1AC0">
        <w:rPr>
          <w:rFonts w:eastAsiaTheme="minorEastAsia"/>
          <w:color w:val="000000"/>
          <w:sz w:val="24"/>
          <w:szCs w:val="24"/>
          <w:lang w:eastAsia="ru-RU"/>
        </w:rPr>
        <w:t>-19</w:t>
      </w:r>
      <w:r>
        <w:rPr>
          <w:rFonts w:eastAsiaTheme="minorEastAsia"/>
          <w:color w:val="000000"/>
          <w:sz w:val="24"/>
          <w:szCs w:val="24"/>
          <w:lang w:eastAsia="ru-RU"/>
        </w:rPr>
        <w:t xml:space="preserve">, трансформировали работу страхового рынка,  разработав новые дистанционные направления страховой деятельности, что позволило страховому рынку </w:t>
      </w:r>
      <w:r>
        <w:rPr>
          <w:rFonts w:eastAsiaTheme="minorEastAsia"/>
          <w:color w:val="000000"/>
          <w:sz w:val="24"/>
          <w:szCs w:val="24"/>
          <w:lang w:eastAsia="ru-RU"/>
        </w:rPr>
        <w:lastRenderedPageBreak/>
        <w:t xml:space="preserve">демонстрировать показатели экономического роста.  </w:t>
      </w:r>
    </w:p>
    <w:p w:rsidR="00CC5A7A" w:rsidRDefault="00703B9A" w:rsidP="00703B9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03B9A">
        <w:rPr>
          <w:rFonts w:ascii="Times New Roman" w:hAnsi="Times New Roman" w:cs="Times New Roman"/>
          <w:color w:val="000000"/>
          <w:sz w:val="24"/>
          <w:szCs w:val="24"/>
        </w:rPr>
        <w:t>Исследователи и эксперты предполагают</w:t>
      </w:r>
      <w:r w:rsidR="000E1AC0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703B9A">
        <w:rPr>
          <w:rFonts w:ascii="Times New Roman" w:hAnsi="Times New Roman" w:cs="Times New Roman"/>
          <w:color w:val="000000"/>
          <w:sz w:val="24"/>
          <w:szCs w:val="24"/>
        </w:rPr>
        <w:t xml:space="preserve"> что негативное влияние политической обстановки</w:t>
      </w:r>
      <w:r w:rsidR="000E1AC0">
        <w:rPr>
          <w:rFonts w:ascii="Times New Roman" w:hAnsi="Times New Roman" w:cs="Times New Roman"/>
          <w:color w:val="000000"/>
          <w:sz w:val="24"/>
          <w:szCs w:val="24"/>
        </w:rPr>
        <w:t>, связанной с операцией СВО и введенными санкциями,</w:t>
      </w:r>
      <w:r w:rsidRPr="00703B9A">
        <w:rPr>
          <w:rFonts w:ascii="Times New Roman" w:hAnsi="Times New Roman" w:cs="Times New Roman"/>
          <w:color w:val="000000"/>
          <w:sz w:val="24"/>
          <w:szCs w:val="24"/>
        </w:rPr>
        <w:t xml:space="preserve"> отразиться на </w:t>
      </w:r>
      <w:r w:rsidR="000E1AC0">
        <w:rPr>
          <w:rFonts w:ascii="Times New Roman" w:hAnsi="Times New Roman" w:cs="Times New Roman"/>
          <w:color w:val="000000"/>
          <w:sz w:val="24"/>
          <w:szCs w:val="24"/>
        </w:rPr>
        <w:t xml:space="preserve">отельных </w:t>
      </w:r>
      <w:r w:rsidRPr="00703B9A">
        <w:rPr>
          <w:rFonts w:ascii="Times New Roman" w:hAnsi="Times New Roman" w:cs="Times New Roman"/>
          <w:color w:val="000000"/>
          <w:sz w:val="24"/>
          <w:szCs w:val="24"/>
        </w:rPr>
        <w:t>направлени</w:t>
      </w:r>
      <w:r w:rsidR="000E1AC0">
        <w:rPr>
          <w:rFonts w:ascii="Times New Roman" w:hAnsi="Times New Roman" w:cs="Times New Roman"/>
          <w:color w:val="000000"/>
          <w:sz w:val="24"/>
          <w:szCs w:val="24"/>
        </w:rPr>
        <w:t>ях</w:t>
      </w:r>
      <w:r w:rsidRPr="00703B9A">
        <w:rPr>
          <w:rFonts w:ascii="Times New Roman" w:hAnsi="Times New Roman" w:cs="Times New Roman"/>
          <w:color w:val="000000"/>
          <w:sz w:val="24"/>
          <w:szCs w:val="24"/>
        </w:rPr>
        <w:t xml:space="preserve"> страхо</w:t>
      </w:r>
      <w:r w:rsidR="000E1AC0">
        <w:rPr>
          <w:rFonts w:ascii="Times New Roman" w:hAnsi="Times New Roman" w:cs="Times New Roman"/>
          <w:color w:val="000000"/>
          <w:sz w:val="24"/>
          <w:szCs w:val="24"/>
        </w:rPr>
        <w:t>вания</w:t>
      </w:r>
      <w:r w:rsidRPr="00703B9A">
        <w:rPr>
          <w:rFonts w:ascii="Times New Roman" w:hAnsi="Times New Roman" w:cs="Times New Roman"/>
          <w:color w:val="000000"/>
          <w:sz w:val="24"/>
          <w:szCs w:val="24"/>
        </w:rPr>
        <w:t>, ввиду сокращения потенциальных возможностей у населения.  Обязательные виды страхования, в сложившихся условиях будут иметь более низкий уровень ущерба, ввиду обязательности данного направления для отдельных видов деятельности и экономических процессов</w:t>
      </w:r>
      <w:r w:rsidR="000E1AC0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C5A7A" w:rsidRPr="00CC5A7A" w:rsidRDefault="00CC5A7A" w:rsidP="007F1E8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23131" w:rsidRDefault="00123131">
      <w:pPr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123131" w:rsidRDefault="00A23E08" w:rsidP="00A23E08">
      <w:pPr>
        <w:pStyle w:val="Pa3"/>
        <w:ind w:left="160"/>
        <w:jc w:val="both"/>
        <w:rPr>
          <w:rFonts w:ascii="Times New Roman" w:hAnsi="Times New Roman" w:cs="Times New Roman"/>
          <w:i/>
          <w:iCs/>
        </w:rPr>
      </w:pPr>
      <w:r w:rsidRPr="00A23E08">
        <w:rPr>
          <w:rFonts w:ascii="Times New Roman" w:hAnsi="Times New Roman" w:cs="Times New Roman"/>
          <w:b/>
          <w:bCs/>
        </w:rPr>
        <w:t xml:space="preserve">БЛАГОДАРНОСТЬ </w:t>
      </w:r>
      <w:r w:rsidRPr="00A23E08">
        <w:rPr>
          <w:rFonts w:ascii="Times New Roman" w:hAnsi="Times New Roman" w:cs="Times New Roman"/>
          <w:i/>
          <w:iCs/>
        </w:rPr>
        <w:t>Работа выполнена в рамках государственного задания Института экономики КарНЦ РАН «Комплексное исследование и разработка основ управления устойчивым развитием северного и приграничного поясов России в контексте глобальных вызовов».</w:t>
      </w:r>
    </w:p>
    <w:p w:rsidR="00703B9A" w:rsidRDefault="00703B9A" w:rsidP="00703B9A">
      <w:pPr>
        <w:pStyle w:val="Default"/>
      </w:pPr>
    </w:p>
    <w:p w:rsidR="00703B9A" w:rsidRPr="00703B9A" w:rsidRDefault="00703B9A" w:rsidP="00703B9A">
      <w:pPr>
        <w:pStyle w:val="Default"/>
        <w:jc w:val="center"/>
        <w:rPr>
          <w:b/>
        </w:rPr>
      </w:pPr>
      <w:r w:rsidRPr="00703B9A">
        <w:rPr>
          <w:b/>
        </w:rPr>
        <w:t>Список литературы</w:t>
      </w:r>
    </w:p>
    <w:p w:rsidR="00703B9A" w:rsidRPr="00703B9A" w:rsidRDefault="00703B9A" w:rsidP="00703B9A">
      <w:pPr>
        <w:pStyle w:val="Default"/>
      </w:pPr>
    </w:p>
    <w:p w:rsidR="00703B9A" w:rsidRDefault="00703B9A" w:rsidP="00703B9A">
      <w:pPr>
        <w:pStyle w:val="Default"/>
        <w:numPr>
          <w:ilvl w:val="0"/>
          <w:numId w:val="1"/>
        </w:numPr>
      </w:pPr>
      <w:r w:rsidRPr="00703B9A">
        <w:t xml:space="preserve">Кирилюк И. Л., Свиридов А. П.  Рынок страхования в России: текущее состояние и перспективы // ВТЭ. 2019. №2. </w:t>
      </w:r>
      <w:r w:rsidRPr="00703B9A">
        <w:rPr>
          <w:lang w:val="en-US"/>
        </w:rPr>
        <w:t>C</w:t>
      </w:r>
      <w:r w:rsidRPr="00703B9A">
        <w:t xml:space="preserve">. 43-61, </w:t>
      </w:r>
    </w:p>
    <w:p w:rsidR="00703B9A" w:rsidRDefault="00703B9A" w:rsidP="00703B9A">
      <w:pPr>
        <w:pStyle w:val="Default"/>
        <w:numPr>
          <w:ilvl w:val="0"/>
          <w:numId w:val="1"/>
        </w:numPr>
      </w:pPr>
      <w:r w:rsidRPr="00703B9A">
        <w:t>Лаврентьев В. А., Лаврентьева Л. В., Лезина М. А. Современные тенденции развития страхового рынка в России // Инновационная экономика: перспективы развития и совершенствования. 2020. №6 (48), С.  56-61</w:t>
      </w:r>
      <w:r>
        <w:t>.</w:t>
      </w:r>
    </w:p>
    <w:p w:rsidR="00703B9A" w:rsidRPr="00703B9A" w:rsidRDefault="00703B9A" w:rsidP="00703B9A">
      <w:pPr>
        <w:pStyle w:val="Default"/>
        <w:numPr>
          <w:ilvl w:val="0"/>
          <w:numId w:val="1"/>
        </w:numPr>
      </w:pPr>
      <w:r w:rsidRPr="00703B9A">
        <w:t>Цифра дня: 80% всех денег России по прежнему сосредоточено в Москве// новые Известия . 19 марта 2021 г. https://newizv.ru/news/2021-03-19/tsifra-dnya-80-vseh-deneg-rossii-po-prezhnemu-sosredotocheno-v-moskve-321777</w:t>
      </w:r>
    </w:p>
    <w:sectPr w:rsidR="00703B9A" w:rsidRPr="00703B9A" w:rsidSect="005825E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7A87" w:rsidRDefault="00467A87" w:rsidP="00934BF7">
      <w:pPr>
        <w:spacing w:after="0" w:line="240" w:lineRule="auto"/>
      </w:pPr>
      <w:r>
        <w:separator/>
      </w:r>
    </w:p>
  </w:endnote>
  <w:endnote w:type="continuationSeparator" w:id="1">
    <w:p w:rsidR="00467A87" w:rsidRDefault="00467A87" w:rsidP="00934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NeueCyr">
    <w:altName w:val="HelveticaNeueCyr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PT Serif Pro Book">
    <w:altName w:val="PT Serif Pro Book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7A87" w:rsidRDefault="00467A87" w:rsidP="00934BF7">
      <w:pPr>
        <w:spacing w:after="0" w:line="240" w:lineRule="auto"/>
      </w:pPr>
      <w:r>
        <w:separator/>
      </w:r>
    </w:p>
  </w:footnote>
  <w:footnote w:type="continuationSeparator" w:id="1">
    <w:p w:rsidR="00467A87" w:rsidRDefault="00467A87" w:rsidP="00934BF7">
      <w:pPr>
        <w:spacing w:after="0" w:line="240" w:lineRule="auto"/>
      </w:pPr>
      <w:r>
        <w:continuationSeparator/>
      </w:r>
    </w:p>
  </w:footnote>
  <w:footnote w:id="2">
    <w:p w:rsidR="00934BF7" w:rsidRPr="00934BF7" w:rsidRDefault="00934BF7" w:rsidP="00934BF7">
      <w:pPr>
        <w:pStyle w:val="a5"/>
        <w:jc w:val="both"/>
        <w:rPr>
          <w:rFonts w:ascii="Times New Roman" w:hAnsi="Times New Roman" w:cs="Times New Roman"/>
        </w:rPr>
      </w:pPr>
      <w:r>
        <w:rPr>
          <w:rStyle w:val="a7"/>
        </w:rPr>
        <w:footnoteRef/>
      </w:r>
      <w:r>
        <w:t xml:space="preserve"> </w:t>
      </w:r>
      <w:r w:rsidRPr="00934BF7">
        <w:rPr>
          <w:rFonts w:ascii="Times New Roman" w:hAnsi="Times New Roman" w:cs="Times New Roman"/>
        </w:rPr>
        <w:t>Морошкина Марина</w:t>
      </w:r>
      <w:r>
        <w:t xml:space="preserve"> Валерьевна, </w:t>
      </w:r>
      <w:r w:rsidRPr="00934BF7">
        <w:rPr>
          <w:rFonts w:ascii="Times New Roman" w:hAnsi="Times New Roman" w:cs="Times New Roman"/>
        </w:rPr>
        <w:t>к.э.н., с.н.с., Институт экономики Карельского научного центра РАН — федеральное государственное бюджетное учреждение науки, структурное подразделение в составе Карельского научного центра Российской Академии наук. (</w:t>
      </w:r>
      <w:hyperlink r:id="rId1" w:history="1">
        <w:r w:rsidRPr="00934BF7">
          <w:rPr>
            <w:rFonts w:ascii="Times New Roman" w:hAnsi="Times New Roman" w:cs="Times New Roman"/>
          </w:rPr>
          <w:t>Адрес</w:t>
        </w:r>
      </w:hyperlink>
      <w:r w:rsidRPr="00934BF7">
        <w:rPr>
          <w:rFonts w:ascii="Times New Roman" w:hAnsi="Times New Roman" w:cs="Times New Roman"/>
        </w:rPr>
        <w:t>: пр. Александра Невского, 50, Петрозаводск, Респ. Карелия, 185030</w:t>
      </w:r>
      <w:r>
        <w:rPr>
          <w:rFonts w:ascii="Times New Roman" w:hAnsi="Times New Roman" w:cs="Times New Roman"/>
        </w:rPr>
        <w:t xml:space="preserve">; </w:t>
      </w:r>
      <w:r>
        <w:rPr>
          <w:rFonts w:ascii="Times New Roman" w:hAnsi="Times New Roman" w:cs="Times New Roman"/>
          <w:lang w:val="en-US"/>
        </w:rPr>
        <w:t>maribel</w:t>
      </w:r>
      <w:r w:rsidRPr="00934BF7">
        <w:rPr>
          <w:rFonts w:ascii="Times New Roman" w:hAnsi="Times New Roman" w:cs="Times New Roman"/>
        </w:rPr>
        <w:t>74@</w:t>
      </w:r>
      <w:r>
        <w:rPr>
          <w:rFonts w:ascii="Times New Roman" w:hAnsi="Times New Roman" w:cs="Times New Roman"/>
          <w:lang w:val="en-US"/>
        </w:rPr>
        <w:t>mail</w:t>
      </w:r>
      <w:r w:rsidRPr="00934BF7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  <w:lang w:val="en-US"/>
        </w:rPr>
        <w:t>ru</w:t>
      </w:r>
      <w:r w:rsidRPr="00934BF7">
        <w:rPr>
          <w:rFonts w:ascii="Times New Roman" w:hAnsi="Times New Roman" w:cs="Times New Roman"/>
        </w:rPr>
        <w:t>)</w:t>
      </w:r>
    </w:p>
    <w:p w:rsidR="00934BF7" w:rsidRDefault="00934BF7">
      <w:pPr>
        <w:pStyle w:val="a5"/>
      </w:pPr>
    </w:p>
  </w:footnote>
  <w:footnote w:id="3">
    <w:p w:rsidR="00934BF7" w:rsidRPr="00934BF7" w:rsidRDefault="00934BF7">
      <w:pPr>
        <w:pStyle w:val="a5"/>
        <w:rPr>
          <w:rFonts w:ascii="Times New Roman" w:hAnsi="Times New Roman" w:cs="Times New Roman"/>
        </w:rPr>
      </w:pPr>
      <w:r>
        <w:rPr>
          <w:rStyle w:val="a7"/>
        </w:rPr>
        <w:footnoteRef/>
      </w:r>
      <w:r>
        <w:t xml:space="preserve"> </w:t>
      </w:r>
      <w:r w:rsidRPr="00934BF7">
        <w:rPr>
          <w:rFonts w:ascii="Times New Roman" w:hAnsi="Times New Roman" w:cs="Times New Roman"/>
        </w:rPr>
        <w:t>Резанова Лада Викторовна, старший преподаватель, ПетрГУ (</w:t>
      </w:r>
      <w:hyperlink r:id="rId2" w:history="1">
        <w:r w:rsidRPr="00934BF7">
          <w:rPr>
            <w:rFonts w:ascii="Times New Roman" w:hAnsi="Times New Roman" w:cs="Times New Roman"/>
          </w:rPr>
          <w:t>Адрес</w:t>
        </w:r>
      </w:hyperlink>
      <w:r w:rsidRPr="00934BF7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r w:rsidRPr="00934BF7">
        <w:rPr>
          <w:rFonts w:ascii="Times New Roman" w:hAnsi="Times New Roman" w:cs="Times New Roman"/>
        </w:rPr>
        <w:t>пр. Ленина,</w:t>
      </w:r>
      <w:r w:rsidR="00A23E08">
        <w:rPr>
          <w:rFonts w:ascii="Times New Roman" w:hAnsi="Times New Roman" w:cs="Times New Roman"/>
        </w:rPr>
        <w:t xml:space="preserve"> </w:t>
      </w:r>
      <w:r w:rsidR="00A23E08" w:rsidRPr="00934BF7">
        <w:rPr>
          <w:rFonts w:ascii="Times New Roman" w:hAnsi="Times New Roman" w:cs="Times New Roman"/>
        </w:rPr>
        <w:t>3</w:t>
      </w:r>
      <w:r w:rsidR="00A23E08">
        <w:rPr>
          <w:rFonts w:ascii="Times New Roman" w:hAnsi="Times New Roman" w:cs="Times New Roman"/>
        </w:rPr>
        <w:t xml:space="preserve">3, </w:t>
      </w:r>
      <w:r w:rsidR="00A23E08" w:rsidRPr="00934BF7">
        <w:rPr>
          <w:rFonts w:ascii="Times New Roman" w:hAnsi="Times New Roman" w:cs="Times New Roman"/>
        </w:rPr>
        <w:t>Петрозаводск, Респ. Карелия,</w:t>
      </w:r>
      <w:r w:rsidRPr="00934BF7">
        <w:rPr>
          <w:rFonts w:ascii="Times New Roman" w:hAnsi="Times New Roman" w:cs="Times New Roman"/>
        </w:rPr>
        <w:t>  185910, slv1305@yandex.ru</w:t>
      </w:r>
      <w:r w:rsidR="00A23E08">
        <w:rPr>
          <w:rFonts w:ascii="Times New Roman" w:hAnsi="Times New Roman" w:cs="Times New Roman"/>
        </w:rPr>
        <w:t>)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4C162D"/>
    <w:multiLevelType w:val="hybridMultilevel"/>
    <w:tmpl w:val="E6BEC5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7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D6CF3"/>
    <w:rsid w:val="00017ABC"/>
    <w:rsid w:val="00070E7D"/>
    <w:rsid w:val="00077E23"/>
    <w:rsid w:val="000C22E0"/>
    <w:rsid w:val="000E1AC0"/>
    <w:rsid w:val="00123131"/>
    <w:rsid w:val="00180BAF"/>
    <w:rsid w:val="001C122D"/>
    <w:rsid w:val="00213AF6"/>
    <w:rsid w:val="00215C94"/>
    <w:rsid w:val="00235F44"/>
    <w:rsid w:val="00296B63"/>
    <w:rsid w:val="002B505B"/>
    <w:rsid w:val="002C3A7F"/>
    <w:rsid w:val="00394C12"/>
    <w:rsid w:val="003A057E"/>
    <w:rsid w:val="003E0EF6"/>
    <w:rsid w:val="00450F62"/>
    <w:rsid w:val="00467A87"/>
    <w:rsid w:val="004C16AB"/>
    <w:rsid w:val="004E2294"/>
    <w:rsid w:val="00500FCF"/>
    <w:rsid w:val="005825E8"/>
    <w:rsid w:val="005A7532"/>
    <w:rsid w:val="00624307"/>
    <w:rsid w:val="00685EA6"/>
    <w:rsid w:val="006D6416"/>
    <w:rsid w:val="006E51EB"/>
    <w:rsid w:val="00703B9A"/>
    <w:rsid w:val="007F1E87"/>
    <w:rsid w:val="00934BF7"/>
    <w:rsid w:val="00995B7D"/>
    <w:rsid w:val="00A1062D"/>
    <w:rsid w:val="00A23E08"/>
    <w:rsid w:val="00A415D0"/>
    <w:rsid w:val="00A62B20"/>
    <w:rsid w:val="00A75406"/>
    <w:rsid w:val="00AA086C"/>
    <w:rsid w:val="00AB6BD8"/>
    <w:rsid w:val="00AE345B"/>
    <w:rsid w:val="00BC10F0"/>
    <w:rsid w:val="00BD6CF3"/>
    <w:rsid w:val="00C6427B"/>
    <w:rsid w:val="00C66FDE"/>
    <w:rsid w:val="00CC5A7A"/>
    <w:rsid w:val="00D02503"/>
    <w:rsid w:val="00D657F8"/>
    <w:rsid w:val="00F075F0"/>
    <w:rsid w:val="00F33380"/>
    <w:rsid w:val="00FE50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22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B50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123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23131"/>
    <w:rPr>
      <w:rFonts w:ascii="Tahoma" w:hAnsi="Tahoma" w:cs="Tahoma"/>
      <w:sz w:val="16"/>
      <w:szCs w:val="16"/>
    </w:rPr>
  </w:style>
  <w:style w:type="paragraph" w:styleId="a5">
    <w:name w:val="footnote text"/>
    <w:basedOn w:val="a"/>
    <w:link w:val="a6"/>
    <w:uiPriority w:val="99"/>
    <w:semiHidden/>
    <w:unhideWhenUsed/>
    <w:rsid w:val="00934BF7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934BF7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934BF7"/>
    <w:rPr>
      <w:vertAlign w:val="superscript"/>
    </w:rPr>
  </w:style>
  <w:style w:type="character" w:customStyle="1" w:styleId="w8qarf">
    <w:name w:val="w8qarf"/>
    <w:basedOn w:val="a0"/>
    <w:rsid w:val="00934BF7"/>
  </w:style>
  <w:style w:type="character" w:styleId="a8">
    <w:name w:val="Hyperlink"/>
    <w:basedOn w:val="a0"/>
    <w:uiPriority w:val="99"/>
    <w:unhideWhenUsed/>
    <w:rsid w:val="00934BF7"/>
    <w:rPr>
      <w:color w:val="0000FF"/>
      <w:u w:val="single"/>
    </w:rPr>
  </w:style>
  <w:style w:type="character" w:customStyle="1" w:styleId="lrzxr">
    <w:name w:val="lrzxr"/>
    <w:basedOn w:val="a0"/>
    <w:rsid w:val="00934BF7"/>
  </w:style>
  <w:style w:type="paragraph" w:customStyle="1" w:styleId="Pa3">
    <w:name w:val="Pa3"/>
    <w:basedOn w:val="Default"/>
    <w:next w:val="Default"/>
    <w:uiPriority w:val="99"/>
    <w:rsid w:val="00A23E08"/>
    <w:pPr>
      <w:spacing w:line="241" w:lineRule="atLeast"/>
    </w:pPr>
    <w:rPr>
      <w:rFonts w:ascii="HelveticaNeueCyr" w:hAnsi="HelveticaNeueCyr" w:cstheme="minorBidi"/>
      <w:color w:val="auto"/>
    </w:rPr>
  </w:style>
  <w:style w:type="character" w:customStyle="1" w:styleId="A30">
    <w:name w:val="A3"/>
    <w:uiPriority w:val="99"/>
    <w:rsid w:val="00A23E08"/>
    <w:rPr>
      <w:rFonts w:cs="HelveticaNeueCyr"/>
      <w:b/>
      <w:bCs/>
      <w:color w:val="000000"/>
      <w:sz w:val="18"/>
      <w:szCs w:val="18"/>
    </w:rPr>
  </w:style>
  <w:style w:type="character" w:customStyle="1" w:styleId="A10">
    <w:name w:val="A1"/>
    <w:uiPriority w:val="99"/>
    <w:rsid w:val="00A23E08"/>
    <w:rPr>
      <w:rFonts w:ascii="PT Serif Pro Book" w:hAnsi="PT Serif Pro Book" w:cs="PT Serif Pro Book"/>
      <w:i/>
      <w:iCs/>
      <w:color w:val="000000"/>
      <w:sz w:val="22"/>
      <w:szCs w:val="22"/>
    </w:rPr>
  </w:style>
  <w:style w:type="paragraph" w:styleId="a9">
    <w:name w:val="Body Text"/>
    <w:basedOn w:val="a"/>
    <w:link w:val="aa"/>
    <w:uiPriority w:val="1"/>
    <w:qFormat/>
    <w:rsid w:val="00703B9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a">
    <w:name w:val="Основной текст Знак"/>
    <w:basedOn w:val="a0"/>
    <w:link w:val="a9"/>
    <w:uiPriority w:val="1"/>
    <w:rsid w:val="00703B9A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b">
    <w:name w:val="Emphasis"/>
    <w:basedOn w:val="a0"/>
    <w:uiPriority w:val="20"/>
    <w:qFormat/>
    <w:rsid w:val="00703B9A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89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calmins.com/dynamics-of-the-insurance-mark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calmins.com/dynamics-of-the-insurance-marke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google.com/search?sxsrf=APwXEdc2zXSXPzk43W7vwrKfCauluy_RPw:1683809338584&amp;q=%D0%B8%D0%BD%D1%81%D1%82%D0%B8%D1%82%D1%83%D1%82+%D1%8D%D0%BA%D0%BE%D0%BD%D0%BE%D0%BC%D0%B8%D0%BA%D0%B8+%D0%BA%D0%B0%D1%80%D0%B5%D0%BB%D1%8C%D1%81%D0%BA%D0%BE%D0%B3%D0%BE+%D0%BD%D0%B0%D1%83%D1%87%D0%BD%D0%BE%D0%B3%D0%BE+%D1%86%D0%B5%D0%BD%D1%82%D1%80%D0%B0+%D1%80%D0%B0%D0%BD+%D0%B0%D0%B4%D1%80%D0%B5%D1%81&amp;ludocid=7023211615172184844&amp;sa=X&amp;ved=2ahUKEwivnPvLpu3-AhUNQ_EDHeiyCVYQ6BN6BAgqEAI" TargetMode="External"/><Relationship Id="rId1" Type="http://schemas.openxmlformats.org/officeDocument/2006/relationships/hyperlink" Target="https://www.google.com/search?sxsrf=APwXEdc2zXSXPzk43W7vwrKfCauluy_RPw:1683809338584&amp;q=%D0%B8%D0%BD%D1%81%D1%82%D0%B8%D1%82%D1%83%D1%82+%D1%8D%D0%BA%D0%BE%D0%BD%D0%BE%D0%BC%D0%B8%D0%BA%D0%B8+%D0%BA%D0%B0%D1%80%D0%B5%D0%BB%D1%8C%D1%81%D0%BA%D0%BE%D0%B3%D0%BE+%D0%BD%D0%B0%D1%83%D1%87%D0%BD%D0%BE%D0%B3%D0%BE+%D1%86%D0%B5%D0%BD%D1%82%D1%80%D0%B0+%D1%80%D0%B0%D0%BD+%D0%B0%D0%B4%D1%80%D0%B5%D1%81&amp;ludocid=7023211615172184844&amp;sa=X&amp;ved=2ahUKEwivnPvLpu3-AhUNQ_EDHeiyCVYQ6BN6BAgqEAI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8;&#1086;&#1096;&#1082;&#1080;&#1085;&#1072;\Marina\&#1087;&#1091;&#1073;&#1083;&#1080;&#1082;&#1072;&#1094;&#1080;&#1080;\&#1050;&#1089;&#1102;&#1096;&#1072;%20&#1057;&#1077;&#1076;&#1086;&#1074;&#1072;\&#1089;&#1090;&#1072;&#1090;&#1100;&#1103;%20&#1087;&#1086;%20&#1088;&#1072;&#1081;&#1086;&#1085;&#1072;&#1084;\&#1089;&#1090;&#1072;&#1090;&#1080;&#1089;&#1090;&#1080;&#1082;&#1072;\&#1057;&#1047;&#1060;&#1054;\&#1082;&#1086;&#1083;-&#1074;&#1086;%20&#1076;&#1086;&#1075;&#1086;&#1074;&#1086;&#1088;&#1086;&#1074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8;&#1086;&#1096;&#1082;&#1080;&#1085;&#1072;\Marina\&#1089;&#1077;&#1084;&#1080;&#1085;&#1072;&#1088;\&#1045;&#1082;&#1072;&#1090;&#1077;&#1088;&#1077;&#1085;&#1073;&#1091;&#1088;&#1075;\2023\&#1056;&#1069;&#1050;\&#1057;&#1047;&#1060;&#1054;\&#1082;&#1086;&#1083;-&#1074;&#1086;%20&#1076;&#1086;&#1075;&#1086;&#1074;&#1086;&#1088;&#1086;&#1074;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8;&#1086;&#1096;&#1082;&#1080;&#1085;&#1072;\Marina\&#1089;&#1077;&#1084;&#1080;&#1085;&#1072;&#1088;\&#1045;&#1082;&#1072;&#1090;&#1077;&#1088;&#1077;&#1085;&#1073;&#1091;&#1088;&#1075;\2023\&#1056;&#1069;&#1050;\&#1057;&#1047;&#1060;&#1054;\&#1082;&#1086;&#1083;-&#1074;&#1086;%20&#1076;&#1086;&#1075;&#1086;&#1074;&#1086;&#1088;&#1086;&#1074;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8;&#1086;&#1096;&#1082;&#1080;&#1085;&#1072;\Marina\&#1089;&#1077;&#1084;&#1080;&#1085;&#1072;&#1088;\&#1042;&#1086;&#1083;&#1086;&#1075;&#1076;&#1072;\2023\17-19%20&#1084;&#1072;&#1103;\&#1082;&#1086;&#1083;-&#1074;&#1086;%20&#1076;&#1086;&#1075;&#1086;&#1074;&#1086;&#1088;&#1086;&#1074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0.12989393994161108"/>
          <c:y val="5.0650181044887714E-2"/>
          <c:w val="0.84661935140033462"/>
          <c:h val="0.57176813322604769"/>
        </c:manualLayout>
      </c:layout>
      <c:lineChart>
        <c:grouping val="standard"/>
        <c:ser>
          <c:idx val="0"/>
          <c:order val="0"/>
          <c:tx>
            <c:strRef>
              <c:f>'кол-во договоров'!$A$10</c:f>
              <c:strCache>
                <c:ptCount val="1"/>
                <c:pt idx="0">
                  <c:v>Республика Карелия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договоров'!$B$10:$E$10</c:f>
              <c:numCache>
                <c:formatCode>General</c:formatCode>
                <c:ptCount val="4"/>
                <c:pt idx="0">
                  <c:v>532704</c:v>
                </c:pt>
                <c:pt idx="1">
                  <c:v>543740</c:v>
                </c:pt>
                <c:pt idx="2">
                  <c:v>477317</c:v>
                </c:pt>
                <c:pt idx="3">
                  <c:v>437988</c:v>
                </c:pt>
              </c:numCache>
            </c:numRef>
          </c:val>
        </c:ser>
        <c:ser>
          <c:idx val="1"/>
          <c:order val="1"/>
          <c:tx>
            <c:strRef>
              <c:f>'кол-во договоров'!$A$11</c:f>
              <c:strCache>
                <c:ptCount val="1"/>
                <c:pt idx="0">
                  <c:v>Республика Коми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договоров'!$B$11:$E$11</c:f>
              <c:numCache>
                <c:formatCode>General</c:formatCode>
                <c:ptCount val="4"/>
                <c:pt idx="0">
                  <c:v>603791</c:v>
                </c:pt>
                <c:pt idx="1">
                  <c:v>690264</c:v>
                </c:pt>
                <c:pt idx="2">
                  <c:v>615070</c:v>
                </c:pt>
                <c:pt idx="3">
                  <c:v>530374</c:v>
                </c:pt>
              </c:numCache>
            </c:numRef>
          </c:val>
        </c:ser>
        <c:ser>
          <c:idx val="2"/>
          <c:order val="2"/>
          <c:tx>
            <c:strRef>
              <c:f>'кол-во договоров'!$A$12</c:f>
              <c:strCache>
                <c:ptCount val="1"/>
                <c:pt idx="0">
                  <c:v>Архангельская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договоров'!$B$12:$E$12</c:f>
              <c:numCache>
                <c:formatCode>General</c:formatCode>
                <c:ptCount val="4"/>
                <c:pt idx="0">
                  <c:v>2352780</c:v>
                </c:pt>
                <c:pt idx="1">
                  <c:v>2958165</c:v>
                </c:pt>
                <c:pt idx="2">
                  <c:v>2589343</c:v>
                </c:pt>
                <c:pt idx="3">
                  <c:v>2105477</c:v>
                </c:pt>
              </c:numCache>
            </c:numRef>
          </c:val>
        </c:ser>
        <c:ser>
          <c:idx val="3"/>
          <c:order val="3"/>
          <c:tx>
            <c:strRef>
              <c:f>'кол-во договоров'!$A$13</c:f>
              <c:strCache>
                <c:ptCount val="1"/>
                <c:pt idx="0">
                  <c:v>Ненецкий автономный округ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договоров'!$B$13:$E$13</c:f>
              <c:numCache>
                <c:formatCode>General</c:formatCode>
                <c:ptCount val="4"/>
                <c:pt idx="0">
                  <c:v>16990</c:v>
                </c:pt>
                <c:pt idx="1">
                  <c:v>13499</c:v>
                </c:pt>
                <c:pt idx="2">
                  <c:v>13632</c:v>
                </c:pt>
                <c:pt idx="3">
                  <c:v>13454</c:v>
                </c:pt>
              </c:numCache>
            </c:numRef>
          </c:val>
        </c:ser>
        <c:ser>
          <c:idx val="4"/>
          <c:order val="4"/>
          <c:tx>
            <c:strRef>
              <c:f>'кол-во договоров'!$A$14</c:f>
              <c:strCache>
                <c:ptCount val="1"/>
                <c:pt idx="0">
                  <c:v>Вологодская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договоров'!$B$14:$E$14</c:f>
              <c:numCache>
                <c:formatCode>General</c:formatCode>
                <c:ptCount val="4"/>
                <c:pt idx="0">
                  <c:v>911404</c:v>
                </c:pt>
                <c:pt idx="1">
                  <c:v>944373</c:v>
                </c:pt>
                <c:pt idx="2">
                  <c:v>932311</c:v>
                </c:pt>
                <c:pt idx="3">
                  <c:v>881498</c:v>
                </c:pt>
              </c:numCache>
            </c:numRef>
          </c:val>
        </c:ser>
        <c:ser>
          <c:idx val="5"/>
          <c:order val="5"/>
          <c:tx>
            <c:strRef>
              <c:f>'кол-во договоров'!$A$15</c:f>
              <c:strCache>
                <c:ptCount val="1"/>
                <c:pt idx="0">
                  <c:v>Калининградская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договоров'!$B$15:$E$15</c:f>
              <c:numCache>
                <c:formatCode>General</c:formatCode>
                <c:ptCount val="4"/>
                <c:pt idx="0">
                  <c:v>872835</c:v>
                </c:pt>
                <c:pt idx="1">
                  <c:v>786484</c:v>
                </c:pt>
                <c:pt idx="2">
                  <c:v>632021</c:v>
                </c:pt>
                <c:pt idx="3">
                  <c:v>595011</c:v>
                </c:pt>
              </c:numCache>
            </c:numRef>
          </c:val>
        </c:ser>
        <c:ser>
          <c:idx val="6"/>
          <c:order val="6"/>
          <c:tx>
            <c:strRef>
              <c:f>'кол-во договоров'!$A$16</c:f>
              <c:strCache>
                <c:ptCount val="1"/>
                <c:pt idx="0">
                  <c:v>Ленинградская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договоров'!$B$16:$E$16</c:f>
              <c:numCache>
                <c:formatCode>General</c:formatCode>
                <c:ptCount val="4"/>
                <c:pt idx="0">
                  <c:v>820716</c:v>
                </c:pt>
                <c:pt idx="1">
                  <c:v>879040</c:v>
                </c:pt>
                <c:pt idx="2">
                  <c:v>789619</c:v>
                </c:pt>
                <c:pt idx="3">
                  <c:v>779745</c:v>
                </c:pt>
              </c:numCache>
            </c:numRef>
          </c:val>
        </c:ser>
        <c:ser>
          <c:idx val="7"/>
          <c:order val="7"/>
          <c:tx>
            <c:strRef>
              <c:f>'кол-во договоров'!$A$17</c:f>
              <c:strCache>
                <c:ptCount val="1"/>
                <c:pt idx="0">
                  <c:v>Мурманская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договоров'!$B$17:$E$17</c:f>
              <c:numCache>
                <c:formatCode>General</c:formatCode>
                <c:ptCount val="4"/>
                <c:pt idx="0">
                  <c:v>450257</c:v>
                </c:pt>
                <c:pt idx="1">
                  <c:v>493454</c:v>
                </c:pt>
                <c:pt idx="2">
                  <c:v>459476</c:v>
                </c:pt>
                <c:pt idx="3">
                  <c:v>385994</c:v>
                </c:pt>
              </c:numCache>
            </c:numRef>
          </c:val>
        </c:ser>
        <c:ser>
          <c:idx val="8"/>
          <c:order val="8"/>
          <c:tx>
            <c:strRef>
              <c:f>'кол-во договоров'!$A$18</c:f>
              <c:strCache>
                <c:ptCount val="1"/>
                <c:pt idx="0">
                  <c:v>Новгородская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договоров'!$B$18:$E$18</c:f>
              <c:numCache>
                <c:formatCode>General</c:formatCode>
                <c:ptCount val="4"/>
                <c:pt idx="0">
                  <c:v>403146</c:v>
                </c:pt>
                <c:pt idx="1">
                  <c:v>431936</c:v>
                </c:pt>
                <c:pt idx="2">
                  <c:v>426764</c:v>
                </c:pt>
                <c:pt idx="3">
                  <c:v>383842</c:v>
                </c:pt>
              </c:numCache>
            </c:numRef>
          </c:val>
        </c:ser>
        <c:ser>
          <c:idx val="9"/>
          <c:order val="9"/>
          <c:tx>
            <c:strRef>
              <c:f>'кол-во договоров'!$A$19</c:f>
              <c:strCache>
                <c:ptCount val="1"/>
                <c:pt idx="0">
                  <c:v>Псковская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договоров'!$B$19:$E$19</c:f>
              <c:numCache>
                <c:formatCode>General</c:formatCode>
                <c:ptCount val="4"/>
                <c:pt idx="0">
                  <c:v>553398</c:v>
                </c:pt>
                <c:pt idx="1">
                  <c:v>576212</c:v>
                </c:pt>
                <c:pt idx="2">
                  <c:v>484561</c:v>
                </c:pt>
                <c:pt idx="3">
                  <c:v>456342</c:v>
                </c:pt>
              </c:numCache>
            </c:numRef>
          </c:val>
        </c:ser>
        <c:ser>
          <c:idx val="10"/>
          <c:order val="10"/>
          <c:tx>
            <c:strRef>
              <c:f>'кол-во договоров'!$A$20</c:f>
              <c:strCache>
                <c:ptCount val="1"/>
                <c:pt idx="0">
                  <c:v>г. Санкт-Петербург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договоров'!$B$20:$E$20</c:f>
              <c:numCache>
                <c:formatCode>General</c:formatCode>
                <c:ptCount val="4"/>
                <c:pt idx="0">
                  <c:v>8879747</c:v>
                </c:pt>
                <c:pt idx="1">
                  <c:v>8686298</c:v>
                </c:pt>
                <c:pt idx="2">
                  <c:v>6154284</c:v>
                </c:pt>
                <c:pt idx="3">
                  <c:v>6861118</c:v>
                </c:pt>
              </c:numCache>
            </c:numRef>
          </c:val>
        </c:ser>
        <c:marker val="1"/>
        <c:axId val="101490688"/>
        <c:axId val="101492608"/>
      </c:lineChart>
      <c:catAx>
        <c:axId val="101490688"/>
        <c:scaling>
          <c:orientation val="minMax"/>
        </c:scaling>
        <c:axPos val="b"/>
        <c:numFmt formatCode="General" sourceLinked="1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492608"/>
        <c:crosses val="autoZero"/>
        <c:auto val="1"/>
        <c:lblAlgn val="ctr"/>
        <c:lblOffset val="100"/>
      </c:catAx>
      <c:valAx>
        <c:axId val="101492608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490688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1.7561568548993874E-2"/>
          <c:y val="0.74778722915110063"/>
          <c:w val="0.91790327746343703"/>
          <c:h val="0.22484050807517683"/>
        </c:manualLayout>
      </c:layout>
      <c:txPr>
        <a:bodyPr/>
        <a:lstStyle/>
        <a:p>
          <a:pPr>
            <a:defRPr sz="8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lineChart>
        <c:grouping val="standard"/>
        <c:ser>
          <c:idx val="0"/>
          <c:order val="0"/>
          <c:tx>
            <c:strRef>
              <c:f>'кол-во договоров'!$A$23</c:f>
              <c:strCache>
                <c:ptCount val="1"/>
                <c:pt idx="0">
                  <c:v>РФ</c:v>
                </c:pt>
              </c:strCache>
            </c:strRef>
          </c:tx>
          <c:cat>
            <c:numRef>
              <c:f>'кол-во договоров'!$B$22:$E$22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договоров'!$B$23:$E$23</c:f>
              <c:numCache>
                <c:formatCode>General</c:formatCode>
                <c:ptCount val="4"/>
                <c:pt idx="0">
                  <c:v>203499495</c:v>
                </c:pt>
                <c:pt idx="1">
                  <c:v>209352463</c:v>
                </c:pt>
                <c:pt idx="2">
                  <c:v>177291179</c:v>
                </c:pt>
                <c:pt idx="3">
                  <c:v>244727206</c:v>
                </c:pt>
              </c:numCache>
            </c:numRef>
          </c:val>
        </c:ser>
        <c:marker val="1"/>
        <c:axId val="101753600"/>
        <c:axId val="101755136"/>
      </c:lineChart>
      <c:catAx>
        <c:axId val="101753600"/>
        <c:scaling>
          <c:orientation val="minMax"/>
        </c:scaling>
        <c:axPos val="b"/>
        <c:numFmt formatCode="General" sourceLinked="1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755136"/>
        <c:crosses val="autoZero"/>
        <c:auto val="1"/>
        <c:lblAlgn val="ctr"/>
        <c:lblOffset val="100"/>
      </c:catAx>
      <c:valAx>
        <c:axId val="101755136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753600"/>
        <c:crosses val="autoZero"/>
        <c:crossBetween val="between"/>
      </c:valAx>
    </c:plotArea>
    <c:plotVisOnly val="1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0.11917048140111905"/>
          <c:y val="6.113722293523894E-2"/>
          <c:w val="0.85732273368596312"/>
          <c:h val="0.47043818724201397"/>
        </c:manualLayout>
      </c:layout>
      <c:lineChart>
        <c:grouping val="standard"/>
        <c:ser>
          <c:idx val="0"/>
          <c:order val="0"/>
          <c:tx>
            <c:strRef>
              <c:f>'кол-во договоров'!$A$10</c:f>
              <c:strCache>
                <c:ptCount val="1"/>
                <c:pt idx="0">
                  <c:v>Республика Карелия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договоров'!$B$10:$E$10</c:f>
              <c:numCache>
                <c:formatCode>General</c:formatCode>
                <c:ptCount val="4"/>
                <c:pt idx="0">
                  <c:v>532704</c:v>
                </c:pt>
                <c:pt idx="1">
                  <c:v>543740</c:v>
                </c:pt>
                <c:pt idx="2">
                  <c:v>477317</c:v>
                </c:pt>
                <c:pt idx="3">
                  <c:v>437988</c:v>
                </c:pt>
              </c:numCache>
            </c:numRef>
          </c:val>
        </c:ser>
        <c:ser>
          <c:idx val="1"/>
          <c:order val="1"/>
          <c:tx>
            <c:strRef>
              <c:f>'кол-во договоров'!$A$11</c:f>
              <c:strCache>
                <c:ptCount val="1"/>
                <c:pt idx="0">
                  <c:v>Республика Коми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договоров'!$B$11:$E$11</c:f>
              <c:numCache>
                <c:formatCode>General</c:formatCode>
                <c:ptCount val="4"/>
                <c:pt idx="0">
                  <c:v>603791</c:v>
                </c:pt>
                <c:pt idx="1">
                  <c:v>690264</c:v>
                </c:pt>
                <c:pt idx="2">
                  <c:v>615070</c:v>
                </c:pt>
                <c:pt idx="3">
                  <c:v>530374</c:v>
                </c:pt>
              </c:numCache>
            </c:numRef>
          </c:val>
        </c:ser>
        <c:ser>
          <c:idx val="2"/>
          <c:order val="2"/>
          <c:tx>
            <c:strRef>
              <c:f>'кол-во договоров'!$A$12</c:f>
              <c:strCache>
                <c:ptCount val="1"/>
                <c:pt idx="0">
                  <c:v>Архангельская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договоров'!$B$12:$E$12</c:f>
              <c:numCache>
                <c:formatCode>General</c:formatCode>
                <c:ptCount val="4"/>
                <c:pt idx="0">
                  <c:v>2352780</c:v>
                </c:pt>
                <c:pt idx="1">
                  <c:v>2958165</c:v>
                </c:pt>
                <c:pt idx="2">
                  <c:v>2589343</c:v>
                </c:pt>
                <c:pt idx="3">
                  <c:v>2105477</c:v>
                </c:pt>
              </c:numCache>
            </c:numRef>
          </c:val>
        </c:ser>
        <c:ser>
          <c:idx val="3"/>
          <c:order val="3"/>
          <c:tx>
            <c:strRef>
              <c:f>'кол-во договоров'!$A$13</c:f>
              <c:strCache>
                <c:ptCount val="1"/>
                <c:pt idx="0">
                  <c:v>Ненецкий автономный округ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договоров'!$B$13:$E$13</c:f>
              <c:numCache>
                <c:formatCode>General</c:formatCode>
                <c:ptCount val="4"/>
                <c:pt idx="0">
                  <c:v>16990</c:v>
                </c:pt>
                <c:pt idx="1">
                  <c:v>13499</c:v>
                </c:pt>
                <c:pt idx="2">
                  <c:v>13632</c:v>
                </c:pt>
                <c:pt idx="3">
                  <c:v>13454</c:v>
                </c:pt>
              </c:numCache>
            </c:numRef>
          </c:val>
        </c:ser>
        <c:ser>
          <c:idx val="4"/>
          <c:order val="4"/>
          <c:tx>
            <c:strRef>
              <c:f>'кол-во договоров'!$A$14</c:f>
              <c:strCache>
                <c:ptCount val="1"/>
                <c:pt idx="0">
                  <c:v>Вологодская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договоров'!$B$14:$E$14</c:f>
              <c:numCache>
                <c:formatCode>General</c:formatCode>
                <c:ptCount val="4"/>
                <c:pt idx="0">
                  <c:v>911404</c:v>
                </c:pt>
                <c:pt idx="1">
                  <c:v>944373</c:v>
                </c:pt>
                <c:pt idx="2">
                  <c:v>932311</c:v>
                </c:pt>
                <c:pt idx="3">
                  <c:v>881498</c:v>
                </c:pt>
              </c:numCache>
            </c:numRef>
          </c:val>
        </c:ser>
        <c:ser>
          <c:idx val="5"/>
          <c:order val="5"/>
          <c:tx>
            <c:strRef>
              <c:f>'кол-во договоров'!$A$15</c:f>
              <c:strCache>
                <c:ptCount val="1"/>
                <c:pt idx="0">
                  <c:v>Калининградская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договоров'!$B$15:$E$15</c:f>
              <c:numCache>
                <c:formatCode>General</c:formatCode>
                <c:ptCount val="4"/>
                <c:pt idx="0">
                  <c:v>872835</c:v>
                </c:pt>
                <c:pt idx="1">
                  <c:v>786484</c:v>
                </c:pt>
                <c:pt idx="2">
                  <c:v>632021</c:v>
                </c:pt>
                <c:pt idx="3">
                  <c:v>595011</c:v>
                </c:pt>
              </c:numCache>
            </c:numRef>
          </c:val>
        </c:ser>
        <c:ser>
          <c:idx val="6"/>
          <c:order val="6"/>
          <c:tx>
            <c:strRef>
              <c:f>'кол-во договоров'!$A$16</c:f>
              <c:strCache>
                <c:ptCount val="1"/>
                <c:pt idx="0">
                  <c:v>Ленинградская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договоров'!$B$16:$E$16</c:f>
              <c:numCache>
                <c:formatCode>General</c:formatCode>
                <c:ptCount val="4"/>
                <c:pt idx="0">
                  <c:v>820716</c:v>
                </c:pt>
                <c:pt idx="1">
                  <c:v>879040</c:v>
                </c:pt>
                <c:pt idx="2">
                  <c:v>789619</c:v>
                </c:pt>
                <c:pt idx="3">
                  <c:v>779745</c:v>
                </c:pt>
              </c:numCache>
            </c:numRef>
          </c:val>
        </c:ser>
        <c:ser>
          <c:idx val="7"/>
          <c:order val="7"/>
          <c:tx>
            <c:strRef>
              <c:f>'кол-во договоров'!$A$17</c:f>
              <c:strCache>
                <c:ptCount val="1"/>
                <c:pt idx="0">
                  <c:v>Мурманская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договоров'!$B$17:$E$17</c:f>
              <c:numCache>
                <c:formatCode>General</c:formatCode>
                <c:ptCount val="4"/>
                <c:pt idx="0">
                  <c:v>450257</c:v>
                </c:pt>
                <c:pt idx="1">
                  <c:v>493454</c:v>
                </c:pt>
                <c:pt idx="2">
                  <c:v>459476</c:v>
                </c:pt>
                <c:pt idx="3">
                  <c:v>385994</c:v>
                </c:pt>
              </c:numCache>
            </c:numRef>
          </c:val>
        </c:ser>
        <c:ser>
          <c:idx val="8"/>
          <c:order val="8"/>
          <c:tx>
            <c:strRef>
              <c:f>'кол-во договоров'!$A$18</c:f>
              <c:strCache>
                <c:ptCount val="1"/>
                <c:pt idx="0">
                  <c:v>Новгородская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договоров'!$B$18:$E$18</c:f>
              <c:numCache>
                <c:formatCode>General</c:formatCode>
                <c:ptCount val="4"/>
                <c:pt idx="0">
                  <c:v>403146</c:v>
                </c:pt>
                <c:pt idx="1">
                  <c:v>431936</c:v>
                </c:pt>
                <c:pt idx="2">
                  <c:v>426764</c:v>
                </c:pt>
                <c:pt idx="3">
                  <c:v>383842</c:v>
                </c:pt>
              </c:numCache>
            </c:numRef>
          </c:val>
        </c:ser>
        <c:ser>
          <c:idx val="9"/>
          <c:order val="9"/>
          <c:tx>
            <c:strRef>
              <c:f>'кол-во договоров'!$A$19</c:f>
              <c:strCache>
                <c:ptCount val="1"/>
                <c:pt idx="0">
                  <c:v>Псковская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договоров'!$B$19:$E$19</c:f>
              <c:numCache>
                <c:formatCode>General</c:formatCode>
                <c:ptCount val="4"/>
                <c:pt idx="0">
                  <c:v>553398</c:v>
                </c:pt>
                <c:pt idx="1">
                  <c:v>576212</c:v>
                </c:pt>
                <c:pt idx="2">
                  <c:v>484561</c:v>
                </c:pt>
                <c:pt idx="3">
                  <c:v>456342</c:v>
                </c:pt>
              </c:numCache>
            </c:numRef>
          </c:val>
        </c:ser>
        <c:marker val="1"/>
        <c:axId val="118517760"/>
        <c:axId val="118519680"/>
      </c:lineChart>
      <c:catAx>
        <c:axId val="118517760"/>
        <c:scaling>
          <c:orientation val="minMax"/>
        </c:scaling>
        <c:axPos val="b"/>
        <c:numFmt formatCode="General" sourceLinked="1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118519680"/>
        <c:crosses val="autoZero"/>
        <c:auto val="1"/>
        <c:lblAlgn val="ctr"/>
        <c:lblOffset val="100"/>
      </c:catAx>
      <c:valAx>
        <c:axId val="118519680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18517760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4.9994573415794982E-2"/>
          <c:y val="0.70311361823164176"/>
          <c:w val="0.92565445026178172"/>
          <c:h val="0.26384673419126581"/>
        </c:manualLayout>
      </c:layout>
      <c:txPr>
        <a:bodyPr/>
        <a:lstStyle/>
        <a:p>
          <a:pPr>
            <a:defRPr sz="8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lineChart>
        <c:grouping val="standard"/>
        <c:ser>
          <c:idx val="0"/>
          <c:order val="0"/>
          <c:tx>
            <c:strRef>
              <c:f>'кол-во договоров'!$A$10</c:f>
              <c:strCache>
                <c:ptCount val="1"/>
                <c:pt idx="0">
                  <c:v>Республика Карелия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договоров'!$B$10:$E$10</c:f>
              <c:numCache>
                <c:formatCode>General</c:formatCode>
                <c:ptCount val="4"/>
                <c:pt idx="0">
                  <c:v>532704</c:v>
                </c:pt>
                <c:pt idx="1">
                  <c:v>543740</c:v>
                </c:pt>
                <c:pt idx="2">
                  <c:v>477317</c:v>
                </c:pt>
                <c:pt idx="3">
                  <c:v>437988</c:v>
                </c:pt>
              </c:numCache>
            </c:numRef>
          </c:val>
        </c:ser>
        <c:ser>
          <c:idx val="1"/>
          <c:order val="1"/>
          <c:tx>
            <c:strRef>
              <c:f>'кол-во договоров'!$A$11</c:f>
              <c:strCache>
                <c:ptCount val="1"/>
                <c:pt idx="0">
                  <c:v>Республика Коми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договоров'!$B$11:$E$11</c:f>
              <c:numCache>
                <c:formatCode>General</c:formatCode>
                <c:ptCount val="4"/>
                <c:pt idx="0">
                  <c:v>603791</c:v>
                </c:pt>
                <c:pt idx="1">
                  <c:v>690264</c:v>
                </c:pt>
                <c:pt idx="2">
                  <c:v>615070</c:v>
                </c:pt>
                <c:pt idx="3">
                  <c:v>530374</c:v>
                </c:pt>
              </c:numCache>
            </c:numRef>
          </c:val>
        </c:ser>
        <c:ser>
          <c:idx val="3"/>
          <c:order val="2"/>
          <c:tx>
            <c:strRef>
              <c:f>'кол-во договоров'!$A$13</c:f>
              <c:strCache>
                <c:ptCount val="1"/>
                <c:pt idx="0">
                  <c:v>Ненецкий автономный округ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договоров'!$B$13:$E$13</c:f>
              <c:numCache>
                <c:formatCode>General</c:formatCode>
                <c:ptCount val="4"/>
                <c:pt idx="0">
                  <c:v>16990</c:v>
                </c:pt>
                <c:pt idx="1">
                  <c:v>13499</c:v>
                </c:pt>
                <c:pt idx="2">
                  <c:v>13632</c:v>
                </c:pt>
                <c:pt idx="3">
                  <c:v>13454</c:v>
                </c:pt>
              </c:numCache>
            </c:numRef>
          </c:val>
        </c:ser>
        <c:ser>
          <c:idx val="4"/>
          <c:order val="3"/>
          <c:tx>
            <c:strRef>
              <c:f>'кол-во договоров'!$A$14</c:f>
              <c:strCache>
                <c:ptCount val="1"/>
                <c:pt idx="0">
                  <c:v>Вологодская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договоров'!$B$14:$E$14</c:f>
              <c:numCache>
                <c:formatCode>General</c:formatCode>
                <c:ptCount val="4"/>
                <c:pt idx="0">
                  <c:v>911404</c:v>
                </c:pt>
                <c:pt idx="1">
                  <c:v>944373</c:v>
                </c:pt>
                <c:pt idx="2">
                  <c:v>932311</c:v>
                </c:pt>
                <c:pt idx="3">
                  <c:v>881498</c:v>
                </c:pt>
              </c:numCache>
            </c:numRef>
          </c:val>
        </c:ser>
        <c:ser>
          <c:idx val="5"/>
          <c:order val="4"/>
          <c:tx>
            <c:strRef>
              <c:f>'кол-во договоров'!$A$15</c:f>
              <c:strCache>
                <c:ptCount val="1"/>
                <c:pt idx="0">
                  <c:v>Калининградская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договоров'!$B$15:$E$15</c:f>
              <c:numCache>
                <c:formatCode>General</c:formatCode>
                <c:ptCount val="4"/>
                <c:pt idx="0">
                  <c:v>872835</c:v>
                </c:pt>
                <c:pt idx="1">
                  <c:v>786484</c:v>
                </c:pt>
                <c:pt idx="2">
                  <c:v>632021</c:v>
                </c:pt>
                <c:pt idx="3">
                  <c:v>595011</c:v>
                </c:pt>
              </c:numCache>
            </c:numRef>
          </c:val>
        </c:ser>
        <c:ser>
          <c:idx val="6"/>
          <c:order val="5"/>
          <c:tx>
            <c:strRef>
              <c:f>'кол-во договоров'!$A$16</c:f>
              <c:strCache>
                <c:ptCount val="1"/>
                <c:pt idx="0">
                  <c:v>Ленинградская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договоров'!$B$16:$E$16</c:f>
              <c:numCache>
                <c:formatCode>General</c:formatCode>
                <c:ptCount val="4"/>
                <c:pt idx="0">
                  <c:v>820716</c:v>
                </c:pt>
                <c:pt idx="1">
                  <c:v>879040</c:v>
                </c:pt>
                <c:pt idx="2">
                  <c:v>789619</c:v>
                </c:pt>
                <c:pt idx="3">
                  <c:v>779745</c:v>
                </c:pt>
              </c:numCache>
            </c:numRef>
          </c:val>
        </c:ser>
        <c:ser>
          <c:idx val="7"/>
          <c:order val="6"/>
          <c:tx>
            <c:strRef>
              <c:f>'кол-во договоров'!$A$17</c:f>
              <c:strCache>
                <c:ptCount val="1"/>
                <c:pt idx="0">
                  <c:v>Мурманская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договоров'!$B$17:$E$17</c:f>
              <c:numCache>
                <c:formatCode>General</c:formatCode>
                <c:ptCount val="4"/>
                <c:pt idx="0">
                  <c:v>450257</c:v>
                </c:pt>
                <c:pt idx="1">
                  <c:v>493454</c:v>
                </c:pt>
                <c:pt idx="2">
                  <c:v>459476</c:v>
                </c:pt>
                <c:pt idx="3">
                  <c:v>385994</c:v>
                </c:pt>
              </c:numCache>
            </c:numRef>
          </c:val>
        </c:ser>
        <c:ser>
          <c:idx val="8"/>
          <c:order val="7"/>
          <c:tx>
            <c:strRef>
              <c:f>'кол-во договоров'!$A$18</c:f>
              <c:strCache>
                <c:ptCount val="1"/>
                <c:pt idx="0">
                  <c:v>Новгородская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договоров'!$B$18:$E$18</c:f>
              <c:numCache>
                <c:formatCode>General</c:formatCode>
                <c:ptCount val="4"/>
                <c:pt idx="0">
                  <c:v>403146</c:v>
                </c:pt>
                <c:pt idx="1">
                  <c:v>431936</c:v>
                </c:pt>
                <c:pt idx="2">
                  <c:v>426764</c:v>
                </c:pt>
                <c:pt idx="3">
                  <c:v>383842</c:v>
                </c:pt>
              </c:numCache>
            </c:numRef>
          </c:val>
        </c:ser>
        <c:ser>
          <c:idx val="9"/>
          <c:order val="8"/>
          <c:tx>
            <c:strRef>
              <c:f>'кол-во договоров'!$A$19</c:f>
              <c:strCache>
                <c:ptCount val="1"/>
                <c:pt idx="0">
                  <c:v>Псковская область</c:v>
                </c:pt>
              </c:strCache>
            </c:strRef>
          </c:tx>
          <c:cat>
            <c:numRef>
              <c:f>'кол-во договоров'!$B$7:$E$7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'кол-во договоров'!$B$19:$E$19</c:f>
              <c:numCache>
                <c:formatCode>General</c:formatCode>
                <c:ptCount val="4"/>
                <c:pt idx="0">
                  <c:v>553398</c:v>
                </c:pt>
                <c:pt idx="1">
                  <c:v>576212</c:v>
                </c:pt>
                <c:pt idx="2">
                  <c:v>484561</c:v>
                </c:pt>
                <c:pt idx="3">
                  <c:v>456342</c:v>
                </c:pt>
              </c:numCache>
            </c:numRef>
          </c:val>
        </c:ser>
        <c:marker val="1"/>
        <c:axId val="132596096"/>
        <c:axId val="132618112"/>
      </c:lineChart>
      <c:catAx>
        <c:axId val="132596096"/>
        <c:scaling>
          <c:orientation val="minMax"/>
        </c:scaling>
        <c:axPos val="b"/>
        <c:numFmt formatCode="General" sourceLinked="1"/>
        <c:tickLblPos val="nextTo"/>
        <c:crossAx val="132618112"/>
        <c:crosses val="autoZero"/>
        <c:auto val="1"/>
        <c:lblAlgn val="ctr"/>
        <c:lblOffset val="100"/>
      </c:catAx>
      <c:valAx>
        <c:axId val="132618112"/>
        <c:scaling>
          <c:orientation val="minMax"/>
        </c:scaling>
        <c:axPos val="l"/>
        <c:majorGridlines/>
        <c:numFmt formatCode="General" sourceLinked="1"/>
        <c:tickLblPos val="nextTo"/>
        <c:crossAx val="132596096"/>
        <c:crosses val="autoZero"/>
        <c:crossBetween val="between"/>
      </c:valAx>
    </c:plotArea>
    <c:legend>
      <c:legendPos val="r"/>
    </c:legend>
    <c:plotVisOnly val="1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B3E97C-BFED-4688-A4A6-8B227476A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5</Pages>
  <Words>1417</Words>
  <Characters>8081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moroshkina</dc:creator>
  <cp:keywords/>
  <dc:description/>
  <cp:lastModifiedBy>moroshkina</cp:lastModifiedBy>
  <cp:revision>25</cp:revision>
  <dcterms:created xsi:type="dcterms:W3CDTF">2022-12-13T09:13:00Z</dcterms:created>
  <dcterms:modified xsi:type="dcterms:W3CDTF">2023-05-12T09:03:00Z</dcterms:modified>
</cp:coreProperties>
</file>