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506A" w:rsidRPr="0088305A" w:rsidRDefault="0088305A" w:rsidP="0088305A">
      <w:pPr>
        <w:jc w:val="right"/>
        <w:rPr>
          <w:rFonts w:ascii="Times New Roman" w:hAnsi="Times New Roman" w:cs="Times New Roman"/>
          <w:b/>
          <w:sz w:val="24"/>
          <w:szCs w:val="24"/>
        </w:rPr>
      </w:pPr>
      <w:r w:rsidRPr="0088305A">
        <w:rPr>
          <w:rFonts w:ascii="Times New Roman" w:hAnsi="Times New Roman" w:cs="Times New Roman"/>
          <w:b/>
          <w:sz w:val="24"/>
          <w:szCs w:val="24"/>
        </w:rPr>
        <w:t>Лебедева М.А.</w:t>
      </w:r>
    </w:p>
    <w:p w:rsidR="0088305A" w:rsidRDefault="0088305A" w:rsidP="0088305A">
      <w:pPr>
        <w:jc w:val="center"/>
        <w:rPr>
          <w:rFonts w:ascii="Times New Roman" w:hAnsi="Times New Roman" w:cs="Times New Roman"/>
          <w:b/>
          <w:sz w:val="24"/>
          <w:szCs w:val="24"/>
        </w:rPr>
      </w:pPr>
      <w:r w:rsidRPr="0088305A">
        <w:rPr>
          <w:rFonts w:ascii="Times New Roman" w:hAnsi="Times New Roman" w:cs="Times New Roman"/>
          <w:b/>
          <w:sz w:val="24"/>
          <w:szCs w:val="24"/>
        </w:rPr>
        <w:t>Проблемы обеспечения научно-производственной кооперации в СЗФО</w:t>
      </w:r>
    </w:p>
    <w:p w:rsidR="0088305A" w:rsidRDefault="0088305A" w:rsidP="0088305A">
      <w:pPr>
        <w:jc w:val="center"/>
        <w:rPr>
          <w:rFonts w:ascii="Times New Roman" w:hAnsi="Times New Roman" w:cs="Times New Roman"/>
          <w:b/>
          <w:sz w:val="24"/>
          <w:szCs w:val="24"/>
        </w:rPr>
      </w:pPr>
    </w:p>
    <w:p w:rsidR="00363370" w:rsidRPr="0054458A" w:rsidRDefault="0088305A" w:rsidP="00363370">
      <w:pPr>
        <w:spacing w:after="0" w:line="240" w:lineRule="auto"/>
        <w:ind w:firstLine="425"/>
        <w:jc w:val="both"/>
        <w:rPr>
          <w:rFonts w:ascii="Times New Roman" w:hAnsi="Times New Roman" w:cs="Times New Roman"/>
          <w:i/>
          <w:iCs/>
        </w:rPr>
      </w:pPr>
      <w:r w:rsidRPr="0054458A">
        <w:rPr>
          <w:rFonts w:ascii="Times New Roman" w:hAnsi="Times New Roman" w:cs="Times New Roman"/>
          <w:b/>
        </w:rPr>
        <w:t>Аннотация:</w:t>
      </w:r>
      <w:r w:rsidR="00363370" w:rsidRPr="0054458A">
        <w:rPr>
          <w:rFonts w:ascii="Times New Roman" w:hAnsi="Times New Roman" w:cs="Times New Roman"/>
          <w:i/>
          <w:iCs/>
        </w:rPr>
        <w:t xml:space="preserve"> Данная работа посвящена определению проблем научно-производственной кооперации в СЗФО</w:t>
      </w:r>
      <w:r w:rsidR="0054458A">
        <w:rPr>
          <w:rFonts w:ascii="Times New Roman" w:hAnsi="Times New Roman" w:cs="Times New Roman"/>
          <w:i/>
          <w:iCs/>
        </w:rPr>
        <w:t xml:space="preserve"> России</w:t>
      </w:r>
      <w:r w:rsidR="00363370" w:rsidRPr="0054458A">
        <w:rPr>
          <w:rFonts w:ascii="Times New Roman" w:hAnsi="Times New Roman" w:cs="Times New Roman"/>
          <w:i/>
          <w:iCs/>
        </w:rPr>
        <w:t>. В результате работы определены основные проблемы научно-производственной кооперации на Северо-Западе, а также предложены направления</w:t>
      </w:r>
      <w:r w:rsidR="0054458A">
        <w:rPr>
          <w:rFonts w:ascii="Times New Roman" w:hAnsi="Times New Roman" w:cs="Times New Roman"/>
          <w:i/>
          <w:iCs/>
        </w:rPr>
        <w:t xml:space="preserve"> деятельности,</w:t>
      </w:r>
      <w:r w:rsidR="00363370" w:rsidRPr="0054458A">
        <w:rPr>
          <w:rFonts w:ascii="Times New Roman" w:hAnsi="Times New Roman" w:cs="Times New Roman"/>
          <w:i/>
          <w:iCs/>
        </w:rPr>
        <w:t xml:space="preserve"> позволяющие их нивелировать.</w:t>
      </w:r>
    </w:p>
    <w:p w:rsidR="0088305A" w:rsidRPr="00363370" w:rsidRDefault="0088305A" w:rsidP="00363370">
      <w:pPr>
        <w:spacing w:after="0" w:line="240" w:lineRule="auto"/>
        <w:ind w:firstLine="425"/>
        <w:jc w:val="both"/>
        <w:rPr>
          <w:rFonts w:ascii="Times New Roman" w:hAnsi="Times New Roman" w:cs="Times New Roman"/>
          <w:i/>
          <w:iCs/>
        </w:rPr>
      </w:pPr>
      <w:r w:rsidRPr="0054458A">
        <w:rPr>
          <w:rFonts w:ascii="Times New Roman" w:hAnsi="Times New Roman" w:cs="Times New Roman"/>
          <w:b/>
          <w:iCs/>
        </w:rPr>
        <w:t>Ключевые слова</w:t>
      </w:r>
      <w:r w:rsidR="00363370" w:rsidRPr="0054458A">
        <w:rPr>
          <w:rFonts w:ascii="Times New Roman" w:hAnsi="Times New Roman" w:cs="Times New Roman"/>
          <w:i/>
          <w:iCs/>
        </w:rPr>
        <w:t>:</w:t>
      </w:r>
      <w:r w:rsidR="00363370" w:rsidRPr="00363370">
        <w:rPr>
          <w:rFonts w:ascii="Times New Roman" w:hAnsi="Times New Roman" w:cs="Times New Roman"/>
          <w:i/>
          <w:iCs/>
        </w:rPr>
        <w:t xml:space="preserve"> научно-производственная кооперация; региональные вузы; регионы; диверсификация экономики регионов</w:t>
      </w:r>
      <w:r w:rsidR="001527D2">
        <w:rPr>
          <w:rFonts w:ascii="Times New Roman" w:hAnsi="Times New Roman" w:cs="Times New Roman"/>
          <w:i/>
          <w:iCs/>
        </w:rPr>
        <w:t>;</w:t>
      </w:r>
      <w:r w:rsidR="00363370" w:rsidRPr="00363370">
        <w:rPr>
          <w:rFonts w:ascii="Times New Roman" w:hAnsi="Times New Roman" w:cs="Times New Roman"/>
          <w:i/>
          <w:iCs/>
        </w:rPr>
        <w:t xml:space="preserve"> Северо-Западный федеральный</w:t>
      </w:r>
      <w:r w:rsidR="001527D2" w:rsidRPr="001527D2">
        <w:rPr>
          <w:rFonts w:ascii="Times New Roman" w:hAnsi="Times New Roman" w:cs="Times New Roman"/>
          <w:i/>
          <w:iCs/>
        </w:rPr>
        <w:t xml:space="preserve"> </w:t>
      </w:r>
      <w:r w:rsidR="001527D2">
        <w:rPr>
          <w:rFonts w:ascii="Times New Roman" w:hAnsi="Times New Roman" w:cs="Times New Roman"/>
          <w:i/>
          <w:iCs/>
        </w:rPr>
        <w:t>округ.</w:t>
      </w:r>
    </w:p>
    <w:p w:rsidR="00363370" w:rsidRDefault="00363370" w:rsidP="0088305A">
      <w:pPr>
        <w:jc w:val="center"/>
        <w:rPr>
          <w:rFonts w:ascii="Times New Roman" w:hAnsi="Times New Roman" w:cs="Times New Roman"/>
          <w:b/>
          <w:sz w:val="24"/>
          <w:szCs w:val="24"/>
        </w:rPr>
      </w:pPr>
    </w:p>
    <w:p w:rsid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 xml:space="preserve">В условиях новых вызовов для России все более важным становится поиск внутренних источников развития территорий, в частности, повышение инновационной активности хозяйствующих субъектов, обеспечивающей рост эффективности их работы (Леонидова, 2020). В то же время инновационная активность в России и ее административно-территориальных субъектах остается довольно низкой: наиболее высокий уровень инновационной активности организаций в 2021 году наблюдался в Приволжском федеральном округе за счет организаций Республик Татарстана, Башкортостана и Мордовии (уровень инновационной активности организаций </w:t>
      </w:r>
      <w:r w:rsidR="00C87C38">
        <w:rPr>
          <w:rFonts w:ascii="Times New Roman" w:hAnsi="Times New Roman" w:cs="Times New Roman"/>
          <w:sz w:val="24"/>
          <w:szCs w:val="24"/>
        </w:rPr>
        <w:t>– 29, 21,2 и 20% соответственно</w:t>
      </w:r>
      <w:r w:rsidRPr="0078506A">
        <w:rPr>
          <w:rFonts w:ascii="Times New Roman" w:hAnsi="Times New Roman" w:cs="Times New Roman"/>
          <w:sz w:val="24"/>
          <w:szCs w:val="24"/>
        </w:rPr>
        <w:t>). В то же время в Канаде данный показатель еще в 2019 году составлял – 79%, в Китае – 39%, в Турции – 61%</w:t>
      </w:r>
      <w:r w:rsidRPr="0078506A">
        <w:rPr>
          <w:rStyle w:val="a5"/>
          <w:rFonts w:ascii="Times New Roman" w:hAnsi="Times New Roman" w:cs="Times New Roman"/>
          <w:sz w:val="24"/>
          <w:szCs w:val="24"/>
        </w:rPr>
        <w:footnoteReference w:id="1"/>
      </w:r>
      <w:r w:rsidRPr="0078506A">
        <w:rPr>
          <w:rFonts w:ascii="Times New Roman" w:hAnsi="Times New Roman" w:cs="Times New Roman"/>
          <w:sz w:val="24"/>
          <w:szCs w:val="24"/>
        </w:rPr>
        <w:t>.</w:t>
      </w:r>
    </w:p>
    <w:p w:rsidR="0054458A" w:rsidRDefault="00C87C38" w:rsidP="00C87C38">
      <w:pPr>
        <w:spacing w:after="0" w:line="240" w:lineRule="auto"/>
        <w:ind w:firstLine="709"/>
        <w:jc w:val="both"/>
        <w:rPr>
          <w:rFonts w:ascii="Times New Roman" w:hAnsi="Times New Roman" w:cs="Times New Roman"/>
          <w:sz w:val="24"/>
          <w:szCs w:val="24"/>
        </w:rPr>
      </w:pPr>
      <w:r w:rsidRPr="00C87C38">
        <w:rPr>
          <w:rFonts w:ascii="Times New Roman" w:hAnsi="Times New Roman" w:cs="Times New Roman"/>
          <w:sz w:val="24"/>
          <w:szCs w:val="24"/>
        </w:rPr>
        <w:t xml:space="preserve">Внедрение инноваций на предприятиях происходит, как правило, либо в рамках участия в различных мерах государственной поддержки (государственные программы, национальные и региональные проекты и др.), либо посредством научно-производственной кооперации; в большинстве экономически развитых стран мира повышение уровня инновационности экономики осуществляется за счет последней, а в России в основном за счет бюджетных средств, при этом бизнес финансирует научные разработки только на 30% от общего объема их финансирования. Стоит отметить, что в кооперации науки и производства должно происходить их взаимовыгодное </w:t>
      </w:r>
      <w:r w:rsidR="00DB79BE">
        <w:rPr>
          <w:rFonts w:ascii="Times New Roman" w:hAnsi="Times New Roman" w:cs="Times New Roman"/>
          <w:sz w:val="24"/>
          <w:szCs w:val="24"/>
        </w:rPr>
        <w:t xml:space="preserve">и взаимостимулирующее развитие. </w:t>
      </w:r>
      <w:r w:rsidRPr="00C87C38">
        <w:rPr>
          <w:rFonts w:ascii="Times New Roman" w:hAnsi="Times New Roman" w:cs="Times New Roman"/>
          <w:sz w:val="24"/>
          <w:szCs w:val="24"/>
        </w:rPr>
        <w:t xml:space="preserve">Именно такая синергия может способствовать высокому уровню производства, а также повышению уровня самообеспеченности научного сектора, что в новых геополитических условиях для России чрезвычайно важно (Шамаева, 2015; Унтура, 2020). Это обусловливает актуальность поиска </w:t>
      </w:r>
      <w:r w:rsidR="0054458A">
        <w:rPr>
          <w:rFonts w:ascii="Times New Roman" w:hAnsi="Times New Roman" w:cs="Times New Roman"/>
          <w:sz w:val="24"/>
          <w:szCs w:val="24"/>
        </w:rPr>
        <w:t>проблем</w:t>
      </w:r>
    </w:p>
    <w:p w:rsidR="00C87C38" w:rsidRPr="00C87C38" w:rsidRDefault="00C87C38" w:rsidP="00C87C38">
      <w:pPr>
        <w:spacing w:after="0" w:line="240" w:lineRule="auto"/>
        <w:ind w:firstLine="709"/>
        <w:jc w:val="both"/>
        <w:rPr>
          <w:rFonts w:ascii="Times New Roman" w:hAnsi="Times New Roman" w:cs="Times New Roman"/>
          <w:sz w:val="24"/>
          <w:szCs w:val="24"/>
        </w:rPr>
      </w:pPr>
      <w:r w:rsidRPr="00C87C38">
        <w:rPr>
          <w:rFonts w:ascii="Times New Roman" w:hAnsi="Times New Roman" w:cs="Times New Roman"/>
          <w:sz w:val="24"/>
          <w:szCs w:val="24"/>
        </w:rPr>
        <w:t xml:space="preserve"> для кооперации науки и бизнеса. Большое число исследований вопросов научно-производственной кооперации проведены на национальном уровне, в то время как на региональном уровне данным вопросам не уделяется должного внимания в научном сообществе. Поэтому целью данной работы стало определение проблем обеспечения кооперации науки и бизнеса в регионах (на примере Северо-Западного федерального округа (СЗФО)). Данный макрорегион был выбран по причине его наибольшей подверженности негативному влиянию западных санкций (Ускова, Кувалин, Лукин, Широкова, Зинченко, 2022).</w:t>
      </w:r>
    </w:p>
    <w:p w:rsid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Для начала предлагаем рассмотреть данные по разработке производственных передовых технологий (ППТ) в регионах СЗФО. Росстат с целью обеспечения конфиденциальности в большинстве регионов не публикует данные, однако по городу федерального значения Санкт-Петербургу представлен достаточно по</w:t>
      </w:r>
      <w:r w:rsidR="00DB79BE">
        <w:rPr>
          <w:rFonts w:ascii="Times New Roman" w:hAnsi="Times New Roman" w:cs="Times New Roman"/>
          <w:sz w:val="24"/>
          <w:szCs w:val="24"/>
        </w:rPr>
        <w:t>лный динамический ряд (таблица 1</w:t>
      </w:r>
      <w:r w:rsidRPr="0078506A">
        <w:rPr>
          <w:rFonts w:ascii="Times New Roman" w:hAnsi="Times New Roman" w:cs="Times New Roman"/>
          <w:sz w:val="24"/>
          <w:szCs w:val="24"/>
        </w:rPr>
        <w:t>).</w:t>
      </w:r>
    </w:p>
    <w:p w:rsidR="00DB79BE" w:rsidRDefault="00DB79BE" w:rsidP="0078506A">
      <w:pPr>
        <w:spacing w:after="0" w:line="240" w:lineRule="auto"/>
        <w:ind w:firstLine="709"/>
        <w:jc w:val="both"/>
        <w:rPr>
          <w:rFonts w:ascii="Times New Roman" w:hAnsi="Times New Roman" w:cs="Times New Roman"/>
          <w:sz w:val="24"/>
          <w:szCs w:val="24"/>
        </w:rPr>
      </w:pPr>
    </w:p>
    <w:p w:rsidR="00DB79BE" w:rsidRDefault="00DB79BE" w:rsidP="0078506A">
      <w:pPr>
        <w:spacing w:after="0" w:line="240" w:lineRule="auto"/>
        <w:ind w:firstLine="709"/>
        <w:jc w:val="both"/>
        <w:rPr>
          <w:rFonts w:ascii="Times New Roman" w:hAnsi="Times New Roman" w:cs="Times New Roman"/>
          <w:sz w:val="24"/>
          <w:szCs w:val="24"/>
        </w:rPr>
      </w:pPr>
    </w:p>
    <w:p w:rsidR="00DB79BE" w:rsidRDefault="00DB79BE" w:rsidP="0078506A">
      <w:pPr>
        <w:spacing w:after="0" w:line="240" w:lineRule="auto"/>
        <w:ind w:firstLine="709"/>
        <w:jc w:val="both"/>
        <w:rPr>
          <w:rFonts w:ascii="Times New Roman" w:hAnsi="Times New Roman" w:cs="Times New Roman"/>
          <w:sz w:val="24"/>
          <w:szCs w:val="24"/>
        </w:rPr>
      </w:pPr>
    </w:p>
    <w:p w:rsidR="0078506A" w:rsidRPr="0078506A" w:rsidRDefault="00DB79BE" w:rsidP="0078506A">
      <w:pPr>
        <w:widowControl w:val="0"/>
        <w:spacing w:after="0" w:line="240" w:lineRule="auto"/>
        <w:jc w:val="center"/>
        <w:rPr>
          <w:rFonts w:ascii="Times New Roman" w:hAnsi="Times New Roman" w:cs="Times New Roman"/>
          <w:b/>
          <w:bCs/>
          <w:sz w:val="24"/>
          <w:szCs w:val="24"/>
        </w:rPr>
      </w:pPr>
      <w:r>
        <w:rPr>
          <w:rFonts w:ascii="Times New Roman" w:hAnsi="Times New Roman" w:cs="Times New Roman"/>
          <w:sz w:val="24"/>
          <w:szCs w:val="24"/>
        </w:rPr>
        <w:lastRenderedPageBreak/>
        <w:t>Таблица 1</w:t>
      </w:r>
      <w:r w:rsidR="0078506A" w:rsidRPr="0078506A">
        <w:rPr>
          <w:rFonts w:ascii="Times New Roman" w:hAnsi="Times New Roman" w:cs="Times New Roman"/>
          <w:sz w:val="24"/>
          <w:szCs w:val="24"/>
        </w:rPr>
        <w:t xml:space="preserve">. </w:t>
      </w:r>
      <w:r w:rsidR="0078506A" w:rsidRPr="0078506A">
        <w:rPr>
          <w:rFonts w:ascii="Times New Roman" w:hAnsi="Times New Roman" w:cs="Times New Roman"/>
          <w:b/>
          <w:bCs/>
          <w:sz w:val="24"/>
          <w:szCs w:val="24"/>
        </w:rPr>
        <w:t>Разработанные передовые производственные технологии, ед. на 100 тысяч чел. населения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4"/>
        <w:gridCol w:w="825"/>
        <w:gridCol w:w="823"/>
        <w:gridCol w:w="823"/>
        <w:gridCol w:w="823"/>
        <w:gridCol w:w="823"/>
        <w:gridCol w:w="823"/>
        <w:gridCol w:w="1794"/>
      </w:tblGrid>
      <w:tr w:rsidR="0078506A" w:rsidRPr="0078506A" w:rsidTr="0078506A">
        <w:trPr>
          <w:trHeight w:val="142"/>
        </w:trPr>
        <w:tc>
          <w:tcPr>
            <w:tcW w:w="154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Территория</w:t>
            </w:r>
          </w:p>
        </w:tc>
        <w:tc>
          <w:tcPr>
            <w:tcW w:w="47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2005 г.</w:t>
            </w:r>
          </w:p>
        </w:tc>
        <w:tc>
          <w:tcPr>
            <w:tcW w:w="47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2010 г.</w:t>
            </w:r>
          </w:p>
        </w:tc>
        <w:tc>
          <w:tcPr>
            <w:tcW w:w="47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2015 г.</w:t>
            </w:r>
          </w:p>
        </w:tc>
        <w:tc>
          <w:tcPr>
            <w:tcW w:w="47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2019 г.</w:t>
            </w:r>
          </w:p>
        </w:tc>
        <w:tc>
          <w:tcPr>
            <w:tcW w:w="47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2020 г.</w:t>
            </w:r>
          </w:p>
        </w:tc>
        <w:tc>
          <w:tcPr>
            <w:tcW w:w="47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w:t>
            </w:r>
          </w:p>
        </w:tc>
        <w:tc>
          <w:tcPr>
            <w:tcW w:w="625" w:type="pct"/>
            <w:shd w:val="clear" w:color="auto" w:fill="auto"/>
            <w:noWrap/>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 к 2005 г, %</w:t>
            </w:r>
          </w:p>
        </w:tc>
      </w:tr>
      <w:tr w:rsidR="0078506A" w:rsidRPr="0078506A" w:rsidTr="0078506A">
        <w:trPr>
          <w:trHeight w:val="117"/>
        </w:trPr>
        <w:tc>
          <w:tcPr>
            <w:tcW w:w="1546"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РФ</w:t>
            </w:r>
          </w:p>
        </w:tc>
        <w:tc>
          <w:tcPr>
            <w:tcW w:w="472"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0,4</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0,6</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w:t>
            </w:r>
          </w:p>
        </w:tc>
        <w:tc>
          <w:tcPr>
            <w:tcW w:w="625"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3,4 раза</w:t>
            </w:r>
          </w:p>
        </w:tc>
      </w:tr>
      <w:tr w:rsidR="0078506A" w:rsidRPr="0078506A" w:rsidTr="0078506A">
        <w:trPr>
          <w:trHeight w:val="135"/>
        </w:trPr>
        <w:tc>
          <w:tcPr>
            <w:tcW w:w="1546"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СЗФО</w:t>
            </w:r>
          </w:p>
        </w:tc>
        <w:tc>
          <w:tcPr>
            <w:tcW w:w="472"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0,8</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1,9</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2,8</w:t>
            </w:r>
          </w:p>
        </w:tc>
        <w:tc>
          <w:tcPr>
            <w:tcW w:w="625"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3,7 раза</w:t>
            </w:r>
          </w:p>
        </w:tc>
      </w:tr>
      <w:tr w:rsidR="0078506A" w:rsidRPr="0078506A" w:rsidTr="0078506A">
        <w:trPr>
          <w:trHeight w:val="152"/>
        </w:trPr>
        <w:tc>
          <w:tcPr>
            <w:tcW w:w="1546" w:type="pct"/>
            <w:shd w:val="clear" w:color="auto" w:fill="auto"/>
            <w:noWrap/>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Санкт-Петербург (СПб)</w:t>
            </w:r>
          </w:p>
        </w:tc>
        <w:tc>
          <w:tcPr>
            <w:tcW w:w="472"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2,6</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2,9</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3,6</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5,5</w:t>
            </w:r>
          </w:p>
        </w:tc>
        <w:tc>
          <w:tcPr>
            <w:tcW w:w="625"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3,9 раза</w:t>
            </w:r>
          </w:p>
        </w:tc>
      </w:tr>
      <w:tr w:rsidR="0078506A" w:rsidRPr="0078506A" w:rsidTr="0078506A">
        <w:trPr>
          <w:trHeight w:val="60"/>
        </w:trPr>
        <w:tc>
          <w:tcPr>
            <w:tcW w:w="1546" w:type="pct"/>
            <w:shd w:val="clear" w:color="auto" w:fill="auto"/>
            <w:noWrap/>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Регионы СЗФО, кроме СПб</w:t>
            </w:r>
          </w:p>
        </w:tc>
        <w:tc>
          <w:tcPr>
            <w:tcW w:w="472"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0,4</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0,3</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0,9</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0,9</w:t>
            </w:r>
          </w:p>
        </w:tc>
        <w:tc>
          <w:tcPr>
            <w:tcW w:w="471"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w:t>
            </w:r>
          </w:p>
        </w:tc>
        <w:tc>
          <w:tcPr>
            <w:tcW w:w="625"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2,7 раза</w:t>
            </w:r>
          </w:p>
        </w:tc>
      </w:tr>
    </w:tbl>
    <w:p w:rsidR="0078506A" w:rsidRPr="0078506A" w:rsidRDefault="0078506A" w:rsidP="0078506A">
      <w:pPr>
        <w:spacing w:line="240" w:lineRule="auto"/>
        <w:rPr>
          <w:rFonts w:ascii="Times New Roman" w:hAnsi="Times New Roman" w:cs="Times New Roman"/>
        </w:rPr>
      </w:pPr>
      <w:r w:rsidRPr="0078506A">
        <w:rPr>
          <w:rFonts w:ascii="Times New Roman" w:hAnsi="Times New Roman" w:cs="Times New Roman"/>
        </w:rPr>
        <w:t xml:space="preserve">Источник: Регионы России. Социально-экономические показатели. 2022. </w:t>
      </w:r>
    </w:p>
    <w:p w:rsidR="0078506A" w:rsidRPr="0078506A" w:rsidRDefault="00DB79BE" w:rsidP="00DB79B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 данным таблицы 1</w:t>
      </w:r>
      <w:r w:rsidR="0078506A" w:rsidRPr="0078506A">
        <w:rPr>
          <w:rFonts w:ascii="Times New Roman" w:hAnsi="Times New Roman" w:cs="Times New Roman"/>
          <w:sz w:val="24"/>
          <w:szCs w:val="24"/>
        </w:rPr>
        <w:t xml:space="preserve"> видно, что и в России, и в СЗФО, и его регионах число разработанных передовых производственных технологий в расчете на 100 тыс. населения заметно увеличилось (в 2,7 – 3,9 раза). На фоне всех регионов Северо-Запада выделяется г. Санкт-Петербург, где удельные показатели по разработке ППТ и темпы роста их количества значительно больше аналогичных показателей в среднем по СЗФО и России в целом. </w:t>
      </w:r>
    </w:p>
    <w:p w:rsid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 xml:space="preserve">Отдельного внимания заслуживают организации, занимающиеся научными исследованиями (таблица </w:t>
      </w:r>
      <w:r w:rsidR="002E66D3">
        <w:rPr>
          <w:rFonts w:ascii="Times New Roman" w:hAnsi="Times New Roman" w:cs="Times New Roman"/>
          <w:sz w:val="24"/>
          <w:szCs w:val="24"/>
        </w:rPr>
        <w:t>2</w:t>
      </w:r>
      <w:r w:rsidRPr="0078506A">
        <w:rPr>
          <w:rFonts w:ascii="Times New Roman" w:hAnsi="Times New Roman" w:cs="Times New Roman"/>
          <w:sz w:val="24"/>
          <w:szCs w:val="24"/>
        </w:rPr>
        <w:t>). В большинстве регионов СЗФО, за исключением Санкт-Петербурга, их число в расчете на душу населения увеличилось. В то же время сокращение данного удельного показателя в Санкт-Петербурге сказалось и на федеральном округе в целом.</w:t>
      </w:r>
    </w:p>
    <w:p w:rsidR="00DB79BE" w:rsidRPr="0078506A" w:rsidRDefault="00DB79BE" w:rsidP="0078506A">
      <w:pPr>
        <w:spacing w:after="0" w:line="240" w:lineRule="auto"/>
        <w:ind w:firstLine="709"/>
        <w:jc w:val="both"/>
        <w:rPr>
          <w:rFonts w:ascii="Times New Roman" w:hAnsi="Times New Roman" w:cs="Times New Roman"/>
          <w:sz w:val="24"/>
          <w:szCs w:val="24"/>
        </w:rPr>
      </w:pPr>
    </w:p>
    <w:p w:rsidR="0078506A" w:rsidRPr="0078506A" w:rsidRDefault="002E66D3" w:rsidP="0078506A">
      <w:pPr>
        <w:spacing w:after="0" w:line="240" w:lineRule="auto"/>
        <w:jc w:val="center"/>
        <w:rPr>
          <w:rFonts w:ascii="Times New Roman" w:hAnsi="Times New Roman" w:cs="Times New Roman"/>
          <w:b/>
          <w:bCs/>
          <w:sz w:val="24"/>
          <w:szCs w:val="24"/>
        </w:rPr>
      </w:pPr>
      <w:r>
        <w:rPr>
          <w:rFonts w:ascii="Times New Roman" w:hAnsi="Times New Roman" w:cs="Times New Roman"/>
          <w:sz w:val="24"/>
          <w:szCs w:val="24"/>
        </w:rPr>
        <w:t>Таблица 2</w:t>
      </w:r>
      <w:r w:rsidR="0078506A" w:rsidRPr="0078506A">
        <w:rPr>
          <w:rFonts w:ascii="Times New Roman" w:hAnsi="Times New Roman" w:cs="Times New Roman"/>
          <w:sz w:val="24"/>
          <w:szCs w:val="24"/>
        </w:rPr>
        <w:t xml:space="preserve">. </w:t>
      </w:r>
      <w:r w:rsidR="0078506A" w:rsidRPr="0078506A">
        <w:rPr>
          <w:rFonts w:ascii="Times New Roman" w:hAnsi="Times New Roman" w:cs="Times New Roman"/>
          <w:b/>
          <w:bCs/>
          <w:sz w:val="24"/>
          <w:szCs w:val="24"/>
        </w:rPr>
        <w:t>Число организаций, выполнявшие научные исследования и разработки, ед. на 100 тысяч чел. населения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5"/>
        <w:gridCol w:w="805"/>
        <w:gridCol w:w="803"/>
        <w:gridCol w:w="803"/>
        <w:gridCol w:w="803"/>
        <w:gridCol w:w="803"/>
        <w:gridCol w:w="801"/>
        <w:gridCol w:w="1995"/>
      </w:tblGrid>
      <w:tr w:rsidR="0078506A" w:rsidRPr="0078506A" w:rsidTr="0078506A">
        <w:trPr>
          <w:trHeight w:val="273"/>
          <w:jc w:val="center"/>
        </w:trPr>
        <w:tc>
          <w:tcPr>
            <w:tcW w:w="1462" w:type="pct"/>
            <w:shd w:val="clear" w:color="auto" w:fill="auto"/>
            <w:noWrap/>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Территория</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2005 г.</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2010 г.</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2015 г.</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2019 г.</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2020 г.</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 к 2005 г., %</w:t>
            </w:r>
          </w:p>
        </w:tc>
      </w:tr>
      <w:tr w:rsidR="0078506A" w:rsidRPr="0078506A" w:rsidTr="0078506A">
        <w:trPr>
          <w:trHeight w:val="136"/>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Российская Федерация</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2,5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2,4</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2,8</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2,8</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2,9</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2,9</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115,2</w:t>
            </w:r>
          </w:p>
        </w:tc>
      </w:tr>
      <w:tr w:rsidR="0078506A" w:rsidRPr="0078506A" w:rsidTr="0078506A">
        <w:trPr>
          <w:trHeight w:val="125"/>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СЗФО</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3,9</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3,7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3,6</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3,7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3,7</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3,9</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99,6</w:t>
            </w:r>
          </w:p>
        </w:tc>
      </w:tr>
      <w:tr w:rsidR="0078506A" w:rsidRPr="0078506A" w:rsidTr="0078506A">
        <w:trPr>
          <w:trHeight w:val="232"/>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г. Санкт-Петербург</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8,1</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6,9</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5,7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5,9</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5,9</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6,4</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78,9</w:t>
            </w:r>
          </w:p>
        </w:tc>
      </w:tr>
      <w:tr w:rsidR="0078506A" w:rsidRPr="0078506A" w:rsidTr="0078506A">
        <w:trPr>
          <w:trHeight w:val="133"/>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Республика Карелия</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2,4</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3,3</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140,1</w:t>
            </w:r>
          </w:p>
        </w:tc>
      </w:tr>
      <w:tr w:rsidR="0078506A" w:rsidRPr="0078506A" w:rsidTr="0078506A">
        <w:trPr>
          <w:trHeight w:val="138"/>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Мурманская область</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3,2</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156,6</w:t>
            </w:r>
          </w:p>
        </w:tc>
      </w:tr>
      <w:tr w:rsidR="0078506A" w:rsidRPr="0078506A" w:rsidTr="0078506A">
        <w:trPr>
          <w:trHeight w:val="126"/>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Республика Коми</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2,6</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3,3</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157,8</w:t>
            </w:r>
          </w:p>
        </w:tc>
      </w:tr>
      <w:tr w:rsidR="0078506A" w:rsidRPr="0078506A" w:rsidTr="0078506A">
        <w:trPr>
          <w:trHeight w:val="171"/>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Архангельская область</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2,9</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141,6</w:t>
            </w:r>
          </w:p>
        </w:tc>
      </w:tr>
      <w:tr w:rsidR="0078506A" w:rsidRPr="0078506A" w:rsidTr="0078506A">
        <w:trPr>
          <w:trHeight w:val="176"/>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Новгородская область</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1,9</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2,8</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2,9</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2,4</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159,1</w:t>
            </w:r>
          </w:p>
        </w:tc>
      </w:tr>
      <w:tr w:rsidR="0078506A" w:rsidRPr="0078506A" w:rsidTr="0078506A">
        <w:trPr>
          <w:trHeight w:val="126"/>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Псковская область</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1,9</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2,6</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2,1</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2,1</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152,9</w:t>
            </w:r>
          </w:p>
        </w:tc>
      </w:tr>
      <w:tr w:rsidR="0078506A" w:rsidRPr="0078506A" w:rsidTr="0078506A">
        <w:trPr>
          <w:trHeight w:val="171"/>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Ленинградская область</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1,9</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113,3</w:t>
            </w:r>
          </w:p>
        </w:tc>
      </w:tr>
      <w:tr w:rsidR="0078506A" w:rsidRPr="0078506A" w:rsidTr="0078506A">
        <w:trPr>
          <w:trHeight w:val="218"/>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Калининградская область</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1,6</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110,6</w:t>
            </w:r>
          </w:p>
        </w:tc>
      </w:tr>
      <w:tr w:rsidR="0078506A" w:rsidRPr="0078506A" w:rsidTr="0078506A">
        <w:trPr>
          <w:trHeight w:val="192"/>
          <w:jc w:val="center"/>
        </w:trPr>
        <w:tc>
          <w:tcPr>
            <w:tcW w:w="1462"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Вологодская область</w:t>
            </w:r>
          </w:p>
        </w:tc>
        <w:tc>
          <w:tcPr>
            <w:tcW w:w="418"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1,2</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w:t>
            </w:r>
          </w:p>
        </w:tc>
        <w:tc>
          <w:tcPr>
            <w:tcW w:w="41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1,6</w:t>
            </w:r>
          </w:p>
        </w:tc>
        <w:tc>
          <w:tcPr>
            <w:tcW w:w="416"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1,6</w:t>
            </w:r>
          </w:p>
        </w:tc>
        <w:tc>
          <w:tcPr>
            <w:tcW w:w="103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130,1</w:t>
            </w:r>
          </w:p>
        </w:tc>
      </w:tr>
    </w:tbl>
    <w:p w:rsidR="0078506A" w:rsidRPr="0078506A" w:rsidRDefault="0078506A" w:rsidP="00DB79BE">
      <w:pPr>
        <w:spacing w:after="0" w:line="240" w:lineRule="auto"/>
        <w:rPr>
          <w:rFonts w:ascii="Times New Roman" w:hAnsi="Times New Roman" w:cs="Times New Roman"/>
        </w:rPr>
      </w:pPr>
      <w:r w:rsidRPr="0078506A">
        <w:rPr>
          <w:rFonts w:ascii="Times New Roman" w:hAnsi="Times New Roman" w:cs="Times New Roman"/>
        </w:rPr>
        <w:t>Источник: Регионы России. Социально-экономические показатели. 2022.</w:t>
      </w:r>
    </w:p>
    <w:p w:rsidR="0078506A" w:rsidRPr="0078506A" w:rsidRDefault="0078506A" w:rsidP="0078506A">
      <w:pPr>
        <w:spacing w:after="0" w:line="240" w:lineRule="auto"/>
        <w:ind w:firstLine="709"/>
        <w:jc w:val="both"/>
        <w:rPr>
          <w:rFonts w:ascii="Times New Roman" w:hAnsi="Times New Roman" w:cs="Times New Roman"/>
          <w:sz w:val="28"/>
          <w:szCs w:val="28"/>
        </w:rPr>
      </w:pPr>
    </w:p>
    <w:p w:rsidR="0078506A" w:rsidRP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В целом можно заметить, что наибольший эффект для науки и соответственно потенциально для производственного бизнеса дают научные и образовательные г. Санкт-Петербурга. Об этом свидетельствует и участие обра</w:t>
      </w:r>
      <w:r w:rsidR="0054458A">
        <w:rPr>
          <w:rFonts w:ascii="Times New Roman" w:hAnsi="Times New Roman" w:cs="Times New Roman"/>
          <w:sz w:val="24"/>
          <w:szCs w:val="24"/>
        </w:rPr>
        <w:t>зовательных и научных учреждений</w:t>
      </w:r>
      <w:r w:rsidRPr="0078506A">
        <w:rPr>
          <w:rFonts w:ascii="Times New Roman" w:hAnsi="Times New Roman" w:cs="Times New Roman"/>
          <w:sz w:val="24"/>
          <w:szCs w:val="24"/>
        </w:rPr>
        <w:t xml:space="preserve"> регионов в существующих формах кооперации.</w:t>
      </w:r>
    </w:p>
    <w:p w:rsidR="0078506A" w:rsidRPr="0078506A" w:rsidRDefault="0078506A" w:rsidP="0078506A">
      <w:pPr>
        <w:widowControl w:val="0"/>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В настоящее время в России функционируют 15 Научно-образовательных центров мирового уровня (НОЦМУ). В 7 из них включены о</w:t>
      </w:r>
      <w:r w:rsidR="001527D2">
        <w:rPr>
          <w:rFonts w:ascii="Times New Roman" w:hAnsi="Times New Roman" w:cs="Times New Roman"/>
          <w:sz w:val="24"/>
          <w:szCs w:val="24"/>
        </w:rPr>
        <w:t xml:space="preserve">рганизации г. Санкт-Петербурга. </w:t>
      </w:r>
      <w:r w:rsidRPr="0078506A">
        <w:rPr>
          <w:rFonts w:ascii="Times New Roman" w:hAnsi="Times New Roman" w:cs="Times New Roman"/>
          <w:sz w:val="24"/>
          <w:szCs w:val="24"/>
        </w:rPr>
        <w:t>Среди других регионов СЗФО в НОЦМУ принимают участие только Архангельская область, Мурманская область и Ненецкий автономный округ. Данные регионы являются инициаторами создания НОЦМУ «Российская Арктика: новые материалы, технологии и методы». Сюда же вошли некоторые учреждения высшего образования и науки Республики Коми. Республика Карелия и Псковская, Новгородская и Вологодская области не вошли ни в один НОЦМУ</w:t>
      </w:r>
      <w:r w:rsidRPr="0078506A">
        <w:rPr>
          <w:rFonts w:ascii="Times New Roman" w:hAnsi="Times New Roman" w:cs="Times New Roman"/>
          <w:sz w:val="24"/>
          <w:szCs w:val="24"/>
          <w:vertAlign w:val="superscript"/>
        </w:rPr>
        <w:footnoteReference w:id="2"/>
      </w:r>
      <w:r w:rsidRPr="0078506A">
        <w:rPr>
          <w:rFonts w:ascii="Times New Roman" w:hAnsi="Times New Roman" w:cs="Times New Roman"/>
          <w:sz w:val="24"/>
          <w:szCs w:val="24"/>
        </w:rPr>
        <w:t>.</w:t>
      </w:r>
    </w:p>
    <w:p w:rsidR="0078506A" w:rsidRP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Предлагаем рассмотреть причины такой ситуации. На наш взгляд, стоит уделить первоочередное внимание вопросу подготовки кадров для науки. Во-первых, это проблемы в стипендиальном обеспечении вузов в регионах. Кроме того, что академическая стипендия в вузах составляет порядка 10-20% от прожиточного минимума по региону, так и ее размер даже в крупных вузах может зависеть не только от результатов конкретного обучающегося, но и от количества других студентов, получающих оценки «хорошо» и «отлично», что также не способствует продолжению обучения в магистратуре и аспирантуре. Во-вторых, значительное внимание стоит уделить и условиям работы преподавателей высшей школы, так как от ее качества зависит и уровень подготовки будущих исследователей, а также время их адаптации при начале работы в научной сфере. До недавнего времени для преподавателей высшей школы ставилась задача привлечения денег в университеты в размере 100 тысяч рублей в год с преподавателя. Такая дополнительная научно-исследовательская работа для преподавателя требовала времени, изымаемого, как правило, за счет качества образовательного процесса, что не могло не сказаться на подготовке кадров. Более того это провоцировало появление фиктивных научных исследований, результаты которых не были направлены на решение ни фундаментальных, ни прикладных задач. Ситуация доходила до того, что преподаватели брали кредиты и сами себе заказывали хоздоговорные работы, в противном случае их ожидали штрафы и увольнение</w:t>
      </w:r>
      <w:r w:rsidRPr="0078506A">
        <w:rPr>
          <w:rStyle w:val="a5"/>
          <w:rFonts w:ascii="Times New Roman" w:hAnsi="Times New Roman" w:cs="Times New Roman"/>
          <w:sz w:val="24"/>
          <w:szCs w:val="24"/>
        </w:rPr>
        <w:footnoteReference w:id="3"/>
      </w:r>
      <w:r w:rsidRPr="0078506A">
        <w:rPr>
          <w:rFonts w:ascii="Times New Roman" w:hAnsi="Times New Roman" w:cs="Times New Roman"/>
          <w:sz w:val="24"/>
          <w:szCs w:val="24"/>
        </w:rPr>
        <w:t>. Только в конце 2022 года в университеты поступили разъяснения, в которых указали, что привлечение внебюджетных средств в университет является задачей ректора и его заместителей, так как обеспечение доходов университета – их прямая обязанность</w:t>
      </w:r>
      <w:r w:rsidRPr="0078506A">
        <w:rPr>
          <w:rStyle w:val="a5"/>
          <w:rFonts w:ascii="Times New Roman" w:hAnsi="Times New Roman" w:cs="Times New Roman"/>
          <w:sz w:val="24"/>
          <w:szCs w:val="24"/>
        </w:rPr>
        <w:footnoteReference w:id="4"/>
      </w:r>
      <w:r w:rsidRPr="0078506A">
        <w:rPr>
          <w:rFonts w:ascii="Times New Roman" w:hAnsi="Times New Roman" w:cs="Times New Roman"/>
          <w:sz w:val="24"/>
          <w:szCs w:val="24"/>
        </w:rPr>
        <w:t>. А такие процессы наблюдались в вузах далеко не первый год.</w:t>
      </w:r>
    </w:p>
    <w:p w:rsidR="0078506A" w:rsidRP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Все эти обстоятельства снижают востребованность вузов вне Санкт-Петербурга для абитуриентов и потенциальных сотрудников, тем самым уменьшая число подготовленных кадров для научных исследований в регионах. Работа, проведенная НИУ ВШЭ, подтверждает, что уровень востребованности вузов в регионах СЗФО значительно уступает аналогичному показа</w:t>
      </w:r>
      <w:r w:rsidR="002E66D3">
        <w:rPr>
          <w:rFonts w:ascii="Times New Roman" w:hAnsi="Times New Roman" w:cs="Times New Roman"/>
          <w:sz w:val="24"/>
          <w:szCs w:val="24"/>
        </w:rPr>
        <w:t>телю Санкт-Петербурга</w:t>
      </w:r>
      <w:r w:rsidRPr="0078506A">
        <w:rPr>
          <w:rFonts w:ascii="Times New Roman" w:hAnsi="Times New Roman" w:cs="Times New Roman"/>
          <w:sz w:val="24"/>
          <w:szCs w:val="24"/>
        </w:rPr>
        <w:t xml:space="preserve"> (Козлов, Платонова, Лешуков, 2017</w:t>
      </w:r>
      <w:r w:rsidR="002E66D3">
        <w:rPr>
          <w:rFonts w:ascii="Times New Roman" w:hAnsi="Times New Roman" w:cs="Times New Roman"/>
          <w:sz w:val="24"/>
          <w:szCs w:val="24"/>
        </w:rPr>
        <w:t>,</w:t>
      </w:r>
      <w:r w:rsidR="002E66D3" w:rsidRPr="002E66D3">
        <w:rPr>
          <w:rFonts w:ascii="Times New Roman" w:hAnsi="Times New Roman" w:cs="Times New Roman"/>
          <w:sz w:val="24"/>
          <w:szCs w:val="24"/>
        </w:rPr>
        <w:t xml:space="preserve"> </w:t>
      </w:r>
      <w:r w:rsidR="002E66D3">
        <w:rPr>
          <w:rFonts w:ascii="Times New Roman" w:hAnsi="Times New Roman" w:cs="Times New Roman"/>
          <w:sz w:val="24"/>
          <w:szCs w:val="24"/>
        </w:rPr>
        <w:t>таблица 3</w:t>
      </w:r>
      <w:r w:rsidRPr="0078506A">
        <w:rPr>
          <w:rFonts w:ascii="Times New Roman" w:hAnsi="Times New Roman" w:cs="Times New Roman"/>
          <w:sz w:val="24"/>
          <w:szCs w:val="24"/>
        </w:rPr>
        <w:t>).</w:t>
      </w:r>
    </w:p>
    <w:p w:rsidR="0078506A" w:rsidRPr="0078506A" w:rsidRDefault="0078506A" w:rsidP="0078506A">
      <w:pPr>
        <w:spacing w:after="0" w:line="240" w:lineRule="auto"/>
        <w:ind w:firstLine="709"/>
        <w:jc w:val="center"/>
        <w:rPr>
          <w:rFonts w:ascii="Times New Roman" w:hAnsi="Times New Roman" w:cs="Times New Roman"/>
          <w:sz w:val="24"/>
          <w:szCs w:val="24"/>
        </w:rPr>
      </w:pPr>
    </w:p>
    <w:p w:rsidR="0078506A" w:rsidRPr="0078506A" w:rsidRDefault="002E66D3" w:rsidP="001527D2">
      <w:pPr>
        <w:spacing w:after="0" w:line="240" w:lineRule="auto"/>
        <w:jc w:val="center"/>
        <w:rPr>
          <w:rFonts w:ascii="Times New Roman" w:eastAsia="Times New Roman" w:hAnsi="Times New Roman" w:cs="Times New Roman"/>
          <w:b/>
          <w:bCs/>
          <w:color w:val="242021"/>
          <w:sz w:val="24"/>
          <w:szCs w:val="24"/>
          <w:lang w:eastAsia="ru-RU"/>
        </w:rPr>
      </w:pPr>
      <w:r>
        <w:rPr>
          <w:rFonts w:ascii="Times New Roman" w:hAnsi="Times New Roman" w:cs="Times New Roman"/>
          <w:sz w:val="24"/>
          <w:szCs w:val="24"/>
        </w:rPr>
        <w:t>Таблица 3</w:t>
      </w:r>
      <w:r w:rsidR="0078506A" w:rsidRPr="0078506A">
        <w:rPr>
          <w:rFonts w:ascii="Times New Roman" w:hAnsi="Times New Roman" w:cs="Times New Roman"/>
          <w:sz w:val="24"/>
          <w:szCs w:val="24"/>
        </w:rPr>
        <w:t xml:space="preserve">. </w:t>
      </w:r>
      <w:r w:rsidR="0078506A" w:rsidRPr="0054458A">
        <w:rPr>
          <w:rFonts w:ascii="Times New Roman" w:eastAsia="Times New Roman" w:hAnsi="Times New Roman" w:cs="Times New Roman"/>
          <w:b/>
          <w:bCs/>
          <w:sz w:val="24"/>
          <w:szCs w:val="24"/>
          <w:lang w:eastAsia="ru-RU"/>
        </w:rPr>
        <w:t>Значения показателя востребованности систем высшего</w:t>
      </w:r>
      <w:r w:rsidR="001527D2" w:rsidRPr="0054458A">
        <w:rPr>
          <w:rFonts w:ascii="Times New Roman" w:eastAsia="Times New Roman" w:hAnsi="Times New Roman" w:cs="Times New Roman"/>
          <w:b/>
          <w:bCs/>
          <w:sz w:val="24"/>
          <w:szCs w:val="24"/>
          <w:lang w:eastAsia="ru-RU"/>
        </w:rPr>
        <w:t xml:space="preserve"> </w:t>
      </w:r>
      <w:r w:rsidR="0078506A" w:rsidRPr="0054458A">
        <w:rPr>
          <w:rFonts w:ascii="Times New Roman" w:eastAsia="Times New Roman" w:hAnsi="Times New Roman" w:cs="Times New Roman"/>
          <w:b/>
          <w:bCs/>
          <w:sz w:val="24"/>
          <w:szCs w:val="24"/>
          <w:lang w:eastAsia="ru-RU"/>
        </w:rPr>
        <w:t>образования регионов</w:t>
      </w:r>
      <w:r w:rsidR="0078506A" w:rsidRPr="0078506A">
        <w:rPr>
          <w:rStyle w:val="a5"/>
          <w:rFonts w:ascii="Times New Roman" w:eastAsia="Times New Roman" w:hAnsi="Times New Roman" w:cs="Times New Roman"/>
          <w:b/>
          <w:bCs/>
          <w:color w:val="242021"/>
          <w:sz w:val="24"/>
          <w:szCs w:val="24"/>
          <w:lang w:eastAsia="ru-RU"/>
        </w:rPr>
        <w:footnoteReference w:id="5"/>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1"/>
        <w:gridCol w:w="2696"/>
        <w:gridCol w:w="2411"/>
        <w:gridCol w:w="2120"/>
      </w:tblGrid>
      <w:tr w:rsidR="0078506A" w:rsidRPr="0078506A" w:rsidTr="002E66D3">
        <w:trPr>
          <w:trHeight w:val="721"/>
        </w:trPr>
        <w:tc>
          <w:tcPr>
            <w:tcW w:w="1247"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Регион</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Численность студентов, поступивших сразу после окончания школы на очную форму обучения, чел</w:t>
            </w:r>
            <w:r w:rsidR="001527D2">
              <w:rPr>
                <w:rFonts w:ascii="Times New Roman" w:eastAsia="Times New Roman" w:hAnsi="Times New Roman" w:cs="Times New Roman"/>
                <w:color w:val="000000"/>
                <w:sz w:val="20"/>
                <w:szCs w:val="20"/>
                <w:lang w:eastAsia="ru-RU"/>
              </w:rPr>
              <w:t>.</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Численность выпускников школ, желающие получить высшее образование, чел.</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Показатель востребованности региональной системы высшего образования </w:t>
            </w:r>
          </w:p>
        </w:tc>
      </w:tr>
      <w:tr w:rsidR="0078506A" w:rsidRPr="0078506A" w:rsidTr="002E66D3">
        <w:trPr>
          <w:trHeight w:val="479"/>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Санкт-Петербург и Ленинградская область </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38097</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16477</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2,31</w:t>
            </w:r>
          </w:p>
        </w:tc>
      </w:tr>
      <w:tr w:rsidR="0078506A" w:rsidRPr="0078506A" w:rsidTr="002E66D3">
        <w:trPr>
          <w:trHeight w:val="240"/>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Калининградская область </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2396</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2667</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0,89</w:t>
            </w:r>
          </w:p>
        </w:tc>
      </w:tr>
      <w:tr w:rsidR="0078506A" w:rsidRPr="0078506A" w:rsidTr="002E66D3">
        <w:trPr>
          <w:trHeight w:val="81"/>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Республика Карелия</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1539</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2131</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0,72</w:t>
            </w:r>
          </w:p>
        </w:tc>
      </w:tr>
      <w:tr w:rsidR="0078506A" w:rsidRPr="0078506A" w:rsidTr="002E66D3">
        <w:trPr>
          <w:trHeight w:val="132"/>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Псковская область</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1053</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1790</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0,59</w:t>
            </w:r>
          </w:p>
        </w:tc>
      </w:tr>
      <w:tr w:rsidR="0078506A" w:rsidRPr="0078506A" w:rsidTr="002E66D3">
        <w:trPr>
          <w:trHeight w:val="163"/>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Новгородская область</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1012</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1706</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0,59</w:t>
            </w:r>
          </w:p>
        </w:tc>
      </w:tr>
      <w:tr w:rsidR="0078506A" w:rsidRPr="0078506A" w:rsidTr="002E66D3">
        <w:trPr>
          <w:trHeight w:val="224"/>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Вологодская область </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1778</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3217</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0,55</w:t>
            </w:r>
          </w:p>
        </w:tc>
      </w:tr>
      <w:tr w:rsidR="0078506A" w:rsidRPr="0078506A" w:rsidTr="002E66D3">
        <w:trPr>
          <w:trHeight w:val="111"/>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Архангельская область </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2013</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3741</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0,54</w:t>
            </w:r>
          </w:p>
        </w:tc>
      </w:tr>
      <w:tr w:rsidR="0078506A" w:rsidRPr="0078506A" w:rsidTr="002E66D3">
        <w:trPr>
          <w:trHeight w:val="160"/>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Республика Коми</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1554</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2894</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0,53</w:t>
            </w:r>
          </w:p>
        </w:tc>
      </w:tr>
      <w:tr w:rsidR="0078506A" w:rsidRPr="0078506A" w:rsidTr="002E66D3">
        <w:trPr>
          <w:trHeight w:val="190"/>
        </w:trPr>
        <w:tc>
          <w:tcPr>
            <w:tcW w:w="1247" w:type="pct"/>
            <w:shd w:val="clear" w:color="auto" w:fill="auto"/>
            <w:vAlign w:val="center"/>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Мурманская область </w:t>
            </w:r>
          </w:p>
        </w:tc>
        <w:tc>
          <w:tcPr>
            <w:tcW w:w="1400"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797</w:t>
            </w:r>
          </w:p>
        </w:tc>
        <w:tc>
          <w:tcPr>
            <w:tcW w:w="1252"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2121</w:t>
            </w:r>
          </w:p>
        </w:tc>
        <w:tc>
          <w:tcPr>
            <w:tcW w:w="1101" w:type="pct"/>
            <w:shd w:val="clear" w:color="auto" w:fill="auto"/>
            <w:vAlign w:val="center"/>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0,37</w:t>
            </w:r>
          </w:p>
        </w:tc>
      </w:tr>
    </w:tbl>
    <w:p w:rsidR="0078506A" w:rsidRPr="0078506A" w:rsidRDefault="0078506A" w:rsidP="0078506A">
      <w:pPr>
        <w:spacing w:after="0" w:line="240" w:lineRule="auto"/>
        <w:ind w:firstLine="709"/>
        <w:jc w:val="both"/>
        <w:rPr>
          <w:rFonts w:ascii="Times New Roman" w:hAnsi="Times New Roman" w:cs="Times New Roman"/>
          <w:sz w:val="20"/>
          <w:szCs w:val="20"/>
        </w:rPr>
      </w:pPr>
      <w:r w:rsidRPr="0078506A">
        <w:rPr>
          <w:rFonts w:ascii="Times New Roman" w:hAnsi="Times New Roman" w:cs="Times New Roman"/>
          <w:sz w:val="20"/>
          <w:szCs w:val="20"/>
        </w:rPr>
        <w:t>Источник:</w:t>
      </w:r>
      <w:r w:rsidRPr="0078506A">
        <w:rPr>
          <w:rFonts w:ascii="Times New Roman" w:hAnsi="Times New Roman" w:cs="Times New Roman"/>
          <w:sz w:val="20"/>
          <w:szCs w:val="20"/>
          <w:lang w:val="en-US"/>
        </w:rPr>
        <w:t xml:space="preserve"> </w:t>
      </w:r>
      <w:r w:rsidRPr="0078506A">
        <w:rPr>
          <w:rFonts w:ascii="Times New Roman" w:hAnsi="Times New Roman" w:cs="Times New Roman"/>
          <w:sz w:val="20"/>
          <w:szCs w:val="20"/>
        </w:rPr>
        <w:t>(Козлов, Платонова, 2017)</w:t>
      </w:r>
    </w:p>
    <w:p w:rsidR="0078506A" w:rsidRPr="0078506A" w:rsidRDefault="0078506A" w:rsidP="0078506A">
      <w:pPr>
        <w:spacing w:after="0" w:line="240" w:lineRule="auto"/>
        <w:ind w:firstLine="709"/>
        <w:jc w:val="both"/>
        <w:rPr>
          <w:rFonts w:ascii="Times New Roman" w:hAnsi="Times New Roman" w:cs="Times New Roman"/>
          <w:sz w:val="28"/>
          <w:szCs w:val="28"/>
        </w:rPr>
      </w:pPr>
    </w:p>
    <w:p w:rsidR="0078506A" w:rsidRPr="0078506A" w:rsidRDefault="0078506A" w:rsidP="0078506A">
      <w:pPr>
        <w:spacing w:after="0" w:line="240" w:lineRule="auto"/>
        <w:ind w:firstLine="709"/>
        <w:jc w:val="both"/>
        <w:rPr>
          <w:rFonts w:ascii="Times New Roman" w:hAnsi="Times New Roman" w:cs="Times New Roman"/>
          <w:sz w:val="24"/>
          <w:szCs w:val="28"/>
        </w:rPr>
      </w:pPr>
      <w:r w:rsidRPr="0078506A">
        <w:rPr>
          <w:rFonts w:ascii="Times New Roman" w:hAnsi="Times New Roman" w:cs="Times New Roman"/>
          <w:sz w:val="24"/>
          <w:szCs w:val="28"/>
        </w:rPr>
        <w:t>В вузах регионов СЗФО, за исключением Санкт-Петербурга, также весьма остра проблема финансирования. Так, если на одного сотрудника, занятого исследованиями и разработками в культурной столице в 2021 году приходилось порядка 2,1 млн рублей всех внутренних затрат (в 2005 году – 1 млн рублей), то в других регионах этот показатель составлял в среднем 1,5 млн рублей в год (в 2005 г</w:t>
      </w:r>
      <w:r w:rsidR="002E66D3">
        <w:rPr>
          <w:rFonts w:ascii="Times New Roman" w:hAnsi="Times New Roman" w:cs="Times New Roman"/>
          <w:sz w:val="24"/>
          <w:szCs w:val="28"/>
        </w:rPr>
        <w:t>оду – 0,78 млн рублей, таблица 4</w:t>
      </w:r>
      <w:r w:rsidRPr="0078506A">
        <w:rPr>
          <w:rFonts w:ascii="Times New Roman" w:hAnsi="Times New Roman" w:cs="Times New Roman"/>
          <w:sz w:val="24"/>
          <w:szCs w:val="28"/>
        </w:rPr>
        <w:t>).</w:t>
      </w:r>
    </w:p>
    <w:p w:rsidR="0078506A" w:rsidRPr="0078506A" w:rsidRDefault="0078506A" w:rsidP="0078506A">
      <w:pPr>
        <w:spacing w:after="0" w:line="240" w:lineRule="auto"/>
        <w:ind w:firstLine="709"/>
        <w:jc w:val="center"/>
        <w:rPr>
          <w:rFonts w:ascii="Times New Roman" w:hAnsi="Times New Roman" w:cs="Times New Roman"/>
          <w:sz w:val="24"/>
          <w:szCs w:val="24"/>
        </w:rPr>
      </w:pPr>
    </w:p>
    <w:p w:rsidR="0078506A" w:rsidRPr="0078506A" w:rsidRDefault="002E66D3" w:rsidP="0078506A">
      <w:pPr>
        <w:spacing w:after="0" w:line="240" w:lineRule="auto"/>
        <w:ind w:firstLine="709"/>
        <w:jc w:val="center"/>
        <w:rPr>
          <w:rFonts w:ascii="Times New Roman" w:hAnsi="Times New Roman" w:cs="Times New Roman"/>
          <w:b/>
          <w:bCs/>
          <w:sz w:val="24"/>
          <w:szCs w:val="24"/>
        </w:rPr>
      </w:pPr>
      <w:r>
        <w:rPr>
          <w:rFonts w:ascii="Times New Roman" w:hAnsi="Times New Roman" w:cs="Times New Roman"/>
          <w:sz w:val="24"/>
          <w:szCs w:val="24"/>
        </w:rPr>
        <w:t>Таблица 4</w:t>
      </w:r>
      <w:r w:rsidR="0078506A" w:rsidRPr="0078506A">
        <w:rPr>
          <w:rFonts w:ascii="Times New Roman" w:hAnsi="Times New Roman" w:cs="Times New Roman"/>
          <w:sz w:val="24"/>
          <w:szCs w:val="24"/>
        </w:rPr>
        <w:t xml:space="preserve">. </w:t>
      </w:r>
      <w:r w:rsidR="0078506A" w:rsidRPr="0078506A">
        <w:rPr>
          <w:rFonts w:ascii="Times New Roman" w:hAnsi="Times New Roman" w:cs="Times New Roman"/>
          <w:b/>
          <w:bCs/>
          <w:sz w:val="24"/>
          <w:szCs w:val="24"/>
        </w:rPr>
        <w:t>Объем внутренних затрат на исследования и разработки*</w:t>
      </w:r>
    </w:p>
    <w:tbl>
      <w:tblPr>
        <w:tblW w:w="9634" w:type="dxa"/>
        <w:tblLook w:val="04A0" w:firstRow="1" w:lastRow="0" w:firstColumn="1" w:lastColumn="0" w:noHBand="0" w:noVBand="1"/>
      </w:tblPr>
      <w:tblGrid>
        <w:gridCol w:w="2263"/>
        <w:gridCol w:w="851"/>
        <w:gridCol w:w="850"/>
        <w:gridCol w:w="993"/>
        <w:gridCol w:w="992"/>
        <w:gridCol w:w="850"/>
        <w:gridCol w:w="851"/>
        <w:gridCol w:w="1984"/>
      </w:tblGrid>
      <w:tr w:rsidR="0078506A" w:rsidRPr="0078506A" w:rsidTr="002E66D3">
        <w:trPr>
          <w:trHeight w:val="240"/>
        </w:trPr>
        <w:tc>
          <w:tcPr>
            <w:tcW w:w="22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Территории</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2005 г.</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2010 г.</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2015 г.</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2019 г.</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2020 г.</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 к 2005 г., %</w:t>
            </w:r>
          </w:p>
        </w:tc>
      </w:tr>
      <w:tr w:rsidR="0078506A" w:rsidRPr="0078506A" w:rsidTr="002E66D3">
        <w:trPr>
          <w:trHeight w:val="130"/>
        </w:trPr>
        <w:tc>
          <w:tcPr>
            <w:tcW w:w="9634"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в расчете на человека из численности персонала, занятого исследованиями и разработками, тыс. рублей</w:t>
            </w:r>
          </w:p>
        </w:tc>
      </w:tr>
      <w:tr w:rsidR="0078506A" w:rsidRPr="0078506A" w:rsidTr="002E66D3">
        <w:trPr>
          <w:trHeight w:val="175"/>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РФ</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926,8</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1419,4</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1633,8</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1890,8</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1874,0</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1963,9</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2,1 раза</w:t>
            </w:r>
          </w:p>
        </w:tc>
      </w:tr>
      <w:tr w:rsidR="0078506A" w:rsidRPr="0078506A" w:rsidTr="002E66D3">
        <w:trPr>
          <w:trHeight w:val="12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СЗФО</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992,5</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1485,8</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1727,7</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2055,7</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1934,1</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2012,2</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2,0 раза</w:t>
            </w:r>
          </w:p>
        </w:tc>
      </w:tr>
      <w:tr w:rsidR="0078506A" w:rsidRPr="0078506A" w:rsidTr="002E66D3">
        <w:trPr>
          <w:trHeight w:val="169"/>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г. Санкт-Петербург</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1033,2</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1512,9</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1841,0</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2190,8</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2031,4</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bCs/>
                <w:color w:val="000000"/>
                <w:sz w:val="20"/>
                <w:szCs w:val="20"/>
                <w:lang w:eastAsia="ru-RU"/>
              </w:rPr>
              <w:t>2116,8</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2,1 раза</w:t>
            </w:r>
          </w:p>
        </w:tc>
      </w:tr>
      <w:tr w:rsidR="0078506A" w:rsidRPr="0078506A" w:rsidTr="002E66D3">
        <w:trPr>
          <w:trHeight w:val="216"/>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Остальные регионы</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780,7</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1350,9</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1255,8</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1427,9</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1461,2</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1521,1</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В 1,9 раза</w:t>
            </w:r>
          </w:p>
        </w:tc>
      </w:tr>
      <w:tr w:rsidR="0078506A" w:rsidRPr="0078506A" w:rsidTr="002E66D3">
        <w:trPr>
          <w:trHeight w:val="199"/>
        </w:trPr>
        <w:tc>
          <w:tcPr>
            <w:tcW w:w="9634" w:type="dxa"/>
            <w:gridSpan w:val="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в расчете на организацию, выполнявшую исследования и разработки, млн рублей</w:t>
            </w:r>
          </w:p>
        </w:tc>
      </w:tr>
      <w:tr w:rsidR="0078506A" w:rsidRPr="0078506A" w:rsidTr="002E66D3">
        <w:trPr>
          <w:trHeight w:val="232"/>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РФ</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211,3</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299,4</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289,1</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318,5</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304,9</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311,7</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147,5</w:t>
            </w:r>
          </w:p>
        </w:tc>
      </w:tr>
      <w:tr w:rsidR="0078506A" w:rsidRPr="0078506A" w:rsidTr="002E66D3">
        <w:trPr>
          <w:trHeight w:val="184"/>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СЗФО</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194,0</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283,6</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343,7</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360,7</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328,9</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317,8</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163,9</w:t>
            </w:r>
          </w:p>
        </w:tc>
      </w:tr>
      <w:tr w:rsidR="0078506A" w:rsidRPr="0078506A" w:rsidTr="002E66D3">
        <w:trPr>
          <w:cantSplit/>
          <w:trHeight w:val="163"/>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г. Санкт-Петербург</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238,3</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357,2</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486,9</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519,9</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460,2</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bCs/>
                <w:color w:val="000000"/>
                <w:sz w:val="20"/>
                <w:szCs w:val="20"/>
                <w:lang w:eastAsia="ru-RU"/>
              </w:rPr>
              <w:t>434,8</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182,5</w:t>
            </w:r>
          </w:p>
        </w:tc>
      </w:tr>
      <w:tr w:rsidR="0078506A" w:rsidRPr="0078506A" w:rsidTr="002E66D3">
        <w:trPr>
          <w:trHeight w:val="210"/>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Остальные регионы</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85,1</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131,9</w:t>
            </w:r>
          </w:p>
        </w:tc>
        <w:tc>
          <w:tcPr>
            <w:tcW w:w="993"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122,9</w:t>
            </w:r>
          </w:p>
        </w:tc>
        <w:tc>
          <w:tcPr>
            <w:tcW w:w="992"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113,4</w:t>
            </w:r>
          </w:p>
        </w:tc>
        <w:tc>
          <w:tcPr>
            <w:tcW w:w="850"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112,4</w:t>
            </w:r>
          </w:p>
        </w:tc>
        <w:tc>
          <w:tcPr>
            <w:tcW w:w="851"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115,2</w:t>
            </w:r>
          </w:p>
        </w:tc>
        <w:tc>
          <w:tcPr>
            <w:tcW w:w="1984" w:type="dxa"/>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135,4</w:t>
            </w:r>
          </w:p>
        </w:tc>
      </w:tr>
    </w:tbl>
    <w:p w:rsidR="0078506A" w:rsidRP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Рассчитано по: Регионы России: социально-экономические показатели, 2022.</w:t>
      </w:r>
    </w:p>
    <w:p w:rsidR="0078506A" w:rsidRP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*в сопоставимых ценах 2021 года</w:t>
      </w:r>
    </w:p>
    <w:p w:rsidR="0078506A" w:rsidRPr="0078506A" w:rsidRDefault="0078506A" w:rsidP="0078506A">
      <w:pPr>
        <w:spacing w:after="0" w:line="240" w:lineRule="auto"/>
        <w:ind w:firstLine="709"/>
        <w:jc w:val="both"/>
        <w:rPr>
          <w:rFonts w:ascii="Times New Roman" w:hAnsi="Times New Roman" w:cs="Times New Roman"/>
          <w:sz w:val="28"/>
          <w:szCs w:val="28"/>
        </w:rPr>
      </w:pPr>
    </w:p>
    <w:p w:rsidR="0078506A" w:rsidRP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При расчете внутренних затрат, приходящихся на организацию, еще сильнее заметна разница между Санкт-Петербургом и другими регионами. При этом стоит отметить, что в регионах СЗФО отклонение в меньшую сторону наблюдается не только относительно макрорегиона, но и страны в целом.</w:t>
      </w:r>
    </w:p>
    <w:p w:rsidR="0078506A" w:rsidRDefault="0078506A" w:rsidP="0078506A">
      <w:pPr>
        <w:spacing w:after="0" w:line="240" w:lineRule="auto"/>
        <w:ind w:firstLine="709"/>
        <w:jc w:val="both"/>
        <w:rPr>
          <w:rFonts w:ascii="Times New Roman" w:hAnsi="Times New Roman" w:cs="Times New Roman"/>
          <w:sz w:val="24"/>
          <w:szCs w:val="24"/>
        </w:rPr>
      </w:pPr>
      <w:r w:rsidRPr="0078506A">
        <w:rPr>
          <w:rFonts w:ascii="Times New Roman" w:hAnsi="Times New Roman" w:cs="Times New Roman"/>
          <w:sz w:val="24"/>
          <w:szCs w:val="24"/>
        </w:rPr>
        <w:t xml:space="preserve">Не менее важной составляющей являются капитальные затраты на исследования и разработки, так как за счет них приобретается необходимое оборудование, от которого зависит новизна и точность исследований. При их расчете также можно отметить, что в Санкт-Петербурге они кратно выше, чем в остальных регионах СЗФО (таблица </w:t>
      </w:r>
      <w:r w:rsidR="002E66D3">
        <w:rPr>
          <w:rFonts w:ascii="Times New Roman" w:hAnsi="Times New Roman" w:cs="Times New Roman"/>
          <w:sz w:val="24"/>
          <w:szCs w:val="24"/>
        </w:rPr>
        <w:t>5</w:t>
      </w:r>
      <w:r w:rsidRPr="0078506A">
        <w:rPr>
          <w:rFonts w:ascii="Times New Roman" w:hAnsi="Times New Roman" w:cs="Times New Roman"/>
          <w:sz w:val="24"/>
          <w:szCs w:val="24"/>
        </w:rPr>
        <w:t>).</w:t>
      </w:r>
    </w:p>
    <w:p w:rsidR="007612E8" w:rsidRPr="0078506A" w:rsidRDefault="007612E8" w:rsidP="0078506A">
      <w:pPr>
        <w:spacing w:after="0" w:line="240" w:lineRule="auto"/>
        <w:ind w:firstLine="709"/>
        <w:jc w:val="both"/>
        <w:rPr>
          <w:rFonts w:ascii="Times New Roman" w:hAnsi="Times New Roman" w:cs="Times New Roman"/>
          <w:sz w:val="24"/>
          <w:szCs w:val="24"/>
        </w:rPr>
      </w:pPr>
    </w:p>
    <w:p w:rsidR="0078506A" w:rsidRPr="0078506A" w:rsidRDefault="002E66D3" w:rsidP="0078506A">
      <w:pPr>
        <w:spacing w:after="0" w:line="240" w:lineRule="auto"/>
        <w:ind w:firstLine="709"/>
        <w:jc w:val="center"/>
        <w:rPr>
          <w:rFonts w:ascii="Times New Roman" w:hAnsi="Times New Roman" w:cs="Times New Roman"/>
          <w:b/>
          <w:bCs/>
          <w:sz w:val="24"/>
          <w:szCs w:val="24"/>
        </w:rPr>
      </w:pPr>
      <w:r>
        <w:rPr>
          <w:rFonts w:ascii="Times New Roman" w:hAnsi="Times New Roman" w:cs="Times New Roman"/>
          <w:sz w:val="24"/>
          <w:szCs w:val="24"/>
        </w:rPr>
        <w:t>Таблица 5</w:t>
      </w:r>
      <w:r w:rsidR="0078506A" w:rsidRPr="0078506A">
        <w:rPr>
          <w:rFonts w:ascii="Times New Roman" w:hAnsi="Times New Roman" w:cs="Times New Roman"/>
          <w:sz w:val="24"/>
          <w:szCs w:val="24"/>
        </w:rPr>
        <w:t xml:space="preserve">. </w:t>
      </w:r>
      <w:r w:rsidR="0078506A" w:rsidRPr="0078506A">
        <w:rPr>
          <w:rFonts w:ascii="Times New Roman" w:hAnsi="Times New Roman" w:cs="Times New Roman"/>
          <w:b/>
          <w:bCs/>
          <w:sz w:val="24"/>
          <w:szCs w:val="24"/>
        </w:rPr>
        <w:t>Капитальные затраты на научные исследования и разработки</w:t>
      </w:r>
    </w:p>
    <w:tbl>
      <w:tblPr>
        <w:tblW w:w="5000" w:type="pct"/>
        <w:tblLook w:val="04A0" w:firstRow="1" w:lastRow="0" w:firstColumn="1" w:lastColumn="0" w:noHBand="0" w:noVBand="1"/>
      </w:tblPr>
      <w:tblGrid>
        <w:gridCol w:w="2214"/>
        <w:gridCol w:w="29"/>
        <w:gridCol w:w="1067"/>
        <w:gridCol w:w="1100"/>
        <w:gridCol w:w="1101"/>
        <w:gridCol w:w="1101"/>
        <w:gridCol w:w="1038"/>
        <w:gridCol w:w="64"/>
        <w:gridCol w:w="1914"/>
      </w:tblGrid>
      <w:tr w:rsidR="0078506A" w:rsidRPr="0078506A" w:rsidTr="0054458A">
        <w:trPr>
          <w:trHeight w:val="90"/>
        </w:trPr>
        <w:tc>
          <w:tcPr>
            <w:tcW w:w="1150"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Территория</w:t>
            </w:r>
          </w:p>
        </w:tc>
        <w:tc>
          <w:tcPr>
            <w:tcW w:w="569" w:type="pct"/>
            <w:gridSpan w:val="2"/>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2017 г.</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2018 г.</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2019 г.</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2020 г.</w:t>
            </w:r>
          </w:p>
        </w:tc>
        <w:tc>
          <w:tcPr>
            <w:tcW w:w="572" w:type="pct"/>
            <w:gridSpan w:val="2"/>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w:t>
            </w:r>
          </w:p>
        </w:tc>
        <w:tc>
          <w:tcPr>
            <w:tcW w:w="994"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2021 г. к 2017 г., %</w:t>
            </w:r>
          </w:p>
        </w:tc>
      </w:tr>
      <w:tr w:rsidR="0078506A" w:rsidRPr="0078506A" w:rsidTr="0078506A">
        <w:trPr>
          <w:trHeight w:val="207"/>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Общие капитальные затраты в расчете на организацию, млн рублей</w:t>
            </w:r>
          </w:p>
        </w:tc>
      </w:tr>
      <w:tr w:rsidR="0078506A" w:rsidRPr="0078506A" w:rsidTr="0054458A">
        <w:trPr>
          <w:trHeight w:val="70"/>
        </w:trPr>
        <w:tc>
          <w:tcPr>
            <w:tcW w:w="1150" w:type="pct"/>
            <w:tcBorders>
              <w:top w:val="nil"/>
              <w:left w:val="single" w:sz="4" w:space="0" w:color="auto"/>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РФ</w:t>
            </w:r>
          </w:p>
        </w:tc>
        <w:tc>
          <w:tcPr>
            <w:tcW w:w="569" w:type="pct"/>
            <w:gridSpan w:val="2"/>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21,3</w:t>
            </w:r>
          </w:p>
        </w:tc>
        <w:tc>
          <w:tcPr>
            <w:tcW w:w="571"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20,0</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20,8</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21,6</w:t>
            </w:r>
          </w:p>
        </w:tc>
        <w:tc>
          <w:tcPr>
            <w:tcW w:w="572" w:type="pct"/>
            <w:gridSpan w:val="2"/>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25,8</w:t>
            </w:r>
          </w:p>
        </w:tc>
        <w:tc>
          <w:tcPr>
            <w:tcW w:w="994"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121,1</w:t>
            </w:r>
          </w:p>
        </w:tc>
      </w:tr>
      <w:tr w:rsidR="0078506A" w:rsidRPr="0078506A" w:rsidTr="0054458A">
        <w:trPr>
          <w:trHeight w:val="229"/>
        </w:trPr>
        <w:tc>
          <w:tcPr>
            <w:tcW w:w="1150" w:type="pct"/>
            <w:tcBorders>
              <w:top w:val="nil"/>
              <w:left w:val="single" w:sz="4" w:space="0" w:color="auto"/>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СЗФО</w:t>
            </w:r>
          </w:p>
        </w:tc>
        <w:tc>
          <w:tcPr>
            <w:tcW w:w="569" w:type="pct"/>
            <w:gridSpan w:val="2"/>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18,1</w:t>
            </w:r>
          </w:p>
        </w:tc>
        <w:tc>
          <w:tcPr>
            <w:tcW w:w="571"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themeColor="text1"/>
                <w:sz w:val="20"/>
                <w:szCs w:val="20"/>
                <w:lang w:eastAsia="ru-RU"/>
              </w:rPr>
              <w:t>18,0</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themeColor="text1"/>
                <w:sz w:val="20"/>
                <w:szCs w:val="20"/>
                <w:lang w:eastAsia="ru-RU"/>
              </w:rPr>
              <w:t>18,6</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Arial Unicode MS" w:hAnsi="Times New Roman" w:cs="Times New Roman"/>
                <w:i/>
                <w:color w:val="000000"/>
                <w:sz w:val="20"/>
                <w:szCs w:val="20"/>
                <w:lang w:eastAsia="ru-RU"/>
              </w:rPr>
              <w:t>18,4</w:t>
            </w:r>
          </w:p>
        </w:tc>
        <w:tc>
          <w:tcPr>
            <w:tcW w:w="572" w:type="pct"/>
            <w:gridSpan w:val="2"/>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19,3</w:t>
            </w:r>
          </w:p>
        </w:tc>
        <w:tc>
          <w:tcPr>
            <w:tcW w:w="994" w:type="pct"/>
            <w:tcBorders>
              <w:top w:val="nil"/>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106,2</w:t>
            </w:r>
          </w:p>
        </w:tc>
      </w:tr>
      <w:tr w:rsidR="0078506A" w:rsidRPr="0078506A" w:rsidTr="0054458A">
        <w:trPr>
          <w:trHeight w:val="70"/>
        </w:trPr>
        <w:tc>
          <w:tcPr>
            <w:tcW w:w="1150" w:type="pct"/>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г. Санкт-Петербург</w:t>
            </w:r>
          </w:p>
        </w:tc>
        <w:tc>
          <w:tcPr>
            <w:tcW w:w="569" w:type="pct"/>
            <w:gridSpan w:val="2"/>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26,3</w:t>
            </w:r>
          </w:p>
        </w:tc>
        <w:tc>
          <w:tcPr>
            <w:tcW w:w="571"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themeColor="text1"/>
                <w:sz w:val="20"/>
                <w:szCs w:val="20"/>
                <w:lang w:eastAsia="ru-RU"/>
              </w:rPr>
              <w:t>26,0</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themeColor="text1"/>
                <w:sz w:val="20"/>
                <w:szCs w:val="20"/>
                <w:lang w:eastAsia="ru-RU"/>
              </w:rPr>
              <w:t>28,2</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27,6</w:t>
            </w:r>
          </w:p>
        </w:tc>
        <w:tc>
          <w:tcPr>
            <w:tcW w:w="572" w:type="pct"/>
            <w:gridSpan w:val="2"/>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27,4</w:t>
            </w:r>
          </w:p>
        </w:tc>
        <w:tc>
          <w:tcPr>
            <w:tcW w:w="994"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104,0</w:t>
            </w:r>
          </w:p>
        </w:tc>
      </w:tr>
      <w:tr w:rsidR="0078506A" w:rsidRPr="0078506A" w:rsidTr="0054458A">
        <w:trPr>
          <w:trHeight w:val="167"/>
        </w:trPr>
        <w:tc>
          <w:tcPr>
            <w:tcW w:w="1150" w:type="pct"/>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остальные регионы </w:t>
            </w:r>
          </w:p>
        </w:tc>
        <w:tc>
          <w:tcPr>
            <w:tcW w:w="569" w:type="pct"/>
            <w:gridSpan w:val="2"/>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4,8</w:t>
            </w:r>
          </w:p>
        </w:tc>
        <w:tc>
          <w:tcPr>
            <w:tcW w:w="571"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5,5</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3,6</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3,2</w:t>
            </w:r>
          </w:p>
        </w:tc>
        <w:tc>
          <w:tcPr>
            <w:tcW w:w="572" w:type="pct"/>
            <w:gridSpan w:val="2"/>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5,2</w:t>
            </w:r>
          </w:p>
        </w:tc>
        <w:tc>
          <w:tcPr>
            <w:tcW w:w="994"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108,2</w:t>
            </w:r>
          </w:p>
        </w:tc>
      </w:tr>
      <w:tr w:rsidR="0078506A" w:rsidRPr="0078506A" w:rsidTr="0078506A">
        <w:trPr>
          <w:trHeight w:val="188"/>
        </w:trPr>
        <w:tc>
          <w:tcPr>
            <w:tcW w:w="5000" w:type="pct"/>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78506A" w:rsidRPr="0078506A" w:rsidRDefault="0078506A" w:rsidP="00C87C38">
            <w:pPr>
              <w:spacing w:after="0" w:line="240" w:lineRule="auto"/>
              <w:jc w:val="center"/>
              <w:rPr>
                <w:rFonts w:ascii="Times New Roman" w:eastAsia="Times New Roman" w:hAnsi="Times New Roman" w:cs="Times New Roman"/>
                <w:i/>
                <w:iCs/>
                <w:color w:val="000000"/>
                <w:sz w:val="20"/>
                <w:szCs w:val="20"/>
                <w:lang w:eastAsia="ru-RU"/>
              </w:rPr>
            </w:pPr>
            <w:r w:rsidRPr="0078506A">
              <w:rPr>
                <w:rFonts w:ascii="Times New Roman" w:eastAsia="Times New Roman" w:hAnsi="Times New Roman" w:cs="Times New Roman"/>
                <w:i/>
                <w:iCs/>
                <w:color w:val="000000"/>
                <w:sz w:val="20"/>
                <w:szCs w:val="20"/>
                <w:lang w:eastAsia="ru-RU"/>
              </w:rPr>
              <w:t xml:space="preserve">Общие капитальные затраты </w:t>
            </w:r>
            <w:r w:rsidR="00C87C38">
              <w:rPr>
                <w:rFonts w:ascii="Times New Roman" w:eastAsia="Times New Roman" w:hAnsi="Times New Roman" w:cs="Times New Roman"/>
                <w:i/>
                <w:iCs/>
                <w:color w:val="000000"/>
                <w:sz w:val="20"/>
                <w:szCs w:val="20"/>
                <w:lang w:eastAsia="ru-RU"/>
              </w:rPr>
              <w:t>в</w:t>
            </w:r>
            <w:r w:rsidRPr="0078506A">
              <w:rPr>
                <w:rFonts w:ascii="Times New Roman" w:eastAsia="Times New Roman" w:hAnsi="Times New Roman" w:cs="Times New Roman"/>
                <w:i/>
                <w:iCs/>
                <w:color w:val="000000"/>
                <w:sz w:val="20"/>
                <w:szCs w:val="20"/>
                <w:lang w:eastAsia="ru-RU"/>
              </w:rPr>
              <w:t xml:space="preserve"> расчете на человека, тыс. рублей</w:t>
            </w:r>
          </w:p>
        </w:tc>
      </w:tr>
      <w:tr w:rsidR="0078506A" w:rsidRPr="0078506A" w:rsidTr="0054458A">
        <w:trPr>
          <w:trHeight w:val="149"/>
        </w:trPr>
        <w:tc>
          <w:tcPr>
            <w:tcW w:w="116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РФ</w:t>
            </w:r>
          </w:p>
        </w:tc>
        <w:tc>
          <w:tcPr>
            <w:tcW w:w="554"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118,9</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116,0</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123,7</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132,7</w:t>
            </w:r>
          </w:p>
        </w:tc>
        <w:tc>
          <w:tcPr>
            <w:tcW w:w="539"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162,8</w:t>
            </w:r>
          </w:p>
        </w:tc>
        <w:tc>
          <w:tcPr>
            <w:tcW w:w="1027" w:type="pct"/>
            <w:gridSpan w:val="2"/>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137,0</w:t>
            </w:r>
          </w:p>
        </w:tc>
      </w:tr>
      <w:tr w:rsidR="0078506A" w:rsidRPr="0078506A" w:rsidTr="0054458A">
        <w:trPr>
          <w:trHeight w:val="137"/>
        </w:trPr>
        <w:tc>
          <w:tcPr>
            <w:tcW w:w="116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СЗФО</w:t>
            </w:r>
          </w:p>
        </w:tc>
        <w:tc>
          <w:tcPr>
            <w:tcW w:w="554"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91,4</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themeColor="text1"/>
                <w:sz w:val="20"/>
                <w:szCs w:val="20"/>
                <w:lang w:eastAsia="ru-RU"/>
              </w:rPr>
              <w:t>94,6</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themeColor="text1"/>
                <w:sz w:val="20"/>
                <w:szCs w:val="20"/>
                <w:lang w:eastAsia="ru-RU"/>
              </w:rPr>
              <w:t>105,8</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Arial Unicode MS" w:hAnsi="Times New Roman" w:cs="Times New Roman"/>
                <w:i/>
                <w:color w:val="000000"/>
                <w:sz w:val="20"/>
                <w:szCs w:val="20"/>
                <w:lang w:eastAsia="ru-RU"/>
              </w:rPr>
              <w:t>108,1</w:t>
            </w:r>
          </w:p>
        </w:tc>
        <w:tc>
          <w:tcPr>
            <w:tcW w:w="539" w:type="pct"/>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122,0</w:t>
            </w:r>
          </w:p>
        </w:tc>
        <w:tc>
          <w:tcPr>
            <w:tcW w:w="1027" w:type="pct"/>
            <w:gridSpan w:val="2"/>
            <w:tcBorders>
              <w:top w:val="single" w:sz="4" w:space="0" w:color="auto"/>
              <w:left w:val="nil"/>
              <w:bottom w:val="single" w:sz="4" w:space="0" w:color="auto"/>
              <w:right w:val="single" w:sz="4" w:space="0" w:color="auto"/>
            </w:tcBorders>
            <w:shd w:val="clear" w:color="auto" w:fill="auto"/>
            <w:noWrap/>
            <w:vAlign w:val="bottom"/>
            <w:hideMark/>
          </w:tcPr>
          <w:p w:rsidR="0078506A" w:rsidRPr="002E66D3" w:rsidRDefault="0078506A" w:rsidP="0078506A">
            <w:pPr>
              <w:spacing w:after="0" w:line="240" w:lineRule="auto"/>
              <w:jc w:val="center"/>
              <w:rPr>
                <w:rFonts w:ascii="Times New Roman" w:eastAsia="Times New Roman" w:hAnsi="Times New Roman" w:cs="Times New Roman"/>
                <w:i/>
                <w:color w:val="000000"/>
                <w:sz w:val="20"/>
                <w:szCs w:val="20"/>
                <w:lang w:eastAsia="ru-RU"/>
              </w:rPr>
            </w:pPr>
            <w:r w:rsidRPr="002E66D3">
              <w:rPr>
                <w:rFonts w:ascii="Times New Roman" w:eastAsia="Times New Roman" w:hAnsi="Times New Roman" w:cs="Times New Roman"/>
                <w:i/>
                <w:color w:val="000000"/>
                <w:sz w:val="20"/>
                <w:szCs w:val="20"/>
                <w:lang w:eastAsia="ru-RU"/>
              </w:rPr>
              <w:t>133,5</w:t>
            </w:r>
          </w:p>
        </w:tc>
      </w:tr>
      <w:tr w:rsidR="0078506A" w:rsidRPr="0078506A" w:rsidTr="0054458A">
        <w:trPr>
          <w:cantSplit/>
          <w:trHeight w:val="241"/>
        </w:trPr>
        <w:tc>
          <w:tcPr>
            <w:tcW w:w="1165" w:type="pct"/>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г. Санкт-Петербург</w:t>
            </w:r>
          </w:p>
        </w:tc>
        <w:tc>
          <w:tcPr>
            <w:tcW w:w="554"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100,9</w:t>
            </w:r>
          </w:p>
        </w:tc>
        <w:tc>
          <w:tcPr>
            <w:tcW w:w="571"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themeColor="text1"/>
                <w:sz w:val="20"/>
                <w:szCs w:val="20"/>
                <w:lang w:eastAsia="ru-RU"/>
              </w:rPr>
              <w:t>101,7</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themeColor="text1"/>
                <w:sz w:val="20"/>
                <w:szCs w:val="20"/>
                <w:lang w:eastAsia="ru-RU"/>
              </w:rPr>
              <w:t>118,8</w:t>
            </w:r>
          </w:p>
        </w:tc>
        <w:tc>
          <w:tcPr>
            <w:tcW w:w="572"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121,8</w:t>
            </w:r>
          </w:p>
        </w:tc>
        <w:tc>
          <w:tcPr>
            <w:tcW w:w="539" w:type="pct"/>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133,4</w:t>
            </w:r>
          </w:p>
        </w:tc>
        <w:tc>
          <w:tcPr>
            <w:tcW w:w="1027" w:type="pct"/>
            <w:gridSpan w:val="2"/>
            <w:tcBorders>
              <w:top w:val="single" w:sz="4" w:space="0" w:color="auto"/>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132,3</w:t>
            </w:r>
          </w:p>
        </w:tc>
      </w:tr>
      <w:tr w:rsidR="0078506A" w:rsidRPr="0078506A" w:rsidTr="0054458A">
        <w:trPr>
          <w:trHeight w:val="70"/>
        </w:trPr>
        <w:tc>
          <w:tcPr>
            <w:tcW w:w="1165" w:type="pct"/>
            <w:gridSpan w:val="2"/>
            <w:tcBorders>
              <w:top w:val="nil"/>
              <w:left w:val="single" w:sz="4" w:space="0" w:color="auto"/>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 xml:space="preserve">остальные регионы </w:t>
            </w:r>
          </w:p>
        </w:tc>
        <w:tc>
          <w:tcPr>
            <w:tcW w:w="554"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49,4</w:t>
            </w:r>
          </w:p>
        </w:tc>
        <w:tc>
          <w:tcPr>
            <w:tcW w:w="571"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62,5</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45,7</w:t>
            </w:r>
          </w:p>
        </w:tc>
        <w:tc>
          <w:tcPr>
            <w:tcW w:w="572"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42,0</w:t>
            </w:r>
          </w:p>
        </w:tc>
        <w:tc>
          <w:tcPr>
            <w:tcW w:w="539" w:type="pct"/>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68,2</w:t>
            </w:r>
          </w:p>
        </w:tc>
        <w:tc>
          <w:tcPr>
            <w:tcW w:w="1027" w:type="pct"/>
            <w:gridSpan w:val="2"/>
            <w:tcBorders>
              <w:top w:val="nil"/>
              <w:left w:val="nil"/>
              <w:bottom w:val="single" w:sz="4" w:space="0" w:color="auto"/>
              <w:right w:val="single" w:sz="4" w:space="0" w:color="auto"/>
            </w:tcBorders>
            <w:shd w:val="clear" w:color="auto" w:fill="auto"/>
            <w:noWrap/>
            <w:vAlign w:val="bottom"/>
            <w:hideMark/>
          </w:tcPr>
          <w:p w:rsidR="0078506A" w:rsidRPr="0078506A" w:rsidRDefault="0078506A" w:rsidP="0078506A">
            <w:pPr>
              <w:spacing w:after="0" w:line="240" w:lineRule="auto"/>
              <w:jc w:val="center"/>
              <w:rPr>
                <w:rFonts w:ascii="Times New Roman" w:eastAsia="Times New Roman" w:hAnsi="Times New Roman" w:cs="Times New Roman"/>
                <w:color w:val="000000"/>
                <w:sz w:val="20"/>
                <w:szCs w:val="20"/>
                <w:lang w:eastAsia="ru-RU"/>
              </w:rPr>
            </w:pPr>
            <w:r w:rsidRPr="0078506A">
              <w:rPr>
                <w:rFonts w:ascii="Times New Roman" w:eastAsia="Times New Roman" w:hAnsi="Times New Roman" w:cs="Times New Roman"/>
                <w:color w:val="000000"/>
                <w:sz w:val="20"/>
                <w:szCs w:val="20"/>
                <w:lang w:eastAsia="ru-RU"/>
              </w:rPr>
              <w:t>137,9</w:t>
            </w:r>
          </w:p>
        </w:tc>
      </w:tr>
    </w:tbl>
    <w:p w:rsidR="0078506A" w:rsidRPr="0078506A" w:rsidRDefault="0078506A" w:rsidP="0078506A">
      <w:pPr>
        <w:spacing w:after="0" w:line="240" w:lineRule="auto"/>
        <w:ind w:firstLine="709"/>
        <w:jc w:val="both"/>
        <w:rPr>
          <w:rFonts w:ascii="Times New Roman" w:hAnsi="Times New Roman" w:cs="Times New Roman"/>
        </w:rPr>
      </w:pPr>
      <w:r w:rsidRPr="0078506A">
        <w:rPr>
          <w:rFonts w:ascii="Times New Roman" w:hAnsi="Times New Roman" w:cs="Times New Roman"/>
        </w:rPr>
        <w:t xml:space="preserve">Рассчитано по: Регионы России: социально-экономические показатели: ст. сборник. 2018-2022 гг. </w:t>
      </w:r>
    </w:p>
    <w:p w:rsidR="0078506A" w:rsidRPr="0078506A" w:rsidRDefault="0078506A" w:rsidP="0078506A">
      <w:pPr>
        <w:spacing w:after="0" w:line="240" w:lineRule="auto"/>
        <w:ind w:firstLine="709"/>
        <w:jc w:val="both"/>
        <w:rPr>
          <w:rFonts w:ascii="Times New Roman" w:hAnsi="Times New Roman" w:cs="Times New Roman"/>
          <w:sz w:val="28"/>
          <w:szCs w:val="28"/>
        </w:rPr>
      </w:pPr>
    </w:p>
    <w:p w:rsidR="0078506A" w:rsidRPr="0078506A" w:rsidRDefault="0078506A" w:rsidP="00C87C38">
      <w:pPr>
        <w:spacing w:after="0" w:line="240" w:lineRule="auto"/>
        <w:ind w:firstLine="709"/>
        <w:jc w:val="both"/>
        <w:rPr>
          <w:rFonts w:ascii="Times New Roman" w:hAnsi="Times New Roman" w:cs="Times New Roman"/>
          <w:sz w:val="24"/>
          <w:szCs w:val="28"/>
        </w:rPr>
      </w:pPr>
      <w:r w:rsidRPr="0078506A">
        <w:rPr>
          <w:rFonts w:ascii="Times New Roman" w:hAnsi="Times New Roman" w:cs="Times New Roman"/>
          <w:sz w:val="24"/>
          <w:szCs w:val="28"/>
        </w:rPr>
        <w:t>Также научно-производственной кооперации не способствует слабая диверсифицированность экономики региона. Примером тому служит Санкт-Петербург, экономика которого более диверсифицирована (по данным Атласа экономической специализации регионов России, в Санкт-Петербурге выделяют 40 направления экономической специализации), чем, например, в Мурманской области (6 направлений) и Республике Коми (6 отраслей), имеется несколько крупных вузов, разрабатывающие информационные технологии, «умные» технологии, наноматериалы и др., что с большой вероятностью найдет применение в различных видах экономической деятельности</w:t>
      </w:r>
    </w:p>
    <w:p w:rsidR="0078506A" w:rsidRPr="0078506A" w:rsidRDefault="00C87C38" w:rsidP="00C87C38">
      <w:pPr>
        <w:spacing w:after="0" w:line="240" w:lineRule="auto"/>
        <w:ind w:firstLine="709"/>
        <w:jc w:val="both"/>
        <w:rPr>
          <w:rFonts w:ascii="Times New Roman" w:hAnsi="Times New Roman" w:cs="Times New Roman"/>
          <w:sz w:val="24"/>
          <w:szCs w:val="28"/>
        </w:rPr>
      </w:pPr>
      <w:r>
        <w:rPr>
          <w:rFonts w:ascii="Times New Roman" w:hAnsi="Times New Roman" w:cs="Times New Roman"/>
          <w:sz w:val="24"/>
          <w:szCs w:val="28"/>
        </w:rPr>
        <w:t>Д</w:t>
      </w:r>
      <w:r w:rsidR="0078506A" w:rsidRPr="0078506A">
        <w:rPr>
          <w:rFonts w:ascii="Times New Roman" w:hAnsi="Times New Roman" w:cs="Times New Roman"/>
          <w:sz w:val="24"/>
          <w:szCs w:val="28"/>
        </w:rPr>
        <w:t>ля решения данных проблем, на наш взгляд, необходимо усилить работу связующего звена между наукой и бизнесом, часто которым выступают различные механизмы трансфера и коммерциализации технологий для предоставления точной и подробной информации о полученных результатах и возможностей их применения предприятиями. Одним из инструментов такого трансфера могут стать цифровые платформы для обеспечения подобной коммуникации.</w:t>
      </w:r>
    </w:p>
    <w:p w:rsidR="0078506A" w:rsidRPr="0078506A" w:rsidRDefault="0078506A" w:rsidP="0078506A">
      <w:pPr>
        <w:spacing w:after="0" w:line="240" w:lineRule="auto"/>
        <w:ind w:firstLine="709"/>
        <w:jc w:val="both"/>
        <w:rPr>
          <w:rFonts w:ascii="Times New Roman" w:hAnsi="Times New Roman" w:cs="Times New Roman"/>
          <w:sz w:val="24"/>
          <w:szCs w:val="28"/>
        </w:rPr>
      </w:pPr>
      <w:r w:rsidRPr="0078506A">
        <w:rPr>
          <w:rFonts w:ascii="Times New Roman" w:hAnsi="Times New Roman" w:cs="Times New Roman"/>
          <w:sz w:val="24"/>
          <w:szCs w:val="28"/>
        </w:rPr>
        <w:t>Другой важной составляющей в решении выявленных проблем является высокий уровень подготовки молодежи, который возможен только при обеспечении соответствующих условий и инфраструктуры в системе образования, как для обучающихся, так и для преподавателей, где не последнюю роль играет финансирование. Без современного оборудования, обеспечивающего практику применения полученных знаний, подготовить высококвалифицированные кадры весьма затруднительно.</w:t>
      </w:r>
    </w:p>
    <w:p w:rsidR="0078506A" w:rsidRPr="0054458A" w:rsidRDefault="0078506A" w:rsidP="0078506A">
      <w:pPr>
        <w:spacing w:after="0" w:line="240" w:lineRule="auto"/>
        <w:ind w:firstLine="709"/>
        <w:jc w:val="both"/>
        <w:rPr>
          <w:rFonts w:ascii="Times New Roman" w:hAnsi="Times New Roman" w:cs="Times New Roman"/>
          <w:sz w:val="24"/>
          <w:szCs w:val="24"/>
        </w:rPr>
      </w:pPr>
      <w:r w:rsidRPr="0054458A">
        <w:rPr>
          <w:rFonts w:ascii="Times New Roman" w:hAnsi="Times New Roman" w:cs="Times New Roman"/>
          <w:sz w:val="24"/>
          <w:szCs w:val="24"/>
        </w:rPr>
        <w:t>Не менее важно обеспечить диалог науки не только с бизнесом, но и органами власти для лучшего понимания местных и региональных вызовов, требующих научного разрешения. Со стороны власти важно стимулировать диверсификацию экономики в том числе и с целью обеспечения множества точек приложения научных результатов, это в свою очередь повысит финансовую самообеспеченность науки, а также увеличит число рабочих мест, что будет способствовать закреплению населения на территории (Чекавинский, Кожевников, Ворошилов, 2017).</w:t>
      </w:r>
    </w:p>
    <w:p w:rsidR="0078506A" w:rsidRPr="0054458A" w:rsidRDefault="0078506A" w:rsidP="0078506A">
      <w:pPr>
        <w:spacing w:after="0" w:line="240" w:lineRule="auto"/>
        <w:ind w:firstLine="709"/>
        <w:jc w:val="both"/>
        <w:rPr>
          <w:rFonts w:ascii="Times New Roman" w:hAnsi="Times New Roman" w:cs="Times New Roman"/>
          <w:sz w:val="24"/>
          <w:szCs w:val="24"/>
        </w:rPr>
      </w:pPr>
      <w:r w:rsidRPr="0054458A">
        <w:rPr>
          <w:rFonts w:ascii="Times New Roman" w:hAnsi="Times New Roman" w:cs="Times New Roman"/>
          <w:sz w:val="24"/>
          <w:szCs w:val="24"/>
        </w:rPr>
        <w:t>Еще одним предложением, которое могло бы помочь решению вышеобозначенных проблем является создание учебно-опытных производств (мастерских) при вузах и научных организациях, что может способствовать диверсификации экономики, повышению финансовой самообеспеченности научной деятельности, получению практических навыков у студентов и повышению их доходов, а также создаст больше возможностей для кооперации.</w:t>
      </w:r>
    </w:p>
    <w:p w:rsidR="0078506A" w:rsidRPr="0054458A" w:rsidRDefault="0078506A" w:rsidP="0078506A">
      <w:pPr>
        <w:spacing w:line="240" w:lineRule="auto"/>
        <w:ind w:firstLine="709"/>
        <w:jc w:val="both"/>
        <w:rPr>
          <w:rFonts w:ascii="Times New Roman" w:hAnsi="Times New Roman" w:cs="Times New Roman"/>
          <w:sz w:val="24"/>
          <w:szCs w:val="24"/>
        </w:rPr>
      </w:pPr>
      <w:r w:rsidRPr="0054458A">
        <w:rPr>
          <w:rFonts w:ascii="Times New Roman" w:hAnsi="Times New Roman" w:cs="Times New Roman"/>
          <w:sz w:val="24"/>
          <w:szCs w:val="24"/>
        </w:rPr>
        <w:t>Реализация предложенных мер, на наш взгляд, позволит создать благоприятные условия для развития научно-производственной кооперации на региональном уровне, что будет способствовать росту уровня инновационной активности и производительности труда в организациях, решению проблемы оттока населения, а также повышению конкурентоспособност</w:t>
      </w:r>
      <w:r w:rsidR="0054458A">
        <w:rPr>
          <w:rFonts w:ascii="Times New Roman" w:hAnsi="Times New Roman" w:cs="Times New Roman"/>
          <w:sz w:val="24"/>
          <w:szCs w:val="24"/>
        </w:rPr>
        <w:t>и и инвестиционной привлекательности</w:t>
      </w:r>
      <w:r w:rsidRPr="0054458A">
        <w:rPr>
          <w:rFonts w:ascii="Times New Roman" w:hAnsi="Times New Roman" w:cs="Times New Roman"/>
          <w:sz w:val="24"/>
          <w:szCs w:val="24"/>
        </w:rPr>
        <w:t xml:space="preserve"> региона. </w:t>
      </w:r>
    </w:p>
    <w:p w:rsidR="0078506A" w:rsidRPr="0078506A" w:rsidRDefault="0078506A" w:rsidP="002E66D3">
      <w:pPr>
        <w:spacing w:after="0" w:line="240" w:lineRule="auto"/>
        <w:jc w:val="both"/>
        <w:rPr>
          <w:rFonts w:ascii="Times New Roman" w:hAnsi="Times New Roman" w:cs="Times New Roman"/>
          <w:b/>
          <w:sz w:val="24"/>
          <w:szCs w:val="24"/>
        </w:rPr>
      </w:pPr>
    </w:p>
    <w:p w:rsidR="00363370" w:rsidRDefault="00363370" w:rsidP="002E66D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ЛИТЕРАТУРА</w:t>
      </w:r>
    </w:p>
    <w:p w:rsidR="004008B9" w:rsidRPr="004008B9" w:rsidRDefault="004008B9" w:rsidP="004008B9">
      <w:pPr>
        <w:pStyle w:val="a6"/>
        <w:numPr>
          <w:ilvl w:val="0"/>
          <w:numId w:val="1"/>
        </w:numPr>
        <w:spacing w:after="0" w:line="240" w:lineRule="auto"/>
        <w:ind w:left="0" w:firstLine="709"/>
        <w:jc w:val="both"/>
        <w:rPr>
          <w:rFonts w:ascii="Times New Roman" w:hAnsi="Times New Roman" w:cs="Times New Roman"/>
          <w:sz w:val="24"/>
          <w:szCs w:val="28"/>
        </w:rPr>
      </w:pPr>
      <w:r w:rsidRPr="004008B9">
        <w:rPr>
          <w:rFonts w:ascii="Times New Roman" w:hAnsi="Times New Roman" w:cs="Times New Roman"/>
          <w:sz w:val="24"/>
          <w:szCs w:val="28"/>
        </w:rPr>
        <w:t>Шамаева Н.П. Проблемы и тенденции развития научно-производственной кооперации // Экономика и финансы. 2015</w:t>
      </w:r>
      <w:r>
        <w:rPr>
          <w:rFonts w:ascii="Times New Roman" w:hAnsi="Times New Roman" w:cs="Times New Roman"/>
          <w:sz w:val="24"/>
          <w:szCs w:val="28"/>
        </w:rPr>
        <w:t xml:space="preserve">. </w:t>
      </w:r>
      <w:r w:rsidRPr="004008B9">
        <w:rPr>
          <w:rFonts w:ascii="Times New Roman" w:hAnsi="Times New Roman" w:cs="Times New Roman"/>
          <w:sz w:val="24"/>
          <w:szCs w:val="28"/>
        </w:rPr>
        <w:t>№4. URL: https://cyberleninka.ru/article/n/problemy-i-tendentsii-razvitiya-nauchno-proizvodstvennoy-kooperatsii (дата обращения: 14.04.2023).</w:t>
      </w:r>
    </w:p>
    <w:p w:rsidR="004008B9" w:rsidRPr="004008B9" w:rsidRDefault="004008B9" w:rsidP="004008B9">
      <w:pPr>
        <w:pStyle w:val="a3"/>
        <w:numPr>
          <w:ilvl w:val="0"/>
          <w:numId w:val="1"/>
        </w:numPr>
        <w:ind w:left="0" w:firstLine="709"/>
        <w:jc w:val="both"/>
        <w:rPr>
          <w:rFonts w:ascii="Times New Roman" w:hAnsi="Times New Roman" w:cs="Times New Roman"/>
          <w:sz w:val="24"/>
          <w:szCs w:val="28"/>
        </w:rPr>
      </w:pPr>
      <w:r>
        <w:rPr>
          <w:rFonts w:ascii="Times New Roman" w:hAnsi="Times New Roman" w:cs="Times New Roman"/>
          <w:sz w:val="24"/>
          <w:szCs w:val="28"/>
        </w:rPr>
        <w:t>Унтура Г. А</w:t>
      </w:r>
      <w:r w:rsidRPr="004008B9">
        <w:rPr>
          <w:rFonts w:ascii="Times New Roman" w:hAnsi="Times New Roman" w:cs="Times New Roman"/>
          <w:sz w:val="24"/>
          <w:szCs w:val="28"/>
        </w:rPr>
        <w:t>. Региональная кооперация науки, высшего образования и бизнеса: национальный проект Наука // Регион: Экономика и Социология. 2020</w:t>
      </w:r>
      <w:r>
        <w:rPr>
          <w:rFonts w:ascii="Times New Roman" w:hAnsi="Times New Roman" w:cs="Times New Roman"/>
          <w:sz w:val="24"/>
          <w:szCs w:val="28"/>
        </w:rPr>
        <w:t>.</w:t>
      </w:r>
      <w:r w:rsidRPr="004008B9">
        <w:rPr>
          <w:rFonts w:ascii="Times New Roman" w:hAnsi="Times New Roman" w:cs="Times New Roman"/>
          <w:sz w:val="24"/>
          <w:szCs w:val="28"/>
        </w:rPr>
        <w:t>№ 3(107). С. 62-96. DOI 10.15372/REG20200303</w:t>
      </w:r>
    </w:p>
    <w:p w:rsidR="004008B9" w:rsidRPr="0054458A" w:rsidRDefault="004008B9" w:rsidP="004008B9">
      <w:pPr>
        <w:pStyle w:val="a3"/>
        <w:numPr>
          <w:ilvl w:val="0"/>
          <w:numId w:val="1"/>
        </w:numPr>
        <w:ind w:left="0" w:firstLine="709"/>
        <w:jc w:val="both"/>
        <w:rPr>
          <w:rFonts w:ascii="Times New Roman" w:hAnsi="Times New Roman" w:cs="Times New Roman"/>
          <w:sz w:val="24"/>
          <w:szCs w:val="28"/>
        </w:rPr>
      </w:pPr>
      <w:r w:rsidRPr="004008B9">
        <w:rPr>
          <w:rFonts w:ascii="Times New Roman" w:hAnsi="Times New Roman" w:cs="Times New Roman"/>
          <w:sz w:val="24"/>
          <w:szCs w:val="28"/>
        </w:rPr>
        <w:t>Ускова Т.В., Кувалин Д.Б., Лукин Е.В.</w:t>
      </w:r>
      <w:r>
        <w:rPr>
          <w:rFonts w:ascii="Times New Roman" w:hAnsi="Times New Roman" w:cs="Times New Roman"/>
          <w:sz w:val="24"/>
          <w:szCs w:val="28"/>
        </w:rPr>
        <w:t>, Широкова Е.Ю., Зинченко Ю.В.</w:t>
      </w:r>
      <w:r w:rsidRPr="004008B9">
        <w:rPr>
          <w:rFonts w:ascii="Times New Roman" w:hAnsi="Times New Roman" w:cs="Times New Roman"/>
          <w:sz w:val="24"/>
          <w:szCs w:val="28"/>
        </w:rPr>
        <w:t xml:space="preserve"> Производственный сектор </w:t>
      </w:r>
      <w:r w:rsidRPr="0054458A">
        <w:rPr>
          <w:rFonts w:ascii="Times New Roman" w:hAnsi="Times New Roman" w:cs="Times New Roman"/>
          <w:sz w:val="24"/>
          <w:szCs w:val="28"/>
        </w:rPr>
        <w:t>экономики Северо-Запада России: проблемы адаптации и перспективы функционирования в условиях санкций // Проблемы развития территории.2022. Т. 26. № 6. С. 7–28. DOI: 10.15838/ptd.2022.6.122.1</w:t>
      </w:r>
    </w:p>
    <w:p w:rsidR="004008B9" w:rsidRPr="0054458A" w:rsidRDefault="004008B9" w:rsidP="004008B9">
      <w:pPr>
        <w:pStyle w:val="a3"/>
        <w:numPr>
          <w:ilvl w:val="0"/>
          <w:numId w:val="1"/>
        </w:numPr>
        <w:ind w:left="0" w:firstLine="709"/>
        <w:jc w:val="both"/>
        <w:rPr>
          <w:rFonts w:ascii="Times New Roman" w:hAnsi="Times New Roman" w:cs="Times New Roman"/>
          <w:sz w:val="24"/>
          <w:szCs w:val="28"/>
        </w:rPr>
      </w:pPr>
      <w:r w:rsidRPr="0054458A">
        <w:rPr>
          <w:rFonts w:ascii="Times New Roman" w:hAnsi="Times New Roman" w:cs="Times New Roman"/>
          <w:sz w:val="24"/>
          <w:szCs w:val="28"/>
        </w:rPr>
        <w:t>Козлов Д.В., Платонова Д.П., Лешуков О.В. Где учиться и где работать: межрегиональная мобильность студентов и выпускников университетов Современная аналитика образования. М: НИУ ВШЭ. 2017. № 4(12). 33 c.</w:t>
      </w:r>
    </w:p>
    <w:p w:rsidR="004008B9" w:rsidRPr="004008B9" w:rsidRDefault="004008B9" w:rsidP="004008B9">
      <w:pPr>
        <w:pStyle w:val="a3"/>
        <w:numPr>
          <w:ilvl w:val="0"/>
          <w:numId w:val="1"/>
        </w:numPr>
        <w:ind w:left="0" w:firstLine="709"/>
        <w:jc w:val="both"/>
        <w:rPr>
          <w:rFonts w:ascii="Times New Roman" w:hAnsi="Times New Roman" w:cs="Times New Roman"/>
          <w:sz w:val="24"/>
          <w:szCs w:val="28"/>
        </w:rPr>
      </w:pPr>
      <w:r w:rsidRPr="0054458A">
        <w:rPr>
          <w:rFonts w:ascii="Times New Roman" w:hAnsi="Times New Roman" w:cs="Times New Roman"/>
          <w:sz w:val="24"/>
          <w:szCs w:val="28"/>
        </w:rPr>
        <w:t xml:space="preserve">Чекавинский А.Н., Кожевников С.А., Ворошилов </w:t>
      </w:r>
      <w:r w:rsidRPr="004008B9">
        <w:rPr>
          <w:rFonts w:ascii="Times New Roman" w:hAnsi="Times New Roman" w:cs="Times New Roman"/>
          <w:sz w:val="24"/>
          <w:szCs w:val="28"/>
        </w:rPr>
        <w:t>Н.В. Институты развития на местном уровне: монография. Вологда : ИСЭРТ РАН</w:t>
      </w:r>
      <w:r>
        <w:rPr>
          <w:rFonts w:ascii="Times New Roman" w:hAnsi="Times New Roman" w:cs="Times New Roman"/>
          <w:sz w:val="24"/>
          <w:szCs w:val="28"/>
        </w:rPr>
        <w:t>, 2017.</w:t>
      </w:r>
      <w:r w:rsidRPr="004008B9">
        <w:rPr>
          <w:rFonts w:ascii="Times New Roman" w:hAnsi="Times New Roman" w:cs="Times New Roman"/>
          <w:sz w:val="24"/>
          <w:szCs w:val="28"/>
        </w:rPr>
        <w:t xml:space="preserve"> 200 с.</w:t>
      </w:r>
    </w:p>
    <w:p w:rsidR="004008B9" w:rsidRDefault="004008B9" w:rsidP="004008B9">
      <w:pPr>
        <w:pStyle w:val="a3"/>
        <w:spacing w:line="360" w:lineRule="auto"/>
        <w:jc w:val="both"/>
        <w:rPr>
          <w:rFonts w:ascii="Times New Roman" w:hAnsi="Times New Roman" w:cs="Times New Roman"/>
          <w:sz w:val="28"/>
          <w:szCs w:val="28"/>
        </w:rPr>
      </w:pPr>
    </w:p>
    <w:p w:rsidR="00EF5390" w:rsidRPr="00EF5390" w:rsidRDefault="00EF5390" w:rsidP="00EF5390">
      <w:pPr>
        <w:spacing w:after="0" w:line="240" w:lineRule="auto"/>
        <w:jc w:val="both"/>
        <w:rPr>
          <w:rFonts w:ascii="Times New Roman" w:hAnsi="Times New Roman" w:cs="Times New Roman"/>
          <w:sz w:val="24"/>
          <w:szCs w:val="28"/>
        </w:rPr>
      </w:pPr>
      <w:bookmarkStart w:id="0" w:name="_GoBack"/>
      <w:bookmarkEnd w:id="0"/>
      <w:r w:rsidRPr="00EF5390">
        <w:rPr>
          <w:rFonts w:ascii="Times New Roman" w:hAnsi="Times New Roman" w:cs="Times New Roman"/>
          <w:sz w:val="24"/>
          <w:szCs w:val="28"/>
        </w:rPr>
        <w:t xml:space="preserve">Примечание: </w:t>
      </w:r>
      <w:r w:rsidRPr="00EF5390">
        <w:rPr>
          <w:rFonts w:ascii="Times New Roman" w:hAnsi="Times New Roman" w:cs="Times New Roman"/>
          <w:sz w:val="24"/>
          <w:szCs w:val="28"/>
        </w:rPr>
        <w:t>Статья подготовлена в соответствии с государственным заданием для ФГБУН ВолНЦ РАН по теме НИР № FMGZ-2022-0012 «Факторы и методы устойчивого социально-экономического развития территориальных систем в изменяющихся условиях внешней и внутренней среды».</w:t>
      </w:r>
    </w:p>
    <w:p w:rsidR="002E66D3" w:rsidRPr="0088305A" w:rsidRDefault="002E66D3" w:rsidP="002E66D3">
      <w:pPr>
        <w:spacing w:after="0" w:line="240" w:lineRule="auto"/>
        <w:jc w:val="center"/>
        <w:rPr>
          <w:rFonts w:ascii="Times New Roman" w:hAnsi="Times New Roman" w:cs="Times New Roman"/>
          <w:b/>
          <w:sz w:val="24"/>
          <w:szCs w:val="24"/>
        </w:rPr>
      </w:pPr>
    </w:p>
    <w:sectPr w:rsidR="002E66D3" w:rsidRPr="0088305A" w:rsidSect="00DB79BE">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1D26" w:rsidRDefault="003C1D26" w:rsidP="0078506A">
      <w:pPr>
        <w:spacing w:after="0" w:line="240" w:lineRule="auto"/>
      </w:pPr>
      <w:r>
        <w:separator/>
      </w:r>
    </w:p>
  </w:endnote>
  <w:endnote w:type="continuationSeparator" w:id="0">
    <w:p w:rsidR="003C1D26" w:rsidRDefault="003C1D26" w:rsidP="007850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7358872"/>
      <w:docPartObj>
        <w:docPartGallery w:val="Page Numbers (Bottom of Page)"/>
        <w:docPartUnique/>
      </w:docPartObj>
    </w:sdtPr>
    <w:sdtEndPr/>
    <w:sdtContent>
      <w:p w:rsidR="0054458A" w:rsidRDefault="0054458A">
        <w:pPr>
          <w:pStyle w:val="a9"/>
          <w:jc w:val="right"/>
        </w:pPr>
        <w:r>
          <w:fldChar w:fldCharType="begin"/>
        </w:r>
        <w:r>
          <w:instrText>PAGE   \* MERGEFORMAT</w:instrText>
        </w:r>
        <w:r>
          <w:fldChar w:fldCharType="separate"/>
        </w:r>
        <w:r w:rsidR="003C1D26">
          <w:rPr>
            <w:noProof/>
          </w:rPr>
          <w:t>1</w:t>
        </w:r>
        <w:r>
          <w:fldChar w:fldCharType="end"/>
        </w:r>
      </w:p>
    </w:sdtContent>
  </w:sdt>
  <w:p w:rsidR="0054458A" w:rsidRDefault="0054458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1D26" w:rsidRDefault="003C1D26" w:rsidP="0078506A">
      <w:pPr>
        <w:spacing w:after="0" w:line="240" w:lineRule="auto"/>
      </w:pPr>
      <w:r>
        <w:separator/>
      </w:r>
    </w:p>
  </w:footnote>
  <w:footnote w:type="continuationSeparator" w:id="0">
    <w:p w:rsidR="003C1D26" w:rsidRDefault="003C1D26" w:rsidP="0078506A">
      <w:pPr>
        <w:spacing w:after="0" w:line="240" w:lineRule="auto"/>
      </w:pPr>
      <w:r>
        <w:continuationSeparator/>
      </w:r>
    </w:p>
  </w:footnote>
  <w:footnote w:id="1">
    <w:p w:rsidR="0078506A" w:rsidRPr="00EF5390" w:rsidRDefault="0078506A" w:rsidP="0078506A">
      <w:pPr>
        <w:pStyle w:val="a3"/>
      </w:pPr>
      <w:r>
        <w:rPr>
          <w:rStyle w:val="a5"/>
        </w:rPr>
        <w:footnoteRef/>
      </w:r>
      <w:r w:rsidRPr="007A32D3">
        <w:t xml:space="preserve"> </w:t>
      </w:r>
      <w:r w:rsidRPr="007A32D3">
        <w:rPr>
          <w:rFonts w:ascii="Times New Roman" w:hAnsi="Times New Roman" w:cs="Times New Roman"/>
        </w:rPr>
        <w:t>Индикаторы инновационной деятельности: 2021: статистический сборник / Л. М. Гохберг, Г. А. Грачева, К. А. Дитковский и др.; Нац. исслед. ун-т «Высшая школа экономики».  М</w:t>
      </w:r>
      <w:r w:rsidRPr="00EF5390">
        <w:rPr>
          <w:rFonts w:ascii="Times New Roman" w:hAnsi="Times New Roman" w:cs="Times New Roman"/>
        </w:rPr>
        <w:t xml:space="preserve">.: </w:t>
      </w:r>
      <w:r w:rsidRPr="007A32D3">
        <w:rPr>
          <w:rFonts w:ascii="Times New Roman" w:hAnsi="Times New Roman" w:cs="Times New Roman"/>
        </w:rPr>
        <w:t>НИУ</w:t>
      </w:r>
      <w:r w:rsidRPr="00EF5390">
        <w:rPr>
          <w:rFonts w:ascii="Times New Roman" w:hAnsi="Times New Roman" w:cs="Times New Roman"/>
        </w:rPr>
        <w:t xml:space="preserve"> </w:t>
      </w:r>
      <w:r w:rsidRPr="007A32D3">
        <w:rPr>
          <w:rFonts w:ascii="Times New Roman" w:hAnsi="Times New Roman" w:cs="Times New Roman"/>
        </w:rPr>
        <w:t>ВШЭ</w:t>
      </w:r>
      <w:r w:rsidRPr="00EF5390">
        <w:rPr>
          <w:rFonts w:ascii="Times New Roman" w:hAnsi="Times New Roman" w:cs="Times New Roman"/>
        </w:rPr>
        <w:t>, 2021.</w:t>
      </w:r>
    </w:p>
  </w:footnote>
  <w:footnote w:id="2">
    <w:p w:rsidR="0078506A" w:rsidRPr="00A1367A" w:rsidRDefault="0078506A" w:rsidP="0078506A">
      <w:pPr>
        <w:pStyle w:val="a3"/>
        <w:rPr>
          <w:rFonts w:ascii="Times New Roman" w:hAnsi="Times New Roman" w:cs="Times New Roman"/>
        </w:rPr>
      </w:pPr>
      <w:r>
        <w:rPr>
          <w:rStyle w:val="a5"/>
        </w:rPr>
        <w:footnoteRef/>
      </w:r>
      <w:r w:rsidRPr="00D844B3">
        <w:t xml:space="preserve"> </w:t>
      </w:r>
      <w:r w:rsidRPr="00A1367A">
        <w:rPr>
          <w:rFonts w:ascii="Times New Roman" w:hAnsi="Times New Roman" w:cs="Times New Roman"/>
        </w:rPr>
        <w:t xml:space="preserve">Научно-образовательные центры Мирового уровня. </w:t>
      </w:r>
      <w:r w:rsidRPr="00A1367A">
        <w:rPr>
          <w:rFonts w:ascii="Times New Roman" w:hAnsi="Times New Roman" w:cs="Times New Roman"/>
          <w:lang w:val="en-US"/>
        </w:rPr>
        <w:t>URL</w:t>
      </w:r>
      <w:r w:rsidRPr="00A1367A">
        <w:rPr>
          <w:rFonts w:ascii="Times New Roman" w:hAnsi="Times New Roman" w:cs="Times New Roman"/>
        </w:rPr>
        <w:t xml:space="preserve">: </w:t>
      </w:r>
      <w:r w:rsidRPr="00A1367A">
        <w:rPr>
          <w:rFonts w:ascii="Times New Roman" w:hAnsi="Times New Roman" w:cs="Times New Roman"/>
          <w:lang w:val="en-US"/>
        </w:rPr>
        <w:t>https</w:t>
      </w:r>
      <w:r w:rsidRPr="00A1367A">
        <w:rPr>
          <w:rFonts w:ascii="Times New Roman" w:hAnsi="Times New Roman" w:cs="Times New Roman"/>
        </w:rPr>
        <w:t>://</w:t>
      </w:r>
      <w:r w:rsidRPr="00A1367A">
        <w:rPr>
          <w:rFonts w:ascii="Times New Roman" w:hAnsi="Times New Roman" w:cs="Times New Roman"/>
          <w:lang w:val="en-US"/>
        </w:rPr>
        <w:t>xn</w:t>
      </w:r>
      <w:r w:rsidRPr="00A1367A">
        <w:rPr>
          <w:rFonts w:ascii="Times New Roman" w:hAnsi="Times New Roman" w:cs="Times New Roman"/>
        </w:rPr>
        <w:t>--</w:t>
      </w:r>
      <w:r w:rsidRPr="00A1367A">
        <w:rPr>
          <w:rFonts w:ascii="Times New Roman" w:hAnsi="Times New Roman" w:cs="Times New Roman"/>
          <w:lang w:val="en-US"/>
        </w:rPr>
        <w:t>m</w:t>
      </w:r>
      <w:r w:rsidRPr="00A1367A">
        <w:rPr>
          <w:rFonts w:ascii="Times New Roman" w:hAnsi="Times New Roman" w:cs="Times New Roman"/>
        </w:rPr>
        <w:t>1</w:t>
      </w:r>
      <w:r w:rsidRPr="00A1367A">
        <w:rPr>
          <w:rFonts w:ascii="Times New Roman" w:hAnsi="Times New Roman" w:cs="Times New Roman"/>
          <w:lang w:val="en-US"/>
        </w:rPr>
        <w:t>acy</w:t>
      </w:r>
      <w:r w:rsidRPr="00A1367A">
        <w:rPr>
          <w:rFonts w:ascii="Times New Roman" w:hAnsi="Times New Roman" w:cs="Times New Roman"/>
        </w:rPr>
        <w:t>.</w:t>
      </w:r>
      <w:r w:rsidRPr="00A1367A">
        <w:rPr>
          <w:rFonts w:ascii="Times New Roman" w:hAnsi="Times New Roman" w:cs="Times New Roman"/>
          <w:lang w:val="en-US"/>
        </w:rPr>
        <w:t>xn</w:t>
      </w:r>
      <w:r w:rsidRPr="00A1367A">
        <w:rPr>
          <w:rFonts w:ascii="Times New Roman" w:hAnsi="Times New Roman" w:cs="Times New Roman"/>
        </w:rPr>
        <w:t>--</w:t>
      </w:r>
      <w:r w:rsidRPr="00A1367A">
        <w:rPr>
          <w:rFonts w:ascii="Times New Roman" w:hAnsi="Times New Roman" w:cs="Times New Roman"/>
          <w:lang w:val="en-US"/>
        </w:rPr>
        <w:t>p</w:t>
      </w:r>
      <w:r w:rsidRPr="00A1367A">
        <w:rPr>
          <w:rFonts w:ascii="Times New Roman" w:hAnsi="Times New Roman" w:cs="Times New Roman"/>
        </w:rPr>
        <w:t>1</w:t>
      </w:r>
      <w:r w:rsidRPr="00A1367A">
        <w:rPr>
          <w:rFonts w:ascii="Times New Roman" w:hAnsi="Times New Roman" w:cs="Times New Roman"/>
          <w:lang w:val="en-US"/>
        </w:rPr>
        <w:t>ai</w:t>
      </w:r>
      <w:r w:rsidRPr="00A1367A">
        <w:rPr>
          <w:rFonts w:ascii="Times New Roman" w:hAnsi="Times New Roman" w:cs="Times New Roman"/>
        </w:rPr>
        <w:t>/</w:t>
      </w:r>
      <w:r w:rsidRPr="00A1367A">
        <w:rPr>
          <w:rFonts w:ascii="Times New Roman" w:hAnsi="Times New Roman" w:cs="Times New Roman"/>
          <w:lang w:val="en-US"/>
        </w:rPr>
        <w:t>centers</w:t>
      </w:r>
      <w:r w:rsidRPr="00A1367A">
        <w:rPr>
          <w:rFonts w:ascii="Times New Roman" w:hAnsi="Times New Roman" w:cs="Times New Roman"/>
        </w:rPr>
        <w:t xml:space="preserve"> (</w:t>
      </w:r>
      <w:r>
        <w:rPr>
          <w:rFonts w:ascii="Times New Roman" w:hAnsi="Times New Roman" w:cs="Times New Roman"/>
        </w:rPr>
        <w:t>дата обращения: 25.02.2023)</w:t>
      </w:r>
    </w:p>
  </w:footnote>
  <w:footnote w:id="3">
    <w:p w:rsidR="0078506A" w:rsidRPr="0054458A" w:rsidRDefault="0078506A" w:rsidP="0054458A">
      <w:pPr>
        <w:pStyle w:val="a3"/>
        <w:jc w:val="both"/>
        <w:rPr>
          <w:rFonts w:ascii="Times New Roman" w:hAnsi="Times New Roman" w:cs="Times New Roman"/>
        </w:rPr>
      </w:pPr>
      <w:r w:rsidRPr="0054458A">
        <w:rPr>
          <w:rFonts w:ascii="Times New Roman" w:hAnsi="Times New Roman" w:cs="Times New Roman"/>
          <w:vertAlign w:val="superscript"/>
        </w:rPr>
        <w:footnoteRef/>
      </w:r>
      <w:r w:rsidRPr="0054458A">
        <w:rPr>
          <w:rFonts w:ascii="Times New Roman" w:hAnsi="Times New Roman" w:cs="Times New Roman"/>
        </w:rPr>
        <w:t xml:space="preserve"> Спасение преподавателей – дело рук самих преподавателей»: к вопросу о доходах работников сферы высшего образования. URL: </w:t>
      </w:r>
      <w:hyperlink r:id="rId1" w:history="1">
        <w:r w:rsidRPr="0054458A">
          <w:rPr>
            <w:rFonts w:ascii="Times New Roman" w:hAnsi="Times New Roman" w:cs="Times New Roman"/>
          </w:rPr>
          <w:t>https://danilevsky.ru/stati-irsi-analitika-tg-kanala-rossiya-ne-evropa/spasenie-prepodavatelej-delo-ruk-samih-prepodavatelej-k-voprosu-o-dohodah-rabotnikov-sfery-vysshego-obrazovaniya/</w:t>
        </w:r>
      </w:hyperlink>
      <w:r w:rsidRPr="0054458A">
        <w:rPr>
          <w:rFonts w:ascii="Times New Roman" w:hAnsi="Times New Roman" w:cs="Times New Roman"/>
        </w:rPr>
        <w:t xml:space="preserve"> (дата обращения: 05.02.2023)</w:t>
      </w:r>
    </w:p>
  </w:footnote>
  <w:footnote w:id="4">
    <w:p w:rsidR="0078506A" w:rsidRPr="0054458A" w:rsidRDefault="0078506A" w:rsidP="0054458A">
      <w:pPr>
        <w:pStyle w:val="a3"/>
        <w:jc w:val="both"/>
        <w:rPr>
          <w:rFonts w:ascii="Times New Roman" w:hAnsi="Times New Roman" w:cs="Times New Roman"/>
        </w:rPr>
      </w:pPr>
      <w:r w:rsidRPr="0054458A">
        <w:rPr>
          <w:rFonts w:ascii="Times New Roman" w:hAnsi="Times New Roman" w:cs="Times New Roman"/>
          <w:vertAlign w:val="superscript"/>
        </w:rPr>
        <w:footnoteRef/>
      </w:r>
      <w:r w:rsidRPr="0054458A">
        <w:rPr>
          <w:rFonts w:ascii="Times New Roman" w:hAnsi="Times New Roman" w:cs="Times New Roman"/>
        </w:rPr>
        <w:t xml:space="preserve">  Ватчанин В., Сапрыгина Ю. Профессорам российских вузов сделали подарок на Новый год. URL: </w:t>
      </w:r>
      <w:hyperlink r:id="rId2" w:history="1">
        <w:r w:rsidRPr="0054458A">
          <w:rPr>
            <w:rFonts w:ascii="Times New Roman" w:hAnsi="Times New Roman" w:cs="Times New Roman"/>
          </w:rPr>
          <w:t>https://www.pnp.ru/social/professoram-rossiyskikh-vuzov-sdelali-podarok-na-novyy-god.html</w:t>
        </w:r>
      </w:hyperlink>
      <w:r w:rsidRPr="0054458A">
        <w:rPr>
          <w:rFonts w:ascii="Times New Roman" w:hAnsi="Times New Roman" w:cs="Times New Roman"/>
        </w:rPr>
        <w:t xml:space="preserve"> (дата обращения: 25.02.2023)</w:t>
      </w:r>
    </w:p>
  </w:footnote>
  <w:footnote w:id="5">
    <w:p w:rsidR="0078506A" w:rsidRDefault="0078506A" w:rsidP="0054458A">
      <w:pPr>
        <w:pStyle w:val="a3"/>
        <w:jc w:val="both"/>
      </w:pPr>
      <w:r w:rsidRPr="0054458A">
        <w:rPr>
          <w:rFonts w:ascii="Times New Roman" w:hAnsi="Times New Roman" w:cs="Times New Roman"/>
          <w:vertAlign w:val="superscript"/>
        </w:rPr>
        <w:footnoteRef/>
      </w:r>
      <w:r w:rsidRPr="0054458A">
        <w:rPr>
          <w:rFonts w:ascii="Times New Roman" w:hAnsi="Times New Roman" w:cs="Times New Roman"/>
        </w:rPr>
        <w:t xml:space="preserve"> Показатель вос</w:t>
      </w:r>
      <w:r w:rsidR="00DB79BE" w:rsidRPr="0054458A">
        <w:rPr>
          <w:rFonts w:ascii="Times New Roman" w:hAnsi="Times New Roman" w:cs="Times New Roman"/>
        </w:rPr>
        <w:t>требованности вузов в</w:t>
      </w:r>
      <w:r w:rsidRPr="0054458A">
        <w:rPr>
          <w:rFonts w:ascii="Times New Roman" w:hAnsi="Times New Roman" w:cs="Times New Roman"/>
        </w:rPr>
        <w:t xml:space="preserve"> регионе среди выпускников школ рассчитывается как отношение численности поступивших на очную форму обучения по программам бакалавриата и специалитета в вузы </w:t>
      </w:r>
      <w:r w:rsidRPr="0054458A">
        <w:rPr>
          <w:rFonts w:ascii="Times New Roman" w:hAnsi="Times New Roman" w:cs="Times New Roman"/>
          <w:i/>
          <w:iCs/>
        </w:rPr>
        <w:t xml:space="preserve"> </w:t>
      </w:r>
      <w:r w:rsidRPr="0054458A">
        <w:rPr>
          <w:rFonts w:ascii="Times New Roman" w:hAnsi="Times New Roman" w:cs="Times New Roman"/>
        </w:rPr>
        <w:t xml:space="preserve">региона сразу после окончания школы к численности выпускников школ </w:t>
      </w:r>
      <w:r w:rsidRPr="0054458A">
        <w:rPr>
          <w:rFonts w:ascii="Times New Roman" w:hAnsi="Times New Roman" w:cs="Times New Roman"/>
          <w:i/>
          <w:iCs/>
        </w:rPr>
        <w:t xml:space="preserve"> </w:t>
      </w:r>
      <w:r w:rsidRPr="0054458A">
        <w:rPr>
          <w:rFonts w:ascii="Times New Roman" w:hAnsi="Times New Roman" w:cs="Times New Roman"/>
        </w:rPr>
        <w:t>региона, получивших аттестат о среднем общем образовании, помноженному на  долю выпускников школ, которые идут сразу после окончания школы в вузы.</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75B1F7E"/>
    <w:multiLevelType w:val="hybridMultilevel"/>
    <w:tmpl w:val="9F40F1F2"/>
    <w:lvl w:ilvl="0" w:tplc="D11C9AEA">
      <w:start w:val="1"/>
      <w:numFmt w:val="decimal"/>
      <w:lvlText w:val="%1."/>
      <w:lvlJc w:val="left"/>
      <w:pPr>
        <w:ind w:left="928" w:hanging="360"/>
      </w:pPr>
      <w:rPr>
        <w:rFonts w:ascii="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18D1"/>
    <w:rsid w:val="000718D1"/>
    <w:rsid w:val="000D4034"/>
    <w:rsid w:val="001527D2"/>
    <w:rsid w:val="002C2FE0"/>
    <w:rsid w:val="002E66D3"/>
    <w:rsid w:val="00363370"/>
    <w:rsid w:val="003C1D26"/>
    <w:rsid w:val="004008B9"/>
    <w:rsid w:val="0054458A"/>
    <w:rsid w:val="00676D18"/>
    <w:rsid w:val="006B2BD0"/>
    <w:rsid w:val="007612E8"/>
    <w:rsid w:val="0078506A"/>
    <w:rsid w:val="0088305A"/>
    <w:rsid w:val="00C87C38"/>
    <w:rsid w:val="00DB79BE"/>
    <w:rsid w:val="00EF53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FA66F4-34B0-40C1-A6E6-F468B6E47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850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8506A"/>
    <w:rPr>
      <w:rFonts w:asciiTheme="majorHAnsi" w:eastAsiaTheme="majorEastAsia" w:hAnsiTheme="majorHAnsi" w:cstheme="majorBidi"/>
      <w:color w:val="2E74B5" w:themeColor="accent1" w:themeShade="BF"/>
      <w:sz w:val="32"/>
      <w:szCs w:val="32"/>
    </w:rPr>
  </w:style>
  <w:style w:type="paragraph" w:styleId="a3">
    <w:name w:val="footnote text"/>
    <w:basedOn w:val="a"/>
    <w:link w:val="a4"/>
    <w:uiPriority w:val="99"/>
    <w:unhideWhenUsed/>
    <w:rsid w:val="0078506A"/>
    <w:pPr>
      <w:spacing w:after="0" w:line="240" w:lineRule="auto"/>
    </w:pPr>
    <w:rPr>
      <w:sz w:val="20"/>
      <w:szCs w:val="20"/>
    </w:rPr>
  </w:style>
  <w:style w:type="character" w:customStyle="1" w:styleId="a4">
    <w:name w:val="Текст сноски Знак"/>
    <w:basedOn w:val="a0"/>
    <w:link w:val="a3"/>
    <w:uiPriority w:val="99"/>
    <w:rsid w:val="0078506A"/>
    <w:rPr>
      <w:sz w:val="20"/>
      <w:szCs w:val="20"/>
    </w:rPr>
  </w:style>
  <w:style w:type="character" w:styleId="a5">
    <w:name w:val="footnote reference"/>
    <w:basedOn w:val="a0"/>
    <w:uiPriority w:val="99"/>
    <w:semiHidden/>
    <w:unhideWhenUsed/>
    <w:rsid w:val="0078506A"/>
    <w:rPr>
      <w:vertAlign w:val="superscript"/>
    </w:rPr>
  </w:style>
  <w:style w:type="paragraph" w:styleId="a6">
    <w:name w:val="List Paragraph"/>
    <w:basedOn w:val="a"/>
    <w:uiPriority w:val="34"/>
    <w:qFormat/>
    <w:rsid w:val="004008B9"/>
    <w:pPr>
      <w:ind w:left="720"/>
      <w:contextualSpacing/>
    </w:pPr>
  </w:style>
  <w:style w:type="paragraph" w:styleId="a7">
    <w:name w:val="header"/>
    <w:basedOn w:val="a"/>
    <w:link w:val="a8"/>
    <w:uiPriority w:val="99"/>
    <w:unhideWhenUsed/>
    <w:rsid w:val="0054458A"/>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54458A"/>
  </w:style>
  <w:style w:type="paragraph" w:styleId="a9">
    <w:name w:val="footer"/>
    <w:basedOn w:val="a"/>
    <w:link w:val="aa"/>
    <w:uiPriority w:val="99"/>
    <w:unhideWhenUsed/>
    <w:rsid w:val="0054458A"/>
    <w:pPr>
      <w:tabs>
        <w:tab w:val="center" w:pos="4677"/>
        <w:tab w:val="right" w:pos="9355"/>
      </w:tabs>
      <w:spacing w:after="0" w:line="240" w:lineRule="auto"/>
    </w:pPr>
  </w:style>
  <w:style w:type="character" w:customStyle="1" w:styleId="aa">
    <w:name w:val="Нижний колонтитул Знак"/>
    <w:basedOn w:val="a0"/>
    <w:link w:val="a9"/>
    <w:uiPriority w:val="99"/>
    <w:rsid w:val="0054458A"/>
  </w:style>
  <w:style w:type="paragraph" w:styleId="ab">
    <w:name w:val="Balloon Text"/>
    <w:basedOn w:val="a"/>
    <w:link w:val="ac"/>
    <w:uiPriority w:val="99"/>
    <w:semiHidden/>
    <w:unhideWhenUsed/>
    <w:rsid w:val="0054458A"/>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54458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pnp.ru/social/professoram-rossiyskikh-vuzov-sdelali-podarok-na-novyy-god.html" TargetMode="External"/><Relationship Id="rId1" Type="http://schemas.openxmlformats.org/officeDocument/2006/relationships/hyperlink" Target="https://danilevsky.ru/stati-irsi-analitika-tg-kanala-rossiya-ne-evropa/spasenie-prepodavatelej-delo-ruk-samih-prepodavatelej-k-voprosu-o-dohodah-rabotnikov-sfery-vysshego-obrazovaniy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B7774-9FC7-4503-89BD-547178724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6</Pages>
  <Words>2330</Words>
  <Characters>13285</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cp:lastPrinted>2023-05-12T11:33:00Z</cp:lastPrinted>
  <dcterms:created xsi:type="dcterms:W3CDTF">2023-05-12T09:59:00Z</dcterms:created>
  <dcterms:modified xsi:type="dcterms:W3CDTF">2023-05-12T12:33:00Z</dcterms:modified>
</cp:coreProperties>
</file>