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0A56" w:rsidRPr="009E61C2" w:rsidRDefault="00730A56" w:rsidP="00170799">
      <w:pPr>
        <w:widowControl w:val="0"/>
        <w:spacing w:after="0" w:line="240" w:lineRule="auto"/>
        <w:contextualSpacing/>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t>УДК 33</w:t>
      </w:r>
      <w:r w:rsidR="00E352F7">
        <w:rPr>
          <w:rFonts w:ascii="Times New Roman" w:eastAsia="Times New Roman" w:hAnsi="Times New Roman" w:cs="Times New Roman"/>
          <w:sz w:val="24"/>
          <w:szCs w:val="24"/>
        </w:rPr>
        <w:t>2.1</w:t>
      </w:r>
    </w:p>
    <w:p w:rsidR="00730A56" w:rsidRDefault="00730A56" w:rsidP="00170799">
      <w:pPr>
        <w:widowControl w:val="0"/>
        <w:spacing w:after="0" w:line="240" w:lineRule="auto"/>
        <w:ind w:firstLine="709"/>
        <w:contextualSpacing/>
        <w:jc w:val="right"/>
        <w:rPr>
          <w:rFonts w:ascii="Times New Roman" w:hAnsi="Times New Roman" w:cs="Times New Roman"/>
          <w:b/>
          <w:sz w:val="24"/>
          <w:szCs w:val="24"/>
        </w:rPr>
      </w:pPr>
      <w:r w:rsidRPr="009E61C2">
        <w:rPr>
          <w:rFonts w:ascii="Times New Roman" w:hAnsi="Times New Roman" w:cs="Times New Roman"/>
          <w:b/>
          <w:sz w:val="24"/>
          <w:szCs w:val="24"/>
        </w:rPr>
        <w:t>Секушина</w:t>
      </w:r>
      <w:r w:rsidR="001E2DDC">
        <w:rPr>
          <w:rFonts w:ascii="Times New Roman" w:hAnsi="Times New Roman" w:cs="Times New Roman"/>
          <w:b/>
          <w:sz w:val="24"/>
          <w:szCs w:val="24"/>
        </w:rPr>
        <w:t xml:space="preserve"> </w:t>
      </w:r>
      <w:r w:rsidRPr="009E61C2">
        <w:rPr>
          <w:rFonts w:ascii="Times New Roman" w:hAnsi="Times New Roman" w:cs="Times New Roman"/>
          <w:b/>
          <w:sz w:val="24"/>
          <w:szCs w:val="24"/>
        </w:rPr>
        <w:t>И.А.</w:t>
      </w:r>
    </w:p>
    <w:p w:rsidR="00F26E76" w:rsidRPr="009E61C2" w:rsidRDefault="00F26E76" w:rsidP="00170799">
      <w:pPr>
        <w:widowControl w:val="0"/>
        <w:spacing w:after="0" w:line="240" w:lineRule="auto"/>
        <w:ind w:firstLine="709"/>
        <w:contextualSpacing/>
        <w:jc w:val="right"/>
        <w:rPr>
          <w:rFonts w:ascii="Times New Roman" w:hAnsi="Times New Roman" w:cs="Times New Roman"/>
          <w:b/>
          <w:sz w:val="24"/>
          <w:szCs w:val="24"/>
        </w:rPr>
      </w:pPr>
    </w:p>
    <w:p w:rsidR="00F453A3" w:rsidRPr="008D0771" w:rsidRDefault="004662BE" w:rsidP="0082691D">
      <w:pPr>
        <w:widowControl w:val="0"/>
        <w:spacing w:after="0" w:line="360" w:lineRule="auto"/>
        <w:ind w:firstLine="709"/>
        <w:contextualSpacing/>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w:t>
      </w:r>
      <w:r w:rsidR="008D0771">
        <w:rPr>
          <w:rFonts w:ascii="Times New Roman" w:eastAsia="Times New Roman" w:hAnsi="Times New Roman" w:cs="Times New Roman"/>
          <w:b/>
          <w:bCs/>
          <w:sz w:val="24"/>
          <w:szCs w:val="24"/>
        </w:rPr>
        <w:t xml:space="preserve">ринципы </w:t>
      </w:r>
      <w:r>
        <w:rPr>
          <w:rFonts w:ascii="Times New Roman" w:eastAsia="Times New Roman" w:hAnsi="Times New Roman" w:cs="Times New Roman"/>
          <w:b/>
          <w:bCs/>
          <w:sz w:val="24"/>
          <w:szCs w:val="24"/>
        </w:rPr>
        <w:t xml:space="preserve">и алгоритм </w:t>
      </w:r>
      <w:r w:rsidR="008D0771">
        <w:rPr>
          <w:rFonts w:ascii="Times New Roman" w:eastAsia="Times New Roman" w:hAnsi="Times New Roman" w:cs="Times New Roman"/>
          <w:b/>
          <w:bCs/>
          <w:sz w:val="24"/>
          <w:szCs w:val="24"/>
        </w:rPr>
        <w:t>р</w:t>
      </w:r>
      <w:r w:rsidR="008D0771" w:rsidRPr="008D0771">
        <w:rPr>
          <w:rFonts w:ascii="Times New Roman" w:eastAsia="Times New Roman" w:hAnsi="Times New Roman" w:cs="Times New Roman"/>
          <w:b/>
          <w:bCs/>
          <w:sz w:val="24"/>
          <w:szCs w:val="24"/>
        </w:rPr>
        <w:t>азвити</w:t>
      </w:r>
      <w:r w:rsidR="008D0771">
        <w:rPr>
          <w:rFonts w:ascii="Times New Roman" w:eastAsia="Times New Roman" w:hAnsi="Times New Roman" w:cs="Times New Roman"/>
          <w:b/>
          <w:bCs/>
          <w:sz w:val="24"/>
          <w:szCs w:val="24"/>
        </w:rPr>
        <w:t>я</w:t>
      </w:r>
      <w:r w:rsidR="008D0771" w:rsidRPr="008D0771">
        <w:rPr>
          <w:rFonts w:ascii="Times New Roman" w:eastAsia="Times New Roman" w:hAnsi="Times New Roman" w:cs="Times New Roman"/>
          <w:b/>
          <w:bCs/>
          <w:sz w:val="24"/>
          <w:szCs w:val="24"/>
        </w:rPr>
        <w:t xml:space="preserve"> межмуниципального сотрудничества</w:t>
      </w:r>
      <w:r w:rsidR="008D0771">
        <w:rPr>
          <w:rFonts w:ascii="Times New Roman" w:eastAsia="Times New Roman" w:hAnsi="Times New Roman" w:cs="Times New Roman"/>
          <w:b/>
          <w:bCs/>
          <w:sz w:val="24"/>
          <w:szCs w:val="24"/>
        </w:rPr>
        <w:t xml:space="preserve"> </w:t>
      </w:r>
      <w:r w:rsidR="00604F07">
        <w:rPr>
          <w:rFonts w:ascii="Times New Roman" w:eastAsia="Times New Roman" w:hAnsi="Times New Roman" w:cs="Times New Roman"/>
          <w:b/>
          <w:bCs/>
          <w:sz w:val="24"/>
          <w:szCs w:val="24"/>
        </w:rPr>
        <w:t>в малых и средних городах</w:t>
      </w:r>
      <w:r w:rsidR="00637FDC">
        <w:rPr>
          <w:rStyle w:val="a8"/>
          <w:rFonts w:ascii="Times New Roman" w:eastAsia="Times New Roman" w:hAnsi="Times New Roman" w:cs="Times New Roman"/>
          <w:b/>
          <w:bCs/>
          <w:sz w:val="24"/>
          <w:szCs w:val="24"/>
        </w:rPr>
        <w:footnoteReference w:id="1"/>
      </w:r>
    </w:p>
    <w:p w:rsidR="008D0771" w:rsidRPr="009E61C2" w:rsidRDefault="008D0771" w:rsidP="00170799">
      <w:pPr>
        <w:widowControl w:val="0"/>
        <w:spacing w:after="0" w:line="240" w:lineRule="auto"/>
        <w:ind w:firstLine="709"/>
        <w:contextualSpacing/>
        <w:rPr>
          <w:rFonts w:ascii="Times New Roman" w:eastAsia="Times New Roman" w:hAnsi="Times New Roman" w:cs="Times New Roman"/>
          <w:sz w:val="24"/>
          <w:szCs w:val="24"/>
        </w:rPr>
      </w:pPr>
    </w:p>
    <w:p w:rsidR="00F26E76" w:rsidRPr="0082691D" w:rsidRDefault="0082691D" w:rsidP="0082691D">
      <w:pPr>
        <w:widowControl w:val="0"/>
        <w:spacing w:after="0" w:line="240" w:lineRule="auto"/>
        <w:ind w:firstLine="426"/>
        <w:jc w:val="both"/>
        <w:rPr>
          <w:rFonts w:ascii="Times New Roman" w:hAnsi="Times New Roman"/>
          <w:i/>
          <w:iCs/>
        </w:rPr>
      </w:pPr>
      <w:r w:rsidRPr="0082691D">
        <w:rPr>
          <w:rFonts w:ascii="Times New Roman" w:hAnsi="Times New Roman"/>
          <w:b/>
          <w:bCs/>
        </w:rPr>
        <w:t>Аннотация:</w:t>
      </w:r>
      <w:r w:rsidRPr="0082691D">
        <w:rPr>
          <w:rFonts w:ascii="Times New Roman" w:hAnsi="Times New Roman"/>
        </w:rPr>
        <w:t xml:space="preserve"> </w:t>
      </w:r>
      <w:r w:rsidR="00F26E76" w:rsidRPr="0082691D">
        <w:rPr>
          <w:rFonts w:ascii="Times New Roman" w:hAnsi="Times New Roman"/>
          <w:i/>
          <w:iCs/>
        </w:rPr>
        <w:t>В работе представлены</w:t>
      </w:r>
      <w:r w:rsidR="005A417F" w:rsidRPr="0082691D">
        <w:rPr>
          <w:rFonts w:ascii="Times New Roman" w:hAnsi="Times New Roman"/>
          <w:i/>
          <w:iCs/>
        </w:rPr>
        <w:t xml:space="preserve"> </w:t>
      </w:r>
      <w:r w:rsidR="004662BE" w:rsidRPr="0082691D">
        <w:rPr>
          <w:rFonts w:ascii="Times New Roman" w:hAnsi="Times New Roman"/>
          <w:i/>
          <w:iCs/>
        </w:rPr>
        <w:t xml:space="preserve">предпосылки к развитию межмуниципального сотрудничества в современных геополитических условиях. Выделены ключевые принципы организации и управления развитием межмуниципального сотрудничества. </w:t>
      </w:r>
      <w:r w:rsidR="005E5E33" w:rsidRPr="0082691D">
        <w:rPr>
          <w:rFonts w:ascii="Times New Roman" w:hAnsi="Times New Roman"/>
          <w:i/>
          <w:iCs/>
        </w:rPr>
        <w:t>Предложен алгоритм действий на этапах планирования и реализации развития межмуниципального сотрудничества в малых и средних городах.</w:t>
      </w:r>
    </w:p>
    <w:p w:rsidR="008A623D" w:rsidRPr="0082691D" w:rsidRDefault="00F453A3" w:rsidP="0082691D">
      <w:pPr>
        <w:widowControl w:val="0"/>
        <w:spacing w:after="0" w:line="240" w:lineRule="auto"/>
        <w:ind w:firstLine="426"/>
        <w:contextualSpacing/>
        <w:jc w:val="both"/>
        <w:rPr>
          <w:rFonts w:ascii="Times New Roman" w:eastAsia="Times New Roman" w:hAnsi="Times New Roman" w:cs="Times New Roman"/>
          <w:i/>
        </w:rPr>
      </w:pPr>
      <w:r w:rsidRPr="0082691D">
        <w:rPr>
          <w:rFonts w:ascii="Times New Roman" w:eastAsia="Times New Roman" w:hAnsi="Times New Roman" w:cs="Times New Roman"/>
          <w:b/>
          <w:i/>
        </w:rPr>
        <w:t>Ключевые слова</w:t>
      </w:r>
      <w:r w:rsidR="008A623D" w:rsidRPr="0082691D">
        <w:rPr>
          <w:rFonts w:ascii="Times New Roman" w:eastAsia="Times New Roman" w:hAnsi="Times New Roman" w:cs="Times New Roman"/>
          <w:b/>
          <w:i/>
        </w:rPr>
        <w:t>:</w:t>
      </w:r>
      <w:r w:rsidR="00604F07" w:rsidRPr="0082691D">
        <w:rPr>
          <w:rFonts w:ascii="Times New Roman" w:eastAsia="Times New Roman" w:hAnsi="Times New Roman" w:cs="Times New Roman"/>
          <w:b/>
          <w:i/>
        </w:rPr>
        <w:t xml:space="preserve"> </w:t>
      </w:r>
      <w:r w:rsidR="00604F07" w:rsidRPr="0082691D">
        <w:rPr>
          <w:rFonts w:ascii="Times New Roman" w:eastAsia="Times New Roman" w:hAnsi="Times New Roman" w:cs="Times New Roman"/>
          <w:bCs/>
          <w:i/>
        </w:rPr>
        <w:t>малые и средние города, межмуниципальное сотрудничество, устойчивое развитие, межмуниципаль</w:t>
      </w:r>
      <w:r w:rsidR="005E5E33" w:rsidRPr="0082691D">
        <w:rPr>
          <w:rFonts w:ascii="Times New Roman" w:eastAsia="Times New Roman" w:hAnsi="Times New Roman" w:cs="Times New Roman"/>
          <w:bCs/>
          <w:i/>
        </w:rPr>
        <w:t>ное взаимодействие</w:t>
      </w:r>
      <w:r w:rsidR="001E2DDC" w:rsidRPr="0082691D">
        <w:rPr>
          <w:rFonts w:ascii="Times New Roman" w:eastAsia="Times New Roman" w:hAnsi="Times New Roman" w:cs="Times New Roman"/>
          <w:bCs/>
          <w:i/>
        </w:rPr>
        <w:t>.</w:t>
      </w:r>
    </w:p>
    <w:p w:rsidR="00382552" w:rsidRPr="009E61C2" w:rsidRDefault="00382552" w:rsidP="00170799">
      <w:pPr>
        <w:widowControl w:val="0"/>
        <w:spacing w:after="0" w:line="240" w:lineRule="auto"/>
        <w:ind w:firstLine="567"/>
        <w:contextualSpacing/>
        <w:jc w:val="both"/>
        <w:rPr>
          <w:rFonts w:ascii="Times New Roman" w:hAnsi="Times New Roman" w:cs="Times New Roman"/>
          <w:sz w:val="24"/>
          <w:szCs w:val="24"/>
        </w:rPr>
      </w:pPr>
    </w:p>
    <w:p w:rsidR="0011683D" w:rsidRDefault="0004408C"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Одним из принципов развития Российской Федерации, обозначенных в Стратегии</w:t>
      </w:r>
      <w:r>
        <w:rPr>
          <w:rFonts w:ascii="Times New Roman" w:eastAsia="Times New Roman" w:hAnsi="Times New Roman" w:cs="Times New Roman"/>
          <w:sz w:val="24"/>
          <w:szCs w:val="24"/>
        </w:rPr>
        <w:t xml:space="preserve"> пространственного развития РФ</w:t>
      </w:r>
      <w:r>
        <w:rPr>
          <w:rStyle w:val="a8"/>
          <w:rFonts w:ascii="Times New Roman" w:eastAsia="Times New Roman" w:hAnsi="Times New Roman" w:cs="Times New Roman"/>
          <w:sz w:val="24"/>
          <w:szCs w:val="24"/>
        </w:rPr>
        <w:footnoteReference w:id="2"/>
      </w:r>
      <w:r w:rsidR="0011683D">
        <w:rPr>
          <w:rFonts w:ascii="Times New Roman" w:eastAsia="Times New Roman" w:hAnsi="Times New Roman" w:cs="Times New Roman"/>
          <w:sz w:val="24"/>
          <w:szCs w:val="24"/>
        </w:rPr>
        <w:t>,</w:t>
      </w:r>
      <w:r w:rsidRPr="008D0771">
        <w:rPr>
          <w:rFonts w:ascii="Times New Roman" w:eastAsia="Times New Roman" w:hAnsi="Times New Roman" w:cs="Times New Roman"/>
          <w:sz w:val="24"/>
          <w:szCs w:val="24"/>
        </w:rPr>
        <w:t xml:space="preserve"> является содействие развитию межрегионального и межмуниципального сотрудничества. </w:t>
      </w:r>
    </w:p>
    <w:p w:rsidR="0011683D" w:rsidRPr="008D0771" w:rsidRDefault="0011683D" w:rsidP="0011683D">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В настоящее время существует целый ряд предпосылок к развитию межмуниципального сотрудничества, среди них: </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санкционное давление на экономику России, приоритет развития связей внутри страны перед налаживанием внешних контактов;</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объективно возрастающие потребности муниципальных образований;</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природно-климатические и географические различия и особенности</w:t>
      </w:r>
      <w:r w:rsidR="005E5E33">
        <w:rPr>
          <w:rFonts w:ascii="Times New Roman" w:eastAsia="Calibri" w:hAnsi="Times New Roman" w:cs="Times New Roman"/>
          <w:sz w:val="24"/>
          <w:szCs w:val="24"/>
        </w:rPr>
        <w:t xml:space="preserve"> муниципалитетов</w:t>
      </w:r>
      <w:r w:rsidRPr="008D0771">
        <w:rPr>
          <w:rFonts w:ascii="Times New Roman" w:eastAsia="Calibri" w:hAnsi="Times New Roman" w:cs="Times New Roman"/>
          <w:sz w:val="24"/>
          <w:szCs w:val="24"/>
        </w:rPr>
        <w:t>;</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возможность получения синергетического эффекта в результате совместного использования имеющихся ресурсов;</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специфика российской налоговой и бюджетной политики;</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наличие в системе территориальной организации местного самоуправления межселенных территорий;</w:t>
      </w:r>
    </w:p>
    <w:p w:rsidR="0011683D" w:rsidRPr="008D0771" w:rsidRDefault="0011683D" w:rsidP="0011683D">
      <w:pPr>
        <w:widowControl w:val="0"/>
        <w:numPr>
          <w:ilvl w:val="0"/>
          <w:numId w:val="28"/>
        </w:numPr>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последствия международного финансово-экономического кризиса.</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В июне 2022 года в Стратегию пространственного развития РФ был внесен ряд изменений</w:t>
      </w:r>
      <w:r w:rsidR="0011683D">
        <w:rPr>
          <w:rStyle w:val="a8"/>
          <w:rFonts w:ascii="Times New Roman" w:eastAsia="Calibri" w:hAnsi="Times New Roman" w:cs="Times New Roman"/>
          <w:sz w:val="24"/>
          <w:szCs w:val="24"/>
        </w:rPr>
        <w:footnoteReference w:id="3"/>
      </w:r>
      <w:r w:rsidRPr="008D0771">
        <w:rPr>
          <w:rFonts w:ascii="Times New Roman" w:eastAsia="Times New Roman" w:hAnsi="Times New Roman" w:cs="Times New Roman"/>
          <w:sz w:val="24"/>
          <w:szCs w:val="24"/>
        </w:rPr>
        <w:t xml:space="preserve">. Прежде всего, отметим, что если ранее в документе акцентировалось внимание на приоритетности социально-экономического развития агломераций и крупных городов, то внесенные поправки в определенной степени нивелируют данный дисбаланс. В частности, в качестве одного из направлений пространственного развития </w:t>
      </w:r>
      <w:r w:rsidR="0011683D">
        <w:rPr>
          <w:rFonts w:ascii="Times New Roman" w:eastAsia="Times New Roman" w:hAnsi="Times New Roman" w:cs="Times New Roman"/>
          <w:sz w:val="24"/>
          <w:szCs w:val="24"/>
        </w:rPr>
        <w:t xml:space="preserve">страны </w:t>
      </w:r>
      <w:r w:rsidRPr="008D0771">
        <w:rPr>
          <w:rFonts w:ascii="Times New Roman" w:eastAsia="Times New Roman" w:hAnsi="Times New Roman" w:cs="Times New Roman"/>
          <w:sz w:val="24"/>
          <w:szCs w:val="24"/>
        </w:rPr>
        <w:t xml:space="preserve">обозначено обеспечение сбалансированного пространственного развития не только за счет социально-экономического развития городских агломераций, но и малых и средних городов, а также сельских территорий в целях снижения концентрации субъектов экономической деятельности и населения в столичных агломерациях. </w:t>
      </w:r>
    </w:p>
    <w:p w:rsidR="0004408C" w:rsidRDefault="0004408C" w:rsidP="0004408C">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В условиях ограниченности финансовых и ресурсных возможностей </w:t>
      </w:r>
      <w:r>
        <w:rPr>
          <w:rFonts w:ascii="Times New Roman" w:eastAsia="Times New Roman" w:hAnsi="Times New Roman" w:cs="Times New Roman"/>
          <w:sz w:val="24"/>
          <w:szCs w:val="24"/>
        </w:rPr>
        <w:t xml:space="preserve">подавляющего большинства российских малых и средних городов </w:t>
      </w:r>
      <w:r w:rsidRPr="008D0771">
        <w:rPr>
          <w:rFonts w:ascii="Times New Roman" w:eastAsia="Times New Roman" w:hAnsi="Times New Roman" w:cs="Times New Roman"/>
          <w:sz w:val="24"/>
          <w:szCs w:val="24"/>
        </w:rPr>
        <w:t>межмуниципально</w:t>
      </w:r>
      <w:r>
        <w:rPr>
          <w:rFonts w:ascii="Times New Roman" w:eastAsia="Times New Roman" w:hAnsi="Times New Roman" w:cs="Times New Roman"/>
          <w:sz w:val="24"/>
          <w:szCs w:val="24"/>
        </w:rPr>
        <w:t xml:space="preserve">е </w:t>
      </w:r>
      <w:r w:rsidRPr="008D0771">
        <w:rPr>
          <w:rFonts w:ascii="Times New Roman" w:eastAsia="Times New Roman" w:hAnsi="Times New Roman" w:cs="Times New Roman"/>
          <w:sz w:val="24"/>
          <w:szCs w:val="24"/>
        </w:rPr>
        <w:t>сотрудничеств</w:t>
      </w:r>
      <w:r>
        <w:rPr>
          <w:rFonts w:ascii="Times New Roman" w:eastAsia="Times New Roman" w:hAnsi="Times New Roman" w:cs="Times New Roman"/>
          <w:sz w:val="24"/>
          <w:szCs w:val="24"/>
        </w:rPr>
        <w:t>о</w:t>
      </w:r>
      <w:r w:rsidRPr="008D0771">
        <w:rPr>
          <w:rFonts w:ascii="Times New Roman" w:eastAsia="Times New Roman" w:hAnsi="Times New Roman" w:cs="Times New Roman"/>
          <w:sz w:val="24"/>
          <w:szCs w:val="24"/>
        </w:rPr>
        <w:t xml:space="preserve"> представляется одним из перспективных инструментов обеспечения </w:t>
      </w:r>
      <w:r>
        <w:rPr>
          <w:rFonts w:ascii="Times New Roman" w:eastAsia="Times New Roman" w:hAnsi="Times New Roman" w:cs="Times New Roman"/>
          <w:sz w:val="24"/>
          <w:szCs w:val="24"/>
        </w:rPr>
        <w:t xml:space="preserve">их устойчивого </w:t>
      </w:r>
      <w:r w:rsidRPr="008D0771">
        <w:rPr>
          <w:rFonts w:ascii="Times New Roman" w:eastAsia="Times New Roman" w:hAnsi="Times New Roman" w:cs="Times New Roman"/>
          <w:sz w:val="24"/>
          <w:szCs w:val="24"/>
        </w:rPr>
        <w:t>социально-экономического развития</w:t>
      </w:r>
      <w:r>
        <w:rPr>
          <w:rFonts w:ascii="Times New Roman" w:eastAsia="Times New Roman" w:hAnsi="Times New Roman" w:cs="Times New Roman"/>
          <w:sz w:val="24"/>
          <w:szCs w:val="24"/>
        </w:rPr>
        <w:t xml:space="preserve">. </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По нашему мнению, можно выделить несколько ключевых принципов организации и </w:t>
      </w:r>
      <w:r w:rsidRPr="008D0771">
        <w:rPr>
          <w:rFonts w:ascii="Times New Roman" w:eastAsia="Times New Roman" w:hAnsi="Times New Roman" w:cs="Times New Roman"/>
          <w:sz w:val="24"/>
          <w:szCs w:val="24"/>
        </w:rPr>
        <w:lastRenderedPageBreak/>
        <w:t xml:space="preserve">управления развитием межмуниципального сотрудничества, соблюдение которых должно стать основой формирования системы управления межмуниципальным сотрудничеством и развития различных форм кооперации (рис. </w:t>
      </w:r>
      <w:r w:rsidR="005E5E33">
        <w:rPr>
          <w:rFonts w:ascii="Times New Roman" w:eastAsia="Times New Roman" w:hAnsi="Times New Roman" w:cs="Times New Roman"/>
          <w:sz w:val="24"/>
          <w:szCs w:val="24"/>
        </w:rPr>
        <w:t>1</w:t>
      </w:r>
      <w:r w:rsidRPr="008D0771">
        <w:rPr>
          <w:rFonts w:ascii="Times New Roman" w:eastAsia="Times New Roman" w:hAnsi="Times New Roman" w:cs="Times New Roman"/>
          <w:sz w:val="24"/>
          <w:szCs w:val="24"/>
        </w:rPr>
        <w:t xml:space="preserve">). </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noProof/>
          <w:sz w:val="24"/>
          <w:szCs w:val="24"/>
        </w:rPr>
        <w:drawing>
          <wp:inline distT="0" distB="0" distL="0" distR="0" wp14:anchorId="794AA525" wp14:editId="3FAE62DE">
            <wp:extent cx="5310835" cy="4359859"/>
            <wp:effectExtent l="0" t="0" r="23495" b="3175"/>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D0771" w:rsidRPr="008D0771" w:rsidRDefault="008D0771" w:rsidP="008D0771">
      <w:pPr>
        <w:widowControl w:val="0"/>
        <w:suppressAutoHyphens/>
        <w:spacing w:after="0" w:line="240" w:lineRule="auto"/>
        <w:ind w:firstLine="709"/>
        <w:jc w:val="center"/>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Рисунок 1 – </w:t>
      </w:r>
      <w:r w:rsidRPr="009A5BBF">
        <w:rPr>
          <w:rFonts w:ascii="Times New Roman" w:eastAsia="Times New Roman" w:hAnsi="Times New Roman" w:cs="Times New Roman"/>
          <w:b/>
          <w:bCs/>
          <w:sz w:val="24"/>
          <w:szCs w:val="24"/>
        </w:rPr>
        <w:t>Принципы организации межмуниципального сотрудничества</w:t>
      </w:r>
    </w:p>
    <w:p w:rsidR="00A674C2" w:rsidRDefault="00A674C2" w:rsidP="00A674C2">
      <w:pPr>
        <w:widowControl w:val="0"/>
        <w:suppressAutoHyphens/>
        <w:spacing w:after="0" w:line="240" w:lineRule="auto"/>
        <w:ind w:firstLine="709"/>
        <w:jc w:val="both"/>
        <w:rPr>
          <w:rFonts w:ascii="Times New Roman" w:eastAsia="Times New Roman" w:hAnsi="Times New Roman" w:cs="Times New Roman"/>
          <w:sz w:val="24"/>
          <w:szCs w:val="24"/>
        </w:rPr>
      </w:pPr>
    </w:p>
    <w:p w:rsidR="008D0771" w:rsidRPr="008D0771" w:rsidRDefault="008D0771" w:rsidP="005E5E33">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Источник: </w:t>
      </w:r>
      <w:bookmarkStart w:id="0" w:name="_Hlk134779781"/>
      <w:r w:rsidR="005E5E33" w:rsidRPr="005E5E33">
        <w:rPr>
          <w:rFonts w:ascii="Times New Roman" w:eastAsia="Times New Roman" w:hAnsi="Times New Roman" w:cs="Times New Roman"/>
          <w:sz w:val="24"/>
          <w:szCs w:val="24"/>
        </w:rPr>
        <w:t>[1</w:t>
      </w:r>
      <w:r w:rsidR="005E5E33">
        <w:rPr>
          <w:rFonts w:ascii="Times New Roman" w:eastAsia="Times New Roman" w:hAnsi="Times New Roman" w:cs="Times New Roman"/>
          <w:sz w:val="24"/>
          <w:szCs w:val="24"/>
        </w:rPr>
        <w:t>,2</w:t>
      </w:r>
      <w:r w:rsidR="005E5E33" w:rsidRPr="005E5E33">
        <w:rPr>
          <w:rFonts w:ascii="Times New Roman" w:eastAsia="Times New Roman" w:hAnsi="Times New Roman" w:cs="Times New Roman"/>
          <w:sz w:val="24"/>
          <w:szCs w:val="24"/>
        </w:rPr>
        <w:t xml:space="preserve">] </w:t>
      </w:r>
    </w:p>
    <w:bookmarkEnd w:id="0"/>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Наличие экономической целесообразности предполагает то, что прибыль (выгода) получаемая от сотрудничества будет больше, чем сумма инвестиций того или иного участника. Также важно отметить, что увеличение числа участников сотрудничества производится только при условии, если это приведет к росту величины выигрыша от межмуниципального сотрудничества. Прибыль должна распределяться пропорционально вложениям, но при этом следует учитывать и социальные эффекты.</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К принципам организации межмуниципального сотрудничества в какой-то степени можно отнести и недопустимость принуждения к его использованию. Вместе с тем отметим, что в некоторых зарубежных странах данная практика используется. В частности, законодательством разрешено формирование некоторых обязательных объединений, целью которых является решение стратегически важных вопросов местного значения. К примеру, в Греции закон допускает возможность принудительного сотрудничества муниципалитетов в сфере образования, охраны здоровья и санитарно-эпидемического контроля, работе органов полиции и противопожарных служб, функционировании систем ЖКХ. </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На этапе планирования развития межмуниципального сотрудничества, на наш взгляд, целесообразно придерживаться следующег</w:t>
      </w:r>
      <w:bookmarkStart w:id="1" w:name="_GoBack"/>
      <w:bookmarkEnd w:id="1"/>
      <w:r w:rsidRPr="008D0771">
        <w:rPr>
          <w:rFonts w:ascii="Times New Roman" w:eastAsia="Times New Roman" w:hAnsi="Times New Roman" w:cs="Times New Roman"/>
          <w:sz w:val="24"/>
          <w:szCs w:val="24"/>
        </w:rPr>
        <w:t>о алгоритма:</w:t>
      </w:r>
    </w:p>
    <w:p w:rsidR="008D0771" w:rsidRPr="008D0771" w:rsidRDefault="008D0771" w:rsidP="006B2897">
      <w:pPr>
        <w:widowControl w:val="0"/>
        <w:numPr>
          <w:ilvl w:val="0"/>
          <w:numId w:val="33"/>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 xml:space="preserve">Проведение анализа состояния внутренней среды малого/среднего города: экономики, социальной, жилищно-коммунальной, транспортной сферы. Это необходимо в целях выявления сильных сторон населенных пунктов, их привлекательности для других муниципалитетов, а также понимания «слабых» сторон и проблемных мест, препятствующих </w:t>
      </w:r>
      <w:r w:rsidRPr="008D0771">
        <w:rPr>
          <w:rFonts w:ascii="Times New Roman" w:eastAsia="Calibri" w:hAnsi="Times New Roman" w:cs="Times New Roman"/>
          <w:sz w:val="24"/>
          <w:szCs w:val="24"/>
        </w:rPr>
        <w:lastRenderedPageBreak/>
        <w:t xml:space="preserve">всестороннему развитию для того, чтобы искать партнеров, способных нивелировать имеющиеся недостатки. </w:t>
      </w:r>
    </w:p>
    <w:p w:rsidR="008D0771" w:rsidRPr="008D0771" w:rsidRDefault="008D0771" w:rsidP="006B2897">
      <w:pPr>
        <w:widowControl w:val="0"/>
        <w:numPr>
          <w:ilvl w:val="0"/>
          <w:numId w:val="33"/>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Анализа внешней среды (окружения) малого/среднего города уже в целях выявления сильных и слабых сторон потенциальных участников сотрудничества.</w:t>
      </w:r>
    </w:p>
    <w:p w:rsidR="008D0771" w:rsidRPr="008D0771" w:rsidRDefault="008D0771" w:rsidP="006B2897">
      <w:pPr>
        <w:widowControl w:val="0"/>
        <w:numPr>
          <w:ilvl w:val="0"/>
          <w:numId w:val="33"/>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 xml:space="preserve">Анализ транспортной и информационно-коммуникационной доступности для малого/среднего города потенциальных участников. Отметим, что в силу повсеместного развития цифровых технологий фактор транспортной доступности уже не так значим, однако для ряда направлений межмуниципального взаимодействия физическая доступность объектов сотрудничества по-прежнему важна. </w:t>
      </w:r>
    </w:p>
    <w:p w:rsidR="008D0771" w:rsidRPr="008D0771" w:rsidRDefault="008D0771" w:rsidP="006B2897">
      <w:pPr>
        <w:widowControl w:val="0"/>
        <w:numPr>
          <w:ilvl w:val="0"/>
          <w:numId w:val="33"/>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 xml:space="preserve">Определение конкретных направлений, участников и форм межмуниципального сотрудничества. </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На этапе реализации последовательность действий выглядит следующим образом: </w:t>
      </w:r>
    </w:p>
    <w:p w:rsidR="008D0771" w:rsidRPr="008D0771" w:rsidRDefault="008D0771" w:rsidP="006B2897">
      <w:pPr>
        <w:widowControl w:val="0"/>
        <w:numPr>
          <w:ilvl w:val="0"/>
          <w:numId w:val="34"/>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Выход на конкретных участников, консультации.</w:t>
      </w:r>
    </w:p>
    <w:p w:rsidR="008D0771" w:rsidRPr="008D0771" w:rsidRDefault="008D0771" w:rsidP="006B2897">
      <w:pPr>
        <w:widowControl w:val="0"/>
        <w:numPr>
          <w:ilvl w:val="0"/>
          <w:numId w:val="34"/>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Нормативно-правовое обеспечение межмуниципального сотрудничества (заключение договоров, соглашений).</w:t>
      </w:r>
    </w:p>
    <w:p w:rsidR="008D0771" w:rsidRPr="008D0771" w:rsidRDefault="008D0771" w:rsidP="006B2897">
      <w:pPr>
        <w:widowControl w:val="0"/>
        <w:numPr>
          <w:ilvl w:val="0"/>
          <w:numId w:val="34"/>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Разработка плана мероприятий совместных действий по выбранным направлениям сотрудничества.</w:t>
      </w:r>
    </w:p>
    <w:p w:rsidR="008D0771" w:rsidRPr="008D0771" w:rsidRDefault="008D0771" w:rsidP="006B2897">
      <w:pPr>
        <w:widowControl w:val="0"/>
        <w:numPr>
          <w:ilvl w:val="0"/>
          <w:numId w:val="34"/>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Реализация запланированных мероприятий.</w:t>
      </w:r>
    </w:p>
    <w:p w:rsidR="008D0771" w:rsidRPr="008D0771" w:rsidRDefault="008D0771" w:rsidP="006B2897">
      <w:pPr>
        <w:widowControl w:val="0"/>
        <w:numPr>
          <w:ilvl w:val="0"/>
          <w:numId w:val="34"/>
        </w:numPr>
        <w:tabs>
          <w:tab w:val="left" w:pos="993"/>
        </w:tabs>
        <w:suppressAutoHyphens/>
        <w:spacing w:after="0" w:line="240" w:lineRule="auto"/>
        <w:ind w:left="0" w:firstLine="709"/>
        <w:contextualSpacing/>
        <w:jc w:val="both"/>
        <w:rPr>
          <w:rFonts w:ascii="Times New Roman" w:eastAsia="Calibri" w:hAnsi="Times New Roman" w:cs="Times New Roman"/>
          <w:sz w:val="24"/>
          <w:szCs w:val="24"/>
        </w:rPr>
      </w:pPr>
      <w:r w:rsidRPr="008D0771">
        <w:rPr>
          <w:rFonts w:ascii="Times New Roman" w:eastAsia="Calibri" w:hAnsi="Times New Roman" w:cs="Times New Roman"/>
          <w:sz w:val="24"/>
          <w:szCs w:val="24"/>
        </w:rPr>
        <w:t xml:space="preserve">Контроль, корректировка, поиск дополнительных и/или замена неэффективных партнеров.  </w:t>
      </w:r>
    </w:p>
    <w:p w:rsidR="008D0771" w:rsidRPr="008D0771" w:rsidRDefault="008D0771" w:rsidP="008D0771">
      <w:pPr>
        <w:widowControl w:val="0"/>
        <w:suppressAutoHyphens/>
        <w:spacing w:after="0" w:line="240" w:lineRule="auto"/>
        <w:ind w:firstLine="709"/>
        <w:jc w:val="both"/>
        <w:rPr>
          <w:rFonts w:ascii="Times New Roman" w:eastAsia="Times New Roman" w:hAnsi="Times New Roman" w:cs="Times New Roman"/>
          <w:sz w:val="24"/>
          <w:szCs w:val="24"/>
        </w:rPr>
      </w:pPr>
      <w:r w:rsidRPr="008D0771">
        <w:rPr>
          <w:rFonts w:ascii="Times New Roman" w:eastAsia="Times New Roman" w:hAnsi="Times New Roman" w:cs="Times New Roman"/>
          <w:sz w:val="24"/>
          <w:szCs w:val="24"/>
        </w:rPr>
        <w:t xml:space="preserve">Важным моментом является выбор форм межмуниципального взаимодействия. Одной из них является межмуниципальное хозяйственное сотрудничество, осуществляемое путем совместного формирования юридических лиц. Федеральным Законом №131-ФЗ разрешено реализовывать экономическое межмуниципальное сотрудничество через учреждение хозяйственных обществ, ЗАО, ООО, АНО и фондов. Вместе с тем важно понимать, что данные организации не обладают полномочиями органов местного самоуправления, также важно учитывать мотивационные аспекты учредителей данных организаций. Для частных фирм это, прежде всего это получение прибыли, соответственно, как только субъекту бизнеса станет не выгодно сотрудничать с фирмами из других муниципалитетов, с большой долей вероятности кооперационные связи будут разорваны, даже если они были социально значимы для населения. </w:t>
      </w:r>
    </w:p>
    <w:p w:rsidR="008D0771" w:rsidRPr="008D0771" w:rsidRDefault="008D0771" w:rsidP="008D0771">
      <w:pPr>
        <w:widowControl w:val="0"/>
        <w:shd w:val="clear" w:color="auto" w:fill="FFFFFF"/>
        <w:suppressAutoHyphens/>
        <w:spacing w:after="0" w:line="240" w:lineRule="auto"/>
        <w:ind w:firstLine="709"/>
        <w:jc w:val="both"/>
        <w:rPr>
          <w:rFonts w:ascii="Times New Roman" w:eastAsia="Times New Roman" w:hAnsi="Times New Roman" w:cs="Times New Roman"/>
          <w:sz w:val="24"/>
          <w:szCs w:val="24"/>
          <w:lang w:eastAsia="ar-SA"/>
        </w:rPr>
      </w:pPr>
      <w:r w:rsidRPr="008D0771">
        <w:rPr>
          <w:rFonts w:ascii="Times New Roman" w:eastAsia="Times New Roman" w:hAnsi="Times New Roman" w:cs="Times New Roman"/>
          <w:sz w:val="24"/>
          <w:szCs w:val="24"/>
          <w:lang w:eastAsia="ar-SA"/>
        </w:rPr>
        <w:t xml:space="preserve">В </w:t>
      </w:r>
      <w:r w:rsidR="006B2897">
        <w:rPr>
          <w:rFonts w:ascii="Times New Roman" w:eastAsia="Times New Roman" w:hAnsi="Times New Roman" w:cs="Times New Roman"/>
          <w:sz w:val="24"/>
          <w:szCs w:val="24"/>
          <w:lang w:eastAsia="ar-SA"/>
        </w:rPr>
        <w:t>подавляющем большинства су</w:t>
      </w:r>
      <w:r w:rsidR="00685B7D">
        <w:rPr>
          <w:rFonts w:ascii="Times New Roman" w:eastAsia="Times New Roman" w:hAnsi="Times New Roman" w:cs="Times New Roman"/>
          <w:sz w:val="24"/>
          <w:szCs w:val="24"/>
          <w:lang w:eastAsia="ar-SA"/>
        </w:rPr>
        <w:t>б</w:t>
      </w:r>
      <w:r w:rsidR="006B2897">
        <w:rPr>
          <w:rFonts w:ascii="Times New Roman" w:eastAsia="Times New Roman" w:hAnsi="Times New Roman" w:cs="Times New Roman"/>
          <w:sz w:val="24"/>
          <w:szCs w:val="24"/>
          <w:lang w:eastAsia="ar-SA"/>
        </w:rPr>
        <w:t xml:space="preserve">ъектов РФ </w:t>
      </w:r>
      <w:r w:rsidRPr="008D0771">
        <w:rPr>
          <w:rFonts w:ascii="Times New Roman" w:eastAsia="Times New Roman" w:hAnsi="Times New Roman" w:cs="Times New Roman"/>
          <w:sz w:val="24"/>
          <w:szCs w:val="24"/>
          <w:lang w:eastAsia="ar-SA"/>
        </w:rPr>
        <w:t>органами местного самоуправления малых и средних городов на практике реализуются в основном лишь организационные и информационные формы межмуниципального взаимодействия, при этом как показывают данные опросов органов местного самоуправления (на примере Вологодской области) имеется потребность в его развитии для решения вопросов совместного обслуживания объектов инфраструктуры и укрепления производственных связей</w:t>
      </w:r>
      <w:r w:rsidR="00685B7D">
        <w:rPr>
          <w:rFonts w:ascii="Times New Roman" w:eastAsia="Times New Roman" w:hAnsi="Times New Roman" w:cs="Times New Roman"/>
          <w:sz w:val="24"/>
          <w:szCs w:val="24"/>
          <w:lang w:eastAsia="ar-SA"/>
        </w:rPr>
        <w:t xml:space="preserve"> </w:t>
      </w:r>
      <w:r w:rsidR="00685B7D" w:rsidRPr="00685B7D">
        <w:rPr>
          <w:rFonts w:ascii="Times New Roman" w:eastAsia="Times New Roman" w:hAnsi="Times New Roman" w:cs="Times New Roman"/>
          <w:sz w:val="24"/>
          <w:szCs w:val="24"/>
          <w:lang w:eastAsia="ar-SA"/>
        </w:rPr>
        <w:t>[3]</w:t>
      </w:r>
      <w:r w:rsidRPr="008D0771">
        <w:rPr>
          <w:rFonts w:ascii="Times New Roman" w:eastAsia="Times New Roman" w:hAnsi="Times New Roman" w:cs="Times New Roman"/>
          <w:sz w:val="24"/>
          <w:szCs w:val="24"/>
          <w:lang w:eastAsia="ar-SA"/>
        </w:rPr>
        <w:t xml:space="preserve">. </w:t>
      </w:r>
    </w:p>
    <w:p w:rsidR="008D0771" w:rsidRDefault="00685B7D" w:rsidP="00170799">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8"/>
          <w:lang w:eastAsia="ar-SA"/>
        </w:rPr>
      </w:pPr>
      <w:r>
        <w:rPr>
          <w:rFonts w:ascii="Times New Roman" w:eastAsia="Times New Roman" w:hAnsi="Times New Roman"/>
          <w:sz w:val="24"/>
          <w:szCs w:val="28"/>
          <w:lang w:eastAsia="ar-SA"/>
        </w:rPr>
        <w:t>В целом можно сделать вывод о том, что в настоящее время в</w:t>
      </w:r>
      <w:r w:rsidRPr="00685B7D">
        <w:rPr>
          <w:rFonts w:ascii="Times New Roman" w:eastAsia="Times New Roman" w:hAnsi="Times New Roman"/>
          <w:sz w:val="24"/>
          <w:szCs w:val="28"/>
          <w:lang w:eastAsia="ar-SA"/>
        </w:rPr>
        <w:t>опрос организации и координации процессов межмуниципального сотрудничества является одним из ключевых моментов институционального обеспечения кооперационных и социально-экономических связей малых и средних городов.</w:t>
      </w:r>
    </w:p>
    <w:p w:rsidR="000D6F56" w:rsidRDefault="000D6F56" w:rsidP="00170799">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p>
    <w:p w:rsidR="009A5BBF" w:rsidRPr="001B5953" w:rsidRDefault="009A5BBF" w:rsidP="009A5BBF">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rsidR="005E5E33" w:rsidRPr="005E5E33" w:rsidRDefault="005E5E33" w:rsidP="00685B7D">
      <w:pPr>
        <w:pStyle w:val="page-range"/>
        <w:widowControl w:val="0"/>
        <w:numPr>
          <w:ilvl w:val="0"/>
          <w:numId w:val="32"/>
        </w:numPr>
        <w:tabs>
          <w:tab w:val="left" w:pos="-142"/>
          <w:tab w:val="left" w:pos="142"/>
          <w:tab w:val="left" w:pos="1134"/>
        </w:tabs>
        <w:spacing w:before="0" w:beforeAutospacing="0" w:after="0" w:afterAutospacing="0"/>
        <w:ind w:left="0" w:firstLine="709"/>
        <w:jc w:val="both"/>
        <w:outlineLvl w:val="0"/>
        <w:rPr>
          <w:bCs/>
          <w:kern w:val="36"/>
        </w:rPr>
      </w:pPr>
      <w:r w:rsidRPr="005E5E33">
        <w:rPr>
          <w:bCs/>
          <w:kern w:val="36"/>
        </w:rPr>
        <w:t>Коломыц О.Н. Межмуниципальная кооперация как фактор развития сельских территорий // Экономика: вчера, сегодня, завтра. 2021. Том 11. № 10А. С. 65-72. DOI:10.34670/AR.2021.79.11.007</w:t>
      </w:r>
    </w:p>
    <w:p w:rsidR="00BC779F" w:rsidRDefault="005E5E33" w:rsidP="00685B7D">
      <w:pPr>
        <w:pStyle w:val="page-range"/>
        <w:widowControl w:val="0"/>
        <w:numPr>
          <w:ilvl w:val="0"/>
          <w:numId w:val="32"/>
        </w:numPr>
        <w:tabs>
          <w:tab w:val="left" w:pos="-142"/>
          <w:tab w:val="left" w:pos="142"/>
          <w:tab w:val="left" w:pos="1134"/>
        </w:tabs>
        <w:spacing w:before="0" w:beforeAutospacing="0" w:after="0" w:afterAutospacing="0"/>
        <w:ind w:left="0" w:firstLine="709"/>
        <w:jc w:val="both"/>
        <w:outlineLvl w:val="0"/>
        <w:rPr>
          <w:bCs/>
          <w:kern w:val="36"/>
        </w:rPr>
      </w:pPr>
      <w:r w:rsidRPr="005E5E33">
        <w:rPr>
          <w:bCs/>
          <w:kern w:val="36"/>
        </w:rPr>
        <w:t>Меркулов А.В. Стратегия межмуниципальной кооперации как инструмент управления локальными территориями // Вестник Академии знаний. 2020. №37 (2). С. 173-178.  DOI: 10.24411/2309-4788-2020-10160</w:t>
      </w:r>
    </w:p>
    <w:p w:rsidR="00685B7D" w:rsidRDefault="00685B7D" w:rsidP="00685B7D">
      <w:pPr>
        <w:pStyle w:val="page-range"/>
        <w:widowControl w:val="0"/>
        <w:numPr>
          <w:ilvl w:val="0"/>
          <w:numId w:val="32"/>
        </w:numPr>
        <w:tabs>
          <w:tab w:val="left" w:pos="-142"/>
          <w:tab w:val="left" w:pos="142"/>
          <w:tab w:val="left" w:pos="1134"/>
        </w:tabs>
        <w:spacing w:before="0" w:beforeAutospacing="0" w:after="0" w:afterAutospacing="0"/>
        <w:ind w:left="0" w:firstLine="709"/>
        <w:jc w:val="both"/>
        <w:outlineLvl w:val="0"/>
        <w:rPr>
          <w:bCs/>
          <w:kern w:val="36"/>
        </w:rPr>
      </w:pPr>
      <w:r w:rsidRPr="00685B7D">
        <w:rPr>
          <w:bCs/>
          <w:kern w:val="36"/>
        </w:rPr>
        <w:t>Секушина И.А. Межмуниципальное сотрудничество как инструмент управления социально-экономическим развитием малых и средних городов // Проблемы развития территории. 2021. Т. 25. № 4. С. 100–118. DOI: 10.15838/ptd.2021.4.114.6</w:t>
      </w:r>
    </w:p>
    <w:p w:rsidR="005E5E33" w:rsidRPr="00127CFF" w:rsidRDefault="005E5E33" w:rsidP="005E5E33">
      <w:pPr>
        <w:pStyle w:val="page-range"/>
        <w:widowControl w:val="0"/>
        <w:tabs>
          <w:tab w:val="left" w:pos="-142"/>
          <w:tab w:val="left" w:pos="142"/>
        </w:tabs>
        <w:spacing w:before="0" w:beforeAutospacing="0" w:after="0" w:afterAutospacing="0"/>
        <w:ind w:firstLine="567"/>
        <w:jc w:val="both"/>
        <w:outlineLvl w:val="0"/>
        <w:rPr>
          <w:bCs/>
          <w:kern w:val="36"/>
        </w:rPr>
      </w:pPr>
    </w:p>
    <w:p w:rsidR="0030528D" w:rsidRPr="009E61C2" w:rsidRDefault="0030528D" w:rsidP="00170799">
      <w:pPr>
        <w:widowControl w:val="0"/>
        <w:spacing w:after="0" w:line="240" w:lineRule="auto"/>
        <w:contextualSpacing/>
        <w:jc w:val="both"/>
        <w:rPr>
          <w:rFonts w:ascii="Times New Roman" w:hAnsi="Times New Roman" w:cs="Times New Roman"/>
          <w:sz w:val="24"/>
          <w:szCs w:val="24"/>
          <w:lang w:val="en-US"/>
        </w:rPr>
      </w:pPr>
      <w:r w:rsidRPr="009E61C2">
        <w:rPr>
          <w:rFonts w:ascii="Times New Roman" w:eastAsia="Times New Roman" w:hAnsi="Times New Roman" w:cs="Times New Roman"/>
          <w:b/>
          <w:i/>
          <w:sz w:val="24"/>
          <w:szCs w:val="24"/>
        </w:rPr>
        <w:t>Секушина Ирина Анатольевна</w:t>
      </w:r>
      <w:r w:rsidRPr="009E61C2">
        <w:rPr>
          <w:rFonts w:ascii="Times New Roman" w:eastAsia="Times New Roman" w:hAnsi="Times New Roman" w:cs="Times New Roman"/>
          <w:sz w:val="24"/>
          <w:szCs w:val="24"/>
        </w:rPr>
        <w:t xml:space="preserve">, </w:t>
      </w:r>
      <w:r w:rsidR="0018611C">
        <w:rPr>
          <w:rFonts w:ascii="Times New Roman" w:eastAsia="Times New Roman" w:hAnsi="Times New Roman" w:cs="Times New Roman"/>
          <w:sz w:val="24"/>
          <w:szCs w:val="24"/>
        </w:rPr>
        <w:t>к.э.н.</w:t>
      </w:r>
      <w:r w:rsidR="0018611C" w:rsidRPr="009E61C2">
        <w:rPr>
          <w:rFonts w:ascii="Times New Roman" w:eastAsia="Times New Roman" w:hAnsi="Times New Roman" w:cs="Times New Roman"/>
          <w:sz w:val="24"/>
          <w:szCs w:val="24"/>
        </w:rPr>
        <w:t xml:space="preserve"> </w:t>
      </w:r>
      <w:r w:rsidRPr="009E61C2">
        <w:rPr>
          <w:rFonts w:ascii="Times New Roman" w:eastAsia="Times New Roman" w:hAnsi="Times New Roman" w:cs="Times New Roman"/>
          <w:sz w:val="24"/>
          <w:szCs w:val="24"/>
        </w:rPr>
        <w:t>научный сотрудник,</w:t>
      </w:r>
      <w:r w:rsidR="00A674C2">
        <w:rPr>
          <w:rFonts w:ascii="Times New Roman" w:eastAsia="Times New Roman" w:hAnsi="Times New Roman" w:cs="Times New Roman"/>
          <w:sz w:val="24"/>
          <w:szCs w:val="24"/>
        </w:rPr>
        <w:t xml:space="preserve"> </w:t>
      </w:r>
      <w:r w:rsidRPr="009E61C2">
        <w:rPr>
          <w:rFonts w:ascii="Times New Roman" w:hAnsi="Times New Roman" w:cs="Times New Roman"/>
          <w:sz w:val="24"/>
          <w:szCs w:val="24"/>
          <w:shd w:val="clear" w:color="auto" w:fill="FFFFFF"/>
        </w:rPr>
        <w:t>Федеральное государственное бюджетное учреждение науки «Вологодский научный центр Российской академии наук» (ФГБУНВолНЦ РАН); 160014, Россия, г. Вологда, ул. Горького</w:t>
      </w:r>
      <w:r w:rsidRPr="009E61C2">
        <w:rPr>
          <w:rFonts w:ascii="Times New Roman" w:hAnsi="Times New Roman" w:cs="Times New Roman"/>
          <w:sz w:val="24"/>
          <w:szCs w:val="24"/>
          <w:shd w:val="clear" w:color="auto" w:fill="FFFFFF"/>
          <w:lang w:val="en-US"/>
        </w:rPr>
        <w:t xml:space="preserve">, </w:t>
      </w:r>
      <w:r w:rsidRPr="009E61C2">
        <w:rPr>
          <w:rFonts w:ascii="Times New Roman" w:hAnsi="Times New Roman" w:cs="Times New Roman"/>
          <w:sz w:val="24"/>
          <w:szCs w:val="24"/>
          <w:shd w:val="clear" w:color="auto" w:fill="FFFFFF"/>
        </w:rPr>
        <w:t>д</w:t>
      </w:r>
      <w:r w:rsidRPr="009E61C2">
        <w:rPr>
          <w:rFonts w:ascii="Times New Roman" w:hAnsi="Times New Roman" w:cs="Times New Roman"/>
          <w:sz w:val="24"/>
          <w:szCs w:val="24"/>
          <w:shd w:val="clear" w:color="auto" w:fill="FFFFFF"/>
          <w:lang w:val="en-US"/>
        </w:rPr>
        <w:t>. 56</w:t>
      </w:r>
      <w:r w:rsidRPr="009E61C2">
        <w:rPr>
          <w:rFonts w:ascii="Times New Roman" w:hAnsi="Times New Roman" w:cs="Times New Roman"/>
          <w:sz w:val="24"/>
          <w:szCs w:val="24"/>
          <w:shd w:val="clear" w:color="auto" w:fill="FFFFFF"/>
        </w:rPr>
        <w:t>а</w:t>
      </w:r>
      <w:r w:rsidRPr="009E61C2">
        <w:rPr>
          <w:rFonts w:ascii="Times New Roman" w:hAnsi="Times New Roman" w:cs="Times New Roman"/>
          <w:sz w:val="24"/>
          <w:szCs w:val="24"/>
          <w:shd w:val="clear" w:color="auto" w:fill="FFFFFF"/>
          <w:lang w:val="en-US"/>
        </w:rPr>
        <w:t xml:space="preserve">;      e-mail: </w:t>
      </w:r>
      <w:hyperlink r:id="rId13" w:history="1">
        <w:r w:rsidRPr="009E61C2">
          <w:rPr>
            <w:rStyle w:val="a4"/>
            <w:rFonts w:ascii="Times New Roman" w:hAnsi="Times New Roman" w:cs="Times New Roman"/>
            <w:color w:val="auto"/>
            <w:sz w:val="24"/>
            <w:szCs w:val="24"/>
            <w:u w:val="none"/>
            <w:shd w:val="clear" w:color="auto" w:fill="FFFFFF"/>
            <w:lang w:val="en-US"/>
          </w:rPr>
          <w:t>i_sekushina@mail.ru</w:t>
        </w:r>
      </w:hyperlink>
      <w:r w:rsidRPr="009E61C2">
        <w:rPr>
          <w:rFonts w:ascii="Times New Roman" w:hAnsi="Times New Roman" w:cs="Times New Roman"/>
          <w:sz w:val="24"/>
          <w:szCs w:val="24"/>
          <w:shd w:val="clear" w:color="auto" w:fill="FFFFFF"/>
          <w:lang w:val="en-US"/>
        </w:rPr>
        <w:t xml:space="preserve">; </w:t>
      </w:r>
      <w:hyperlink r:id="rId14" w:history="1">
        <w:r w:rsidRPr="009E61C2">
          <w:rPr>
            <w:rStyle w:val="a4"/>
            <w:rFonts w:ascii="Times New Roman" w:hAnsi="Times New Roman" w:cs="Times New Roman"/>
            <w:color w:val="auto"/>
            <w:sz w:val="24"/>
            <w:szCs w:val="24"/>
            <w:u w:val="none"/>
            <w:shd w:val="clear" w:color="auto" w:fill="FFFFFF"/>
            <w:lang w:val="en-US"/>
          </w:rPr>
          <w:t>ORCID ID: 0000-0002-4216-4850</w:t>
        </w:r>
      </w:hyperlink>
      <w:r w:rsidRPr="009E61C2">
        <w:rPr>
          <w:rFonts w:ascii="Times New Roman" w:hAnsi="Times New Roman" w:cs="Times New Roman"/>
          <w:sz w:val="24"/>
          <w:szCs w:val="24"/>
          <w:lang w:val="en-US"/>
        </w:rPr>
        <w:t>.</w:t>
      </w:r>
    </w:p>
    <w:p w:rsidR="00531D55" w:rsidRPr="009E61C2" w:rsidRDefault="00531D55" w:rsidP="00170799">
      <w:pPr>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p>
    <w:sectPr w:rsidR="00531D55" w:rsidRPr="009E61C2" w:rsidSect="00170799">
      <w:foot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4FF8" w:rsidRDefault="004A4FF8" w:rsidP="00C3066A">
      <w:pPr>
        <w:spacing w:after="0" w:line="240" w:lineRule="auto"/>
      </w:pPr>
      <w:r>
        <w:separator/>
      </w:r>
    </w:p>
  </w:endnote>
  <w:endnote w:type="continuationSeparator" w:id="0">
    <w:p w:rsidR="004A4FF8" w:rsidRDefault="004A4FF8" w:rsidP="00C30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8268954"/>
      <w:docPartObj>
        <w:docPartGallery w:val="Page Numbers (Bottom of Page)"/>
        <w:docPartUnique/>
      </w:docPartObj>
    </w:sdtPr>
    <w:sdtEndPr/>
    <w:sdtContent>
      <w:p w:rsidR="004A4FF8" w:rsidRDefault="004A4FF8">
        <w:pPr>
          <w:pStyle w:val="af"/>
          <w:jc w:val="center"/>
        </w:pPr>
        <w:r>
          <w:fldChar w:fldCharType="begin"/>
        </w:r>
        <w:r>
          <w:instrText xml:space="preserve"> PAGE   \* MERGEFORMAT </w:instrText>
        </w:r>
        <w:r>
          <w:fldChar w:fldCharType="separate"/>
        </w:r>
        <w:r w:rsidR="00FC5E39">
          <w:rPr>
            <w:noProof/>
          </w:rPr>
          <w:t>1</w:t>
        </w:r>
        <w:r>
          <w:rPr>
            <w:noProof/>
          </w:rPr>
          <w:fldChar w:fldCharType="end"/>
        </w:r>
      </w:p>
    </w:sdtContent>
  </w:sdt>
  <w:p w:rsidR="004A4FF8" w:rsidRDefault="004A4FF8">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4FF8" w:rsidRDefault="004A4FF8" w:rsidP="00C3066A">
      <w:pPr>
        <w:spacing w:after="0" w:line="240" w:lineRule="auto"/>
      </w:pPr>
      <w:r>
        <w:separator/>
      </w:r>
    </w:p>
  </w:footnote>
  <w:footnote w:type="continuationSeparator" w:id="0">
    <w:p w:rsidR="004A4FF8" w:rsidRDefault="004A4FF8" w:rsidP="00C3066A">
      <w:pPr>
        <w:spacing w:after="0" w:line="240" w:lineRule="auto"/>
      </w:pPr>
      <w:r>
        <w:continuationSeparator/>
      </w:r>
    </w:p>
  </w:footnote>
  <w:footnote w:id="1">
    <w:p w:rsidR="00637FDC" w:rsidRPr="00637FDC" w:rsidRDefault="00637FDC" w:rsidP="00637FDC">
      <w:pPr>
        <w:pStyle w:val="a6"/>
        <w:jc w:val="both"/>
        <w:rPr>
          <w:rFonts w:ascii="Times New Roman" w:hAnsi="Times New Roman" w:cs="Times New Roman"/>
        </w:rPr>
      </w:pPr>
      <w:r w:rsidRPr="00637FDC">
        <w:rPr>
          <w:rStyle w:val="a8"/>
          <w:rFonts w:ascii="Times New Roman" w:hAnsi="Times New Roman" w:cs="Times New Roman"/>
        </w:rPr>
        <w:footnoteRef/>
      </w:r>
      <w:r w:rsidRPr="00637FDC">
        <w:rPr>
          <w:rFonts w:ascii="Times New Roman" w:hAnsi="Times New Roman" w:cs="Times New Roman"/>
        </w:rPr>
        <w:t xml:space="preserve"> Исследование выполнено в соответствии с государственным заданием для ФГБУН ВолНЦ РАН по теме НИР «Факторы и методы устойчивого социально-экономического развития территориальных</w:t>
      </w:r>
      <w:r>
        <w:rPr>
          <w:rFonts w:ascii="Times New Roman" w:hAnsi="Times New Roman" w:cs="Times New Roman"/>
        </w:rPr>
        <w:t xml:space="preserve"> </w:t>
      </w:r>
      <w:r w:rsidRPr="00637FDC">
        <w:rPr>
          <w:rFonts w:ascii="Times New Roman" w:hAnsi="Times New Roman" w:cs="Times New Roman"/>
        </w:rPr>
        <w:t>систем в изменяющихся условиях внешней и внутренней среды» (FMGZ-2022-0012).</w:t>
      </w:r>
    </w:p>
  </w:footnote>
  <w:footnote w:id="2">
    <w:p w:rsidR="0004408C" w:rsidRPr="004662BE" w:rsidRDefault="0004408C" w:rsidP="004662BE">
      <w:pPr>
        <w:pStyle w:val="a6"/>
        <w:jc w:val="both"/>
        <w:rPr>
          <w:rFonts w:ascii="Times New Roman" w:hAnsi="Times New Roman" w:cs="Times New Roman"/>
        </w:rPr>
      </w:pPr>
      <w:r w:rsidRPr="004662BE">
        <w:rPr>
          <w:rStyle w:val="a8"/>
          <w:rFonts w:ascii="Times New Roman" w:hAnsi="Times New Roman" w:cs="Times New Roman"/>
        </w:rPr>
        <w:footnoteRef/>
      </w:r>
      <w:r w:rsidRPr="004662BE">
        <w:rPr>
          <w:rFonts w:ascii="Times New Roman" w:hAnsi="Times New Roman" w:cs="Times New Roman"/>
        </w:rPr>
        <w:t xml:space="preserve"> Распоряжение Правительства РФ от 13.02.2019 N 207-р (ред. от 30.09.2022) «Об утверждении Стратегии пространственного развития Российской Федерации на период до 2025 года»</w:t>
      </w:r>
    </w:p>
  </w:footnote>
  <w:footnote w:id="3">
    <w:p w:rsidR="0011683D" w:rsidRDefault="0011683D" w:rsidP="004662BE">
      <w:pPr>
        <w:pStyle w:val="a6"/>
        <w:jc w:val="both"/>
      </w:pPr>
      <w:r w:rsidRPr="004662BE">
        <w:rPr>
          <w:rStyle w:val="a8"/>
          <w:rFonts w:ascii="Times New Roman" w:hAnsi="Times New Roman" w:cs="Times New Roman"/>
        </w:rPr>
        <w:footnoteRef/>
      </w:r>
      <w:r w:rsidRPr="004662BE">
        <w:rPr>
          <w:rFonts w:ascii="Times New Roman" w:hAnsi="Times New Roman" w:cs="Times New Roman"/>
        </w:rPr>
        <w:t xml:space="preserve"> Распоряжение Правительства РФ от 25.06.2022 N 1704-р «О внесении изменений в распоряжение Правительства РФ от 13.02.2019 N 207-р»</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Times New Roman" w:hint="default"/>
        <w:sz w:val="24"/>
        <w:szCs w:val="24"/>
      </w:rPr>
    </w:lvl>
  </w:abstractNum>
  <w:abstractNum w:abstractNumId="2" w15:restartNumberingAfterBreak="0">
    <w:nsid w:val="00000008"/>
    <w:multiLevelType w:val="singleLevel"/>
    <w:tmpl w:val="00000008"/>
    <w:name w:val="WW8Num8"/>
    <w:lvl w:ilvl="0">
      <w:numFmt w:val="bullet"/>
      <w:lvlText w:val=""/>
      <w:lvlJc w:val="left"/>
      <w:pPr>
        <w:tabs>
          <w:tab w:val="num" w:pos="1429"/>
        </w:tabs>
        <w:ind w:left="1429" w:hanging="360"/>
      </w:pPr>
      <w:rPr>
        <w:rFonts w:ascii="Symbol" w:hAnsi="Symbol" w:cs="Symbol" w:hint="default"/>
      </w:rPr>
    </w:lvl>
  </w:abstractNum>
  <w:abstractNum w:abstractNumId="3" w15:restartNumberingAfterBreak="0">
    <w:nsid w:val="019B3433"/>
    <w:multiLevelType w:val="hybridMultilevel"/>
    <w:tmpl w:val="9D22AC9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A2A186F"/>
    <w:multiLevelType w:val="hybridMultilevel"/>
    <w:tmpl w:val="8C24B634"/>
    <w:lvl w:ilvl="0" w:tplc="10E0A0C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1FB7F6F"/>
    <w:multiLevelType w:val="hybridMultilevel"/>
    <w:tmpl w:val="22EE6CB4"/>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3426FB2"/>
    <w:multiLevelType w:val="hybridMultilevel"/>
    <w:tmpl w:val="8530E6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83C78AC"/>
    <w:multiLevelType w:val="hybridMultilevel"/>
    <w:tmpl w:val="342863E0"/>
    <w:lvl w:ilvl="0" w:tplc="8766B9DE">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8C14948"/>
    <w:multiLevelType w:val="hybridMultilevel"/>
    <w:tmpl w:val="8780A8C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972707B"/>
    <w:multiLevelType w:val="hybridMultilevel"/>
    <w:tmpl w:val="FD2E6222"/>
    <w:lvl w:ilvl="0" w:tplc="8912EAF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0" w15:restartNumberingAfterBreak="0">
    <w:nsid w:val="1BF36803"/>
    <w:multiLevelType w:val="hybridMultilevel"/>
    <w:tmpl w:val="EDEC2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E0B4F2A"/>
    <w:multiLevelType w:val="hybridMultilevel"/>
    <w:tmpl w:val="657A7BE4"/>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52538DF"/>
    <w:multiLevelType w:val="hybridMultilevel"/>
    <w:tmpl w:val="33C6A056"/>
    <w:lvl w:ilvl="0" w:tplc="EFB6ABC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258176DC"/>
    <w:multiLevelType w:val="hybridMultilevel"/>
    <w:tmpl w:val="66623842"/>
    <w:lvl w:ilvl="0" w:tplc="42505E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7731F4C"/>
    <w:multiLevelType w:val="hybridMultilevel"/>
    <w:tmpl w:val="D12AAD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15:restartNumberingAfterBreak="0">
    <w:nsid w:val="34487343"/>
    <w:multiLevelType w:val="hybridMultilevel"/>
    <w:tmpl w:val="53A07696"/>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533280C"/>
    <w:multiLevelType w:val="hybridMultilevel"/>
    <w:tmpl w:val="C1322BD6"/>
    <w:lvl w:ilvl="0" w:tplc="07A6CA74">
      <w:start w:val="1"/>
      <w:numFmt w:val="decimal"/>
      <w:lvlText w:val="%1."/>
      <w:lvlJc w:val="left"/>
      <w:pPr>
        <w:ind w:left="644"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7975914"/>
    <w:multiLevelType w:val="hybridMultilevel"/>
    <w:tmpl w:val="30467B50"/>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F6B3431"/>
    <w:multiLevelType w:val="hybridMultilevel"/>
    <w:tmpl w:val="5946398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9B6A99"/>
    <w:multiLevelType w:val="hybridMultilevel"/>
    <w:tmpl w:val="889C30DA"/>
    <w:lvl w:ilvl="0" w:tplc="0419000F">
      <w:start w:val="1"/>
      <w:numFmt w:val="decimal"/>
      <w:lvlText w:val="%1."/>
      <w:lvlJc w:val="left"/>
      <w:pPr>
        <w:ind w:left="107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20" w15:restartNumberingAfterBreak="0">
    <w:nsid w:val="42E216B4"/>
    <w:multiLevelType w:val="hybridMultilevel"/>
    <w:tmpl w:val="3A403D3C"/>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8094CAE"/>
    <w:multiLevelType w:val="hybridMultilevel"/>
    <w:tmpl w:val="0720B9D0"/>
    <w:lvl w:ilvl="0" w:tplc="8912EA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8C20C65"/>
    <w:multiLevelType w:val="hybridMultilevel"/>
    <w:tmpl w:val="6BDAE7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EDD2A84"/>
    <w:multiLevelType w:val="hybridMultilevel"/>
    <w:tmpl w:val="94CE51D2"/>
    <w:lvl w:ilvl="0" w:tplc="78361F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F8321B4"/>
    <w:multiLevelType w:val="hybridMultilevel"/>
    <w:tmpl w:val="5CE645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F9E27CD"/>
    <w:multiLevelType w:val="hybridMultilevel"/>
    <w:tmpl w:val="D806F0DC"/>
    <w:lvl w:ilvl="0" w:tplc="9CFE231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0010F0C"/>
    <w:multiLevelType w:val="hybridMultilevel"/>
    <w:tmpl w:val="CF8A9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A8274DD"/>
    <w:multiLevelType w:val="hybridMultilevel"/>
    <w:tmpl w:val="05DC31BA"/>
    <w:lvl w:ilvl="0" w:tplc="5AF278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0B6615D"/>
    <w:multiLevelType w:val="multilevel"/>
    <w:tmpl w:val="EE721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128133D"/>
    <w:multiLevelType w:val="hybridMultilevel"/>
    <w:tmpl w:val="4AF2BDB4"/>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BA44F8C"/>
    <w:multiLevelType w:val="hybridMultilevel"/>
    <w:tmpl w:val="E92A8482"/>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CA11A05"/>
    <w:multiLevelType w:val="hybridMultilevel"/>
    <w:tmpl w:val="DEC4A0E4"/>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0665B3C"/>
    <w:multiLevelType w:val="hybridMultilevel"/>
    <w:tmpl w:val="A0C2A34E"/>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7287F20"/>
    <w:multiLevelType w:val="hybridMultilevel"/>
    <w:tmpl w:val="5D923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23"/>
  </w:num>
  <w:num w:numId="5">
    <w:abstractNumId w:val="26"/>
  </w:num>
  <w:num w:numId="6">
    <w:abstractNumId w:val="30"/>
  </w:num>
  <w:num w:numId="7">
    <w:abstractNumId w:val="33"/>
  </w:num>
  <w:num w:numId="8">
    <w:abstractNumId w:val="27"/>
  </w:num>
  <w:num w:numId="9">
    <w:abstractNumId w:val="8"/>
  </w:num>
  <w:num w:numId="10">
    <w:abstractNumId w:val="6"/>
  </w:num>
  <w:num w:numId="11">
    <w:abstractNumId w:val="16"/>
  </w:num>
  <w:num w:numId="12">
    <w:abstractNumId w:val="19"/>
  </w:num>
  <w:num w:numId="13">
    <w:abstractNumId w:val="13"/>
  </w:num>
  <w:num w:numId="14">
    <w:abstractNumId w:val="18"/>
  </w:num>
  <w:num w:numId="15">
    <w:abstractNumId w:val="4"/>
  </w:num>
  <w:num w:numId="16">
    <w:abstractNumId w:val="25"/>
  </w:num>
  <w:num w:numId="17">
    <w:abstractNumId w:val="17"/>
  </w:num>
  <w:num w:numId="18">
    <w:abstractNumId w:val="29"/>
  </w:num>
  <w:num w:numId="19">
    <w:abstractNumId w:val="7"/>
  </w:num>
  <w:num w:numId="20">
    <w:abstractNumId w:val="21"/>
  </w:num>
  <w:num w:numId="21">
    <w:abstractNumId w:val="28"/>
  </w:num>
  <w:num w:numId="22">
    <w:abstractNumId w:val="24"/>
  </w:num>
  <w:num w:numId="23">
    <w:abstractNumId w:val="14"/>
  </w:num>
  <w:num w:numId="24">
    <w:abstractNumId w:val="10"/>
  </w:num>
  <w:num w:numId="25">
    <w:abstractNumId w:val="9"/>
  </w:num>
  <w:num w:numId="26">
    <w:abstractNumId w:val="15"/>
  </w:num>
  <w:num w:numId="27">
    <w:abstractNumId w:val="22"/>
  </w:num>
  <w:num w:numId="28">
    <w:abstractNumId w:val="32"/>
  </w:num>
  <w:num w:numId="29">
    <w:abstractNumId w:val="5"/>
  </w:num>
  <w:num w:numId="30">
    <w:abstractNumId w:val="31"/>
  </w:num>
  <w:num w:numId="31">
    <w:abstractNumId w:val="20"/>
  </w:num>
  <w:num w:numId="32">
    <w:abstractNumId w:val="12"/>
  </w:num>
  <w:num w:numId="33">
    <w:abstractNumId w:val="3"/>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72BC"/>
    <w:rsid w:val="00004F4A"/>
    <w:rsid w:val="000303C2"/>
    <w:rsid w:val="000373AE"/>
    <w:rsid w:val="00040247"/>
    <w:rsid w:val="0004408C"/>
    <w:rsid w:val="00064DF8"/>
    <w:rsid w:val="00094340"/>
    <w:rsid w:val="00095730"/>
    <w:rsid w:val="00096619"/>
    <w:rsid w:val="000B2080"/>
    <w:rsid w:val="000B2C08"/>
    <w:rsid w:val="000B5770"/>
    <w:rsid w:val="000D6F56"/>
    <w:rsid w:val="000E42F4"/>
    <w:rsid w:val="000E6559"/>
    <w:rsid w:val="000E7C59"/>
    <w:rsid w:val="000F4B9A"/>
    <w:rsid w:val="00100FCC"/>
    <w:rsid w:val="00105662"/>
    <w:rsid w:val="00114F35"/>
    <w:rsid w:val="0011683D"/>
    <w:rsid w:val="00121751"/>
    <w:rsid w:val="001267D7"/>
    <w:rsid w:val="00127CFF"/>
    <w:rsid w:val="00127DFD"/>
    <w:rsid w:val="00135297"/>
    <w:rsid w:val="00152A21"/>
    <w:rsid w:val="001561C6"/>
    <w:rsid w:val="001629A4"/>
    <w:rsid w:val="00170799"/>
    <w:rsid w:val="00185DAB"/>
    <w:rsid w:val="0018611C"/>
    <w:rsid w:val="001B11E0"/>
    <w:rsid w:val="001C1228"/>
    <w:rsid w:val="001C76E1"/>
    <w:rsid w:val="001E2DDC"/>
    <w:rsid w:val="001E7125"/>
    <w:rsid w:val="00202453"/>
    <w:rsid w:val="00204B7E"/>
    <w:rsid w:val="002058C6"/>
    <w:rsid w:val="00206FB2"/>
    <w:rsid w:val="002070C0"/>
    <w:rsid w:val="0021176B"/>
    <w:rsid w:val="00214122"/>
    <w:rsid w:val="0021621E"/>
    <w:rsid w:val="0023606E"/>
    <w:rsid w:val="002372F6"/>
    <w:rsid w:val="00252A5F"/>
    <w:rsid w:val="002542BB"/>
    <w:rsid w:val="002664C4"/>
    <w:rsid w:val="00290CC0"/>
    <w:rsid w:val="00291518"/>
    <w:rsid w:val="002919BB"/>
    <w:rsid w:val="002A0ED0"/>
    <w:rsid w:val="002B24EC"/>
    <w:rsid w:val="002B2503"/>
    <w:rsid w:val="002C0B10"/>
    <w:rsid w:val="002E6387"/>
    <w:rsid w:val="002F4C64"/>
    <w:rsid w:val="0030528D"/>
    <w:rsid w:val="00313915"/>
    <w:rsid w:val="00322288"/>
    <w:rsid w:val="00322329"/>
    <w:rsid w:val="003359CB"/>
    <w:rsid w:val="00342F1C"/>
    <w:rsid w:val="00343140"/>
    <w:rsid w:val="00351160"/>
    <w:rsid w:val="003512B3"/>
    <w:rsid w:val="00352DFC"/>
    <w:rsid w:val="00355875"/>
    <w:rsid w:val="003621C6"/>
    <w:rsid w:val="00382552"/>
    <w:rsid w:val="0039153B"/>
    <w:rsid w:val="00395116"/>
    <w:rsid w:val="00395FF3"/>
    <w:rsid w:val="003A7A2C"/>
    <w:rsid w:val="003B0425"/>
    <w:rsid w:val="003B0CCD"/>
    <w:rsid w:val="003F2C49"/>
    <w:rsid w:val="003F7550"/>
    <w:rsid w:val="00402065"/>
    <w:rsid w:val="0040582F"/>
    <w:rsid w:val="00406422"/>
    <w:rsid w:val="0041078E"/>
    <w:rsid w:val="00415411"/>
    <w:rsid w:val="00417AF1"/>
    <w:rsid w:val="00417E64"/>
    <w:rsid w:val="00424AC4"/>
    <w:rsid w:val="004344FE"/>
    <w:rsid w:val="00434517"/>
    <w:rsid w:val="004354F2"/>
    <w:rsid w:val="00436394"/>
    <w:rsid w:val="004416A0"/>
    <w:rsid w:val="004505A1"/>
    <w:rsid w:val="004526F2"/>
    <w:rsid w:val="00460B57"/>
    <w:rsid w:val="00462DBE"/>
    <w:rsid w:val="004662BE"/>
    <w:rsid w:val="00470CEB"/>
    <w:rsid w:val="004923F0"/>
    <w:rsid w:val="00494563"/>
    <w:rsid w:val="0049724B"/>
    <w:rsid w:val="004A4FF8"/>
    <w:rsid w:val="004B717A"/>
    <w:rsid w:val="004C4CF1"/>
    <w:rsid w:val="004C57D0"/>
    <w:rsid w:val="004D604F"/>
    <w:rsid w:val="004D7E12"/>
    <w:rsid w:val="00523892"/>
    <w:rsid w:val="00527F45"/>
    <w:rsid w:val="00531D55"/>
    <w:rsid w:val="00532726"/>
    <w:rsid w:val="005428B9"/>
    <w:rsid w:val="00552007"/>
    <w:rsid w:val="005577B4"/>
    <w:rsid w:val="00560B24"/>
    <w:rsid w:val="00570265"/>
    <w:rsid w:val="005744D7"/>
    <w:rsid w:val="00574EF7"/>
    <w:rsid w:val="00575468"/>
    <w:rsid w:val="00575C01"/>
    <w:rsid w:val="00583F45"/>
    <w:rsid w:val="005909B4"/>
    <w:rsid w:val="00597E2E"/>
    <w:rsid w:val="005A417F"/>
    <w:rsid w:val="005B0BEF"/>
    <w:rsid w:val="005B2A8A"/>
    <w:rsid w:val="005C321B"/>
    <w:rsid w:val="005C489A"/>
    <w:rsid w:val="005C5726"/>
    <w:rsid w:val="005C6BF1"/>
    <w:rsid w:val="005D3E20"/>
    <w:rsid w:val="005E221F"/>
    <w:rsid w:val="005E52E2"/>
    <w:rsid w:val="005E5E33"/>
    <w:rsid w:val="005F0F12"/>
    <w:rsid w:val="005F6FA8"/>
    <w:rsid w:val="00604772"/>
    <w:rsid w:val="00604F07"/>
    <w:rsid w:val="0061436C"/>
    <w:rsid w:val="00620856"/>
    <w:rsid w:val="006241D3"/>
    <w:rsid w:val="00630016"/>
    <w:rsid w:val="00636C61"/>
    <w:rsid w:val="00637FDC"/>
    <w:rsid w:val="00642BC2"/>
    <w:rsid w:val="00646BEA"/>
    <w:rsid w:val="00646EB4"/>
    <w:rsid w:val="00654E94"/>
    <w:rsid w:val="00662F29"/>
    <w:rsid w:val="006636B6"/>
    <w:rsid w:val="00670A3D"/>
    <w:rsid w:val="00670AFD"/>
    <w:rsid w:val="00675A6D"/>
    <w:rsid w:val="006763A7"/>
    <w:rsid w:val="00680CDF"/>
    <w:rsid w:val="006829BB"/>
    <w:rsid w:val="00685B7D"/>
    <w:rsid w:val="00690E3E"/>
    <w:rsid w:val="0069139E"/>
    <w:rsid w:val="006B166C"/>
    <w:rsid w:val="006B2897"/>
    <w:rsid w:val="006B3996"/>
    <w:rsid w:val="006C3D3E"/>
    <w:rsid w:val="006C567D"/>
    <w:rsid w:val="006C72C9"/>
    <w:rsid w:val="006D0A27"/>
    <w:rsid w:val="006E5DE1"/>
    <w:rsid w:val="006F0CCE"/>
    <w:rsid w:val="006F404A"/>
    <w:rsid w:val="0071206B"/>
    <w:rsid w:val="00713347"/>
    <w:rsid w:val="00716764"/>
    <w:rsid w:val="00730A56"/>
    <w:rsid w:val="00746805"/>
    <w:rsid w:val="007472BC"/>
    <w:rsid w:val="0075681C"/>
    <w:rsid w:val="007607D8"/>
    <w:rsid w:val="00767783"/>
    <w:rsid w:val="0077007F"/>
    <w:rsid w:val="007744DB"/>
    <w:rsid w:val="007760CD"/>
    <w:rsid w:val="0078197A"/>
    <w:rsid w:val="007939BF"/>
    <w:rsid w:val="007A0AA5"/>
    <w:rsid w:val="007B2B79"/>
    <w:rsid w:val="007B34D0"/>
    <w:rsid w:val="007B48EB"/>
    <w:rsid w:val="007C025E"/>
    <w:rsid w:val="007C08ED"/>
    <w:rsid w:val="007C3408"/>
    <w:rsid w:val="007C35D9"/>
    <w:rsid w:val="007C4009"/>
    <w:rsid w:val="007C40EA"/>
    <w:rsid w:val="007D7950"/>
    <w:rsid w:val="007E6D5A"/>
    <w:rsid w:val="007F2AD6"/>
    <w:rsid w:val="007F3CFA"/>
    <w:rsid w:val="008010DB"/>
    <w:rsid w:val="00806256"/>
    <w:rsid w:val="008153A8"/>
    <w:rsid w:val="00821891"/>
    <w:rsid w:val="00823E4F"/>
    <w:rsid w:val="00825DD5"/>
    <w:rsid w:val="0082691D"/>
    <w:rsid w:val="008609C0"/>
    <w:rsid w:val="008623EF"/>
    <w:rsid w:val="00881E77"/>
    <w:rsid w:val="00887F63"/>
    <w:rsid w:val="008938DC"/>
    <w:rsid w:val="00896613"/>
    <w:rsid w:val="008A623D"/>
    <w:rsid w:val="008B03A9"/>
    <w:rsid w:val="008B17E7"/>
    <w:rsid w:val="008B579A"/>
    <w:rsid w:val="008B6872"/>
    <w:rsid w:val="008C4ED8"/>
    <w:rsid w:val="008C5444"/>
    <w:rsid w:val="008C7D07"/>
    <w:rsid w:val="008D0771"/>
    <w:rsid w:val="008D1E6F"/>
    <w:rsid w:val="008D4C8B"/>
    <w:rsid w:val="008D7A05"/>
    <w:rsid w:val="008E47FB"/>
    <w:rsid w:val="008E4EB6"/>
    <w:rsid w:val="008F0FE5"/>
    <w:rsid w:val="008F2168"/>
    <w:rsid w:val="0090590F"/>
    <w:rsid w:val="009354CB"/>
    <w:rsid w:val="00943C5E"/>
    <w:rsid w:val="0094690B"/>
    <w:rsid w:val="00951A3F"/>
    <w:rsid w:val="00951EAE"/>
    <w:rsid w:val="00954ABE"/>
    <w:rsid w:val="00964813"/>
    <w:rsid w:val="00982D5B"/>
    <w:rsid w:val="0098701F"/>
    <w:rsid w:val="00991F50"/>
    <w:rsid w:val="00992E08"/>
    <w:rsid w:val="009A5BBF"/>
    <w:rsid w:val="009B14C9"/>
    <w:rsid w:val="009C4168"/>
    <w:rsid w:val="009C7CD6"/>
    <w:rsid w:val="009E0606"/>
    <w:rsid w:val="009E61C2"/>
    <w:rsid w:val="009F2908"/>
    <w:rsid w:val="009F3AE3"/>
    <w:rsid w:val="00A40567"/>
    <w:rsid w:val="00A4235A"/>
    <w:rsid w:val="00A554E1"/>
    <w:rsid w:val="00A6201D"/>
    <w:rsid w:val="00A674C2"/>
    <w:rsid w:val="00A76013"/>
    <w:rsid w:val="00A76DCA"/>
    <w:rsid w:val="00A806DD"/>
    <w:rsid w:val="00A8653C"/>
    <w:rsid w:val="00A92ACE"/>
    <w:rsid w:val="00AA711D"/>
    <w:rsid w:val="00AB3449"/>
    <w:rsid w:val="00AC0164"/>
    <w:rsid w:val="00AC59C9"/>
    <w:rsid w:val="00AD5769"/>
    <w:rsid w:val="00AD7BE8"/>
    <w:rsid w:val="00AE54C1"/>
    <w:rsid w:val="00AF1C52"/>
    <w:rsid w:val="00B01AAE"/>
    <w:rsid w:val="00B057BE"/>
    <w:rsid w:val="00B0782A"/>
    <w:rsid w:val="00B300B3"/>
    <w:rsid w:val="00B37147"/>
    <w:rsid w:val="00B41119"/>
    <w:rsid w:val="00B438AB"/>
    <w:rsid w:val="00B47455"/>
    <w:rsid w:val="00B52E84"/>
    <w:rsid w:val="00B613E6"/>
    <w:rsid w:val="00B63D22"/>
    <w:rsid w:val="00B84404"/>
    <w:rsid w:val="00B86C28"/>
    <w:rsid w:val="00B944E9"/>
    <w:rsid w:val="00B95F99"/>
    <w:rsid w:val="00BA2B3D"/>
    <w:rsid w:val="00BA2C46"/>
    <w:rsid w:val="00BB50E6"/>
    <w:rsid w:val="00BC044A"/>
    <w:rsid w:val="00BC779F"/>
    <w:rsid w:val="00BD2E47"/>
    <w:rsid w:val="00BE36CD"/>
    <w:rsid w:val="00BF076E"/>
    <w:rsid w:val="00C215D6"/>
    <w:rsid w:val="00C22D58"/>
    <w:rsid w:val="00C23A68"/>
    <w:rsid w:val="00C3066A"/>
    <w:rsid w:val="00C33A17"/>
    <w:rsid w:val="00C37645"/>
    <w:rsid w:val="00C41DBE"/>
    <w:rsid w:val="00C52459"/>
    <w:rsid w:val="00C62B6D"/>
    <w:rsid w:val="00C75760"/>
    <w:rsid w:val="00CA3ADE"/>
    <w:rsid w:val="00CB1926"/>
    <w:rsid w:val="00CC6E7D"/>
    <w:rsid w:val="00CF1D1F"/>
    <w:rsid w:val="00CF4A1E"/>
    <w:rsid w:val="00D01DB7"/>
    <w:rsid w:val="00D03882"/>
    <w:rsid w:val="00D076CD"/>
    <w:rsid w:val="00D209CF"/>
    <w:rsid w:val="00D226D8"/>
    <w:rsid w:val="00D22968"/>
    <w:rsid w:val="00D32D7C"/>
    <w:rsid w:val="00D33415"/>
    <w:rsid w:val="00D54299"/>
    <w:rsid w:val="00D62B26"/>
    <w:rsid w:val="00D631F6"/>
    <w:rsid w:val="00D64953"/>
    <w:rsid w:val="00D64E89"/>
    <w:rsid w:val="00D72A9A"/>
    <w:rsid w:val="00D843DE"/>
    <w:rsid w:val="00D90EFA"/>
    <w:rsid w:val="00D960DC"/>
    <w:rsid w:val="00DA0B13"/>
    <w:rsid w:val="00DB177A"/>
    <w:rsid w:val="00DC1391"/>
    <w:rsid w:val="00DD4A93"/>
    <w:rsid w:val="00DE505A"/>
    <w:rsid w:val="00DE5869"/>
    <w:rsid w:val="00DE7DBD"/>
    <w:rsid w:val="00DF6A5A"/>
    <w:rsid w:val="00E05275"/>
    <w:rsid w:val="00E11436"/>
    <w:rsid w:val="00E12B4F"/>
    <w:rsid w:val="00E352F7"/>
    <w:rsid w:val="00E42167"/>
    <w:rsid w:val="00E825BC"/>
    <w:rsid w:val="00E84688"/>
    <w:rsid w:val="00E87759"/>
    <w:rsid w:val="00E94FB6"/>
    <w:rsid w:val="00EA1907"/>
    <w:rsid w:val="00EB3304"/>
    <w:rsid w:val="00EC319D"/>
    <w:rsid w:val="00ED235D"/>
    <w:rsid w:val="00ED69C0"/>
    <w:rsid w:val="00EE3E1F"/>
    <w:rsid w:val="00EF085E"/>
    <w:rsid w:val="00EF359D"/>
    <w:rsid w:val="00EF3B8E"/>
    <w:rsid w:val="00EF44EE"/>
    <w:rsid w:val="00F05223"/>
    <w:rsid w:val="00F07DA7"/>
    <w:rsid w:val="00F17800"/>
    <w:rsid w:val="00F26E76"/>
    <w:rsid w:val="00F41D57"/>
    <w:rsid w:val="00F453A3"/>
    <w:rsid w:val="00F73359"/>
    <w:rsid w:val="00F81AF7"/>
    <w:rsid w:val="00F8741B"/>
    <w:rsid w:val="00F9335F"/>
    <w:rsid w:val="00F95269"/>
    <w:rsid w:val="00F97C72"/>
    <w:rsid w:val="00FA1708"/>
    <w:rsid w:val="00FB6B6C"/>
    <w:rsid w:val="00FB7009"/>
    <w:rsid w:val="00FB705E"/>
    <w:rsid w:val="00FC0DCB"/>
    <w:rsid w:val="00FC1F68"/>
    <w:rsid w:val="00FC5E39"/>
    <w:rsid w:val="00FC6BFE"/>
    <w:rsid w:val="00FE07A4"/>
    <w:rsid w:val="00FE33FA"/>
    <w:rsid w:val="00FE3F61"/>
    <w:rsid w:val="00FE5DBB"/>
    <w:rsid w:val="00FF33F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51189"/>
  <w15:docId w15:val="{87FAA150-1AA9-4E55-848C-14B0E798A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59"/>
    <w:rsid w:val="005C489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 w:type="paragraph" w:styleId="HTML">
    <w:name w:val="HTML Preformatted"/>
    <w:basedOn w:val="a"/>
    <w:link w:val="HTML0"/>
    <w:uiPriority w:val="99"/>
    <w:unhideWhenUsed/>
    <w:rsid w:val="00F2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F26E76"/>
    <w:rPr>
      <w:rFonts w:ascii="Courier New" w:eastAsia="Times New Roman" w:hAnsi="Courier New" w:cs="Times New Roman"/>
      <w:sz w:val="20"/>
      <w:szCs w:val="20"/>
    </w:rPr>
  </w:style>
  <w:style w:type="character" w:customStyle="1" w:styleId="jlqj4b">
    <w:name w:val="jlqj4b"/>
    <w:basedOn w:val="a0"/>
    <w:rsid w:val="00C23A68"/>
  </w:style>
  <w:style w:type="character" w:customStyle="1" w:styleId="viiyi">
    <w:name w:val="viiyi"/>
    <w:basedOn w:val="a0"/>
    <w:rsid w:val="00C23A68"/>
  </w:style>
  <w:style w:type="table" w:customStyle="1" w:styleId="11">
    <w:name w:val="Сетка таблицы1"/>
    <w:basedOn w:val="a1"/>
    <w:next w:val="a5"/>
    <w:uiPriority w:val="59"/>
    <w:rsid w:val="008D0771"/>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381254331">
      <w:bodyDiv w:val="1"/>
      <w:marLeft w:val="0"/>
      <w:marRight w:val="0"/>
      <w:marTop w:val="0"/>
      <w:marBottom w:val="0"/>
      <w:divBdr>
        <w:top w:val="none" w:sz="0" w:space="0" w:color="auto"/>
        <w:left w:val="none" w:sz="0" w:space="0" w:color="auto"/>
        <w:bottom w:val="none" w:sz="0" w:space="0" w:color="auto"/>
        <w:right w:val="none" w:sz="0" w:space="0" w:color="auto"/>
      </w:divBdr>
    </w:div>
    <w:div w:id="524517057">
      <w:bodyDiv w:val="1"/>
      <w:marLeft w:val="0"/>
      <w:marRight w:val="0"/>
      <w:marTop w:val="0"/>
      <w:marBottom w:val="0"/>
      <w:divBdr>
        <w:top w:val="none" w:sz="0" w:space="0" w:color="auto"/>
        <w:left w:val="none" w:sz="0" w:space="0" w:color="auto"/>
        <w:bottom w:val="none" w:sz="0" w:space="0" w:color="auto"/>
        <w:right w:val="none" w:sz="0" w:space="0" w:color="auto"/>
      </w:divBdr>
    </w:div>
    <w:div w:id="1353993367">
      <w:bodyDiv w:val="1"/>
      <w:marLeft w:val="0"/>
      <w:marRight w:val="0"/>
      <w:marTop w:val="0"/>
      <w:marBottom w:val="0"/>
      <w:divBdr>
        <w:top w:val="none" w:sz="0" w:space="0" w:color="auto"/>
        <w:left w:val="none" w:sz="0" w:space="0" w:color="auto"/>
        <w:bottom w:val="none" w:sz="0" w:space="0" w:color="auto"/>
        <w:right w:val="none" w:sz="0" w:space="0" w:color="auto"/>
      </w:divBdr>
    </w:div>
    <w:div w:id="1536695223">
      <w:bodyDiv w:val="1"/>
      <w:marLeft w:val="0"/>
      <w:marRight w:val="0"/>
      <w:marTop w:val="0"/>
      <w:marBottom w:val="0"/>
      <w:divBdr>
        <w:top w:val="none" w:sz="0" w:space="0" w:color="auto"/>
        <w:left w:val="none" w:sz="0" w:space="0" w:color="auto"/>
        <w:bottom w:val="none" w:sz="0" w:space="0" w:color="auto"/>
        <w:right w:val="none" w:sz="0" w:space="0" w:color="auto"/>
      </w:divBdr>
    </w:div>
    <w:div w:id="1681200052">
      <w:bodyDiv w:val="1"/>
      <w:marLeft w:val="0"/>
      <w:marRight w:val="0"/>
      <w:marTop w:val="0"/>
      <w:marBottom w:val="0"/>
      <w:divBdr>
        <w:top w:val="none" w:sz="0" w:space="0" w:color="auto"/>
        <w:left w:val="none" w:sz="0" w:space="0" w:color="auto"/>
        <w:bottom w:val="none" w:sz="0" w:space="0" w:color="auto"/>
        <w:right w:val="none" w:sz="0" w:space="0" w:color="auto"/>
      </w:divBdr>
    </w:div>
    <w:div w:id="2077320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mailto:i_sekushina@mail.ru"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orcid.org/0000-0002-4216-4850" TargetMode="Externa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394EC9-93C1-41DE-94D0-383FD8219C51}" type="doc">
      <dgm:prSet loTypeId="urn:microsoft.com/office/officeart/2005/8/layout/list1" loCatId="list" qsTypeId="urn:microsoft.com/office/officeart/2005/8/quickstyle/simple1" qsCatId="simple" csTypeId="urn:microsoft.com/office/officeart/2005/8/colors/accent0_2" csCatId="mainScheme" phldr="1"/>
      <dgm:spPr/>
      <dgm:t>
        <a:bodyPr/>
        <a:lstStyle/>
        <a:p>
          <a:endParaRPr lang="ru-RU"/>
        </a:p>
      </dgm:t>
    </dgm:pt>
    <dgm:pt modelId="{B6B01472-C70B-42BA-8D6C-AC3B9D552147}">
      <dgm:prSet phldrT="[Текст]" custT="1"/>
      <dgm:spPr>
        <a:xfrm>
          <a:off x="243596" y="78522"/>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Наличие экономической и политической целесообразности объединения </a:t>
          </a:r>
        </a:p>
      </dgm:t>
    </dgm:pt>
    <dgm:pt modelId="{2BEF9AF8-38C4-4065-A09D-02288552BF6D}" type="parTrans" cxnId="{A436A447-5722-45A6-A60A-89CF57B2A768}">
      <dgm:prSet/>
      <dgm:spPr/>
      <dgm:t>
        <a:bodyPr/>
        <a:lstStyle/>
        <a:p>
          <a:endParaRPr lang="ru-RU" sz="800"/>
        </a:p>
      </dgm:t>
    </dgm:pt>
    <dgm:pt modelId="{13148828-E61F-4FB4-9EE0-144DE874F052}" type="sibTrans" cxnId="{A436A447-5722-45A6-A60A-89CF57B2A768}">
      <dgm:prSet/>
      <dgm:spPr/>
      <dgm:t>
        <a:bodyPr/>
        <a:lstStyle/>
        <a:p>
          <a:endParaRPr lang="ru-RU" sz="800"/>
        </a:p>
      </dgm:t>
    </dgm:pt>
    <dgm:pt modelId="{62B8770A-5541-4960-A138-BB7E1A1505A7}">
      <dgm:prSet custT="1"/>
      <dgm:spPr>
        <a:xfrm>
          <a:off x="243596" y="1348603"/>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Комплексность в реализации направлений сотрудничества</a:t>
          </a:r>
        </a:p>
      </dgm:t>
    </dgm:pt>
    <dgm:pt modelId="{C8C6EE01-132C-4A3B-A17E-8A4B4129222F}" type="parTrans" cxnId="{7E9C7A38-1DD5-4A42-8233-D2BDE86A49BD}">
      <dgm:prSet/>
      <dgm:spPr/>
      <dgm:t>
        <a:bodyPr/>
        <a:lstStyle/>
        <a:p>
          <a:endParaRPr lang="ru-RU" sz="800"/>
        </a:p>
      </dgm:t>
    </dgm:pt>
    <dgm:pt modelId="{697820AA-A1BE-4DE4-BE21-CF87BDB361C8}" type="sibTrans" cxnId="{7E9C7A38-1DD5-4A42-8233-D2BDE86A49BD}">
      <dgm:prSet/>
      <dgm:spPr/>
      <dgm:t>
        <a:bodyPr/>
        <a:lstStyle/>
        <a:p>
          <a:endParaRPr lang="ru-RU" sz="800"/>
        </a:p>
      </dgm:t>
    </dgm:pt>
    <dgm:pt modelId="{14AA5DE0-349F-4AE0-9D72-92A16CFDD668}">
      <dgm:prSet custT="1"/>
      <dgm:spPr>
        <a:xfrm>
          <a:off x="243596" y="3253723"/>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Учет экономических, социальных и экологических интересов всех муниципальных образований</a:t>
          </a:r>
        </a:p>
      </dgm:t>
    </dgm:pt>
    <dgm:pt modelId="{B7553439-BE6A-4BFA-AABF-54C300083D0A}" type="parTrans" cxnId="{CD3F7521-A3B0-44FC-8393-B2DB8F14C10C}">
      <dgm:prSet/>
      <dgm:spPr/>
      <dgm:t>
        <a:bodyPr/>
        <a:lstStyle/>
        <a:p>
          <a:endParaRPr lang="ru-RU" sz="800"/>
        </a:p>
      </dgm:t>
    </dgm:pt>
    <dgm:pt modelId="{D0FDA6C0-06C0-4708-B21D-E6AD218D2D9E}" type="sibTrans" cxnId="{CD3F7521-A3B0-44FC-8393-B2DB8F14C10C}">
      <dgm:prSet/>
      <dgm:spPr/>
      <dgm:t>
        <a:bodyPr/>
        <a:lstStyle/>
        <a:p>
          <a:endParaRPr lang="ru-RU" sz="800"/>
        </a:p>
      </dgm:t>
    </dgm:pt>
    <dgm:pt modelId="{A055151E-9B40-4379-B49C-6436EF146B90}">
      <dgm:prSet custT="1"/>
      <dgm:spPr>
        <a:xfrm>
          <a:off x="243596" y="2618682"/>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Максимальное вовлечение и использование социально-экономического потенциала территории при выборе приоритетов развития </a:t>
          </a:r>
        </a:p>
      </dgm:t>
    </dgm:pt>
    <dgm:pt modelId="{3FF64729-47BA-4AF8-B019-8A6338EBCE46}" type="parTrans" cxnId="{88EF60A6-FBE1-45DB-8EE4-32FF7F39FCA9}">
      <dgm:prSet/>
      <dgm:spPr/>
      <dgm:t>
        <a:bodyPr/>
        <a:lstStyle/>
        <a:p>
          <a:endParaRPr lang="ru-RU" sz="800"/>
        </a:p>
      </dgm:t>
    </dgm:pt>
    <dgm:pt modelId="{7D0CDEA7-D629-42A3-B63A-19CCEE9C65EF}" type="sibTrans" cxnId="{88EF60A6-FBE1-45DB-8EE4-32FF7F39FCA9}">
      <dgm:prSet/>
      <dgm:spPr/>
      <dgm:t>
        <a:bodyPr/>
        <a:lstStyle/>
        <a:p>
          <a:endParaRPr lang="ru-RU" sz="800"/>
        </a:p>
      </dgm:t>
    </dgm:pt>
    <dgm:pt modelId="{F08F209D-CB3E-46E6-B006-FAD683EAE1F1}">
      <dgm:prSet custT="1"/>
      <dgm:spPr>
        <a:xfrm>
          <a:off x="243596" y="713562"/>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Сохранение самостоятельности органов местного самоуправления в рамках межмуниципальной кооперации</a:t>
          </a:r>
        </a:p>
      </dgm:t>
    </dgm:pt>
    <dgm:pt modelId="{B8DC529E-D5DC-4E00-95F5-86CC7B282A6F}" type="parTrans" cxnId="{80B08FCF-5F7D-46E5-BE0C-B093DFF5423E}">
      <dgm:prSet/>
      <dgm:spPr/>
      <dgm:t>
        <a:bodyPr/>
        <a:lstStyle/>
        <a:p>
          <a:endParaRPr lang="ru-RU" sz="800"/>
        </a:p>
      </dgm:t>
    </dgm:pt>
    <dgm:pt modelId="{BCB30079-529C-447B-85DD-CA3FD05BB1CE}" type="sibTrans" cxnId="{80B08FCF-5F7D-46E5-BE0C-B093DFF5423E}">
      <dgm:prSet/>
      <dgm:spPr/>
      <dgm:t>
        <a:bodyPr/>
        <a:lstStyle/>
        <a:p>
          <a:endParaRPr lang="ru-RU" sz="800"/>
        </a:p>
      </dgm:t>
    </dgm:pt>
    <dgm:pt modelId="{C44D5411-827D-4E01-BEF2-033156D6B337}">
      <dgm:prSet custT="1"/>
      <dgm:spPr>
        <a:xfrm>
          <a:off x="243596" y="1983643"/>
          <a:ext cx="3410346" cy="41328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buNone/>
          </a:pPr>
          <a:r>
            <a:rPr lang="ru-RU" sz="800">
              <a:solidFill>
                <a:srgbClr val="1F497D">
                  <a:hueOff val="0"/>
                  <a:satOff val="0"/>
                  <a:lumOff val="0"/>
                  <a:alphaOff val="0"/>
                </a:srgbClr>
              </a:solidFill>
              <a:latin typeface="Calibri"/>
              <a:ea typeface="+mn-ea"/>
              <a:cs typeface="+mn-cs"/>
            </a:rPr>
            <a:t>Четкое разграничение полномочий и ответсвенности между участниками сотрудничества</a:t>
          </a:r>
        </a:p>
      </dgm:t>
    </dgm:pt>
    <dgm:pt modelId="{3B73DB62-B8A4-4E48-B305-DBFA1BD3365B}" type="parTrans" cxnId="{913510B2-D95A-4494-9DBE-B8A22B9A2B95}">
      <dgm:prSet/>
      <dgm:spPr/>
      <dgm:t>
        <a:bodyPr/>
        <a:lstStyle/>
        <a:p>
          <a:endParaRPr lang="ru-RU" sz="800"/>
        </a:p>
      </dgm:t>
    </dgm:pt>
    <dgm:pt modelId="{0E771B51-B133-4D8A-8D77-1BDBDA84BF8E}" type="sibTrans" cxnId="{913510B2-D95A-4494-9DBE-B8A22B9A2B95}">
      <dgm:prSet/>
      <dgm:spPr/>
      <dgm:t>
        <a:bodyPr/>
        <a:lstStyle/>
        <a:p>
          <a:endParaRPr lang="ru-RU" sz="800"/>
        </a:p>
      </dgm:t>
    </dgm:pt>
    <dgm:pt modelId="{AB869CDD-4836-4A1F-B018-597F1CDA19C4}" type="pres">
      <dgm:prSet presAssocID="{0C394EC9-93C1-41DE-94D0-383FD8219C51}" presName="linear" presStyleCnt="0">
        <dgm:presLayoutVars>
          <dgm:dir/>
          <dgm:animLvl val="lvl"/>
          <dgm:resizeHandles val="exact"/>
        </dgm:presLayoutVars>
      </dgm:prSet>
      <dgm:spPr/>
    </dgm:pt>
    <dgm:pt modelId="{B80FECE2-4614-4ECC-ADF5-119B06B7B32B}" type="pres">
      <dgm:prSet presAssocID="{B6B01472-C70B-42BA-8D6C-AC3B9D552147}" presName="parentLin" presStyleCnt="0"/>
      <dgm:spPr/>
    </dgm:pt>
    <dgm:pt modelId="{76082E6B-AFCB-4625-9B3C-A6B5E196ADF3}" type="pres">
      <dgm:prSet presAssocID="{B6B01472-C70B-42BA-8D6C-AC3B9D552147}" presName="parentLeftMargin" presStyleLbl="node1" presStyleIdx="0" presStyleCnt="6"/>
      <dgm:spPr/>
    </dgm:pt>
    <dgm:pt modelId="{97F85F3C-7E0B-4F09-890B-1DD75012956B}" type="pres">
      <dgm:prSet presAssocID="{B6B01472-C70B-42BA-8D6C-AC3B9D552147}" presName="parentText" presStyleLbl="node1" presStyleIdx="0" presStyleCnt="6">
        <dgm:presLayoutVars>
          <dgm:chMax val="0"/>
          <dgm:bulletEnabled val="1"/>
        </dgm:presLayoutVars>
      </dgm:prSet>
      <dgm:spPr/>
    </dgm:pt>
    <dgm:pt modelId="{4BBF08B6-734E-4D47-B1E3-CD02E8B0A2FF}" type="pres">
      <dgm:prSet presAssocID="{B6B01472-C70B-42BA-8D6C-AC3B9D552147}" presName="negativeSpace" presStyleCnt="0"/>
      <dgm:spPr/>
    </dgm:pt>
    <dgm:pt modelId="{D0F11420-5FC8-46AF-8652-FD3CDC3B7754}" type="pres">
      <dgm:prSet presAssocID="{B6B01472-C70B-42BA-8D6C-AC3B9D552147}" presName="childText" presStyleLbl="conFgAcc1" presStyleIdx="0" presStyleCnt="6">
        <dgm:presLayoutVars>
          <dgm:bulletEnabled val="1"/>
        </dgm:presLayoutVars>
      </dgm:prSet>
      <dgm:spPr>
        <a:xfrm>
          <a:off x="0" y="285162"/>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 modelId="{85A51564-C426-40FD-BCD5-3C5C7C8AAD12}" type="pres">
      <dgm:prSet presAssocID="{13148828-E61F-4FB4-9EE0-144DE874F052}" presName="spaceBetweenRectangles" presStyleCnt="0"/>
      <dgm:spPr/>
    </dgm:pt>
    <dgm:pt modelId="{3E7C5096-2C0D-4387-900C-C53195C0201B}" type="pres">
      <dgm:prSet presAssocID="{F08F209D-CB3E-46E6-B006-FAD683EAE1F1}" presName="parentLin" presStyleCnt="0"/>
      <dgm:spPr/>
    </dgm:pt>
    <dgm:pt modelId="{40DCE382-E62C-4E58-97CA-00C2D13B7372}" type="pres">
      <dgm:prSet presAssocID="{F08F209D-CB3E-46E6-B006-FAD683EAE1F1}" presName="parentLeftMargin" presStyleLbl="node1" presStyleIdx="0" presStyleCnt="6"/>
      <dgm:spPr/>
    </dgm:pt>
    <dgm:pt modelId="{721879DC-8239-4C5A-AC20-7C36BAED46DE}" type="pres">
      <dgm:prSet presAssocID="{F08F209D-CB3E-46E6-B006-FAD683EAE1F1}" presName="parentText" presStyleLbl="node1" presStyleIdx="1" presStyleCnt="6">
        <dgm:presLayoutVars>
          <dgm:chMax val="0"/>
          <dgm:bulletEnabled val="1"/>
        </dgm:presLayoutVars>
      </dgm:prSet>
      <dgm:spPr/>
    </dgm:pt>
    <dgm:pt modelId="{8F71BE72-6CC0-46BC-8469-143757895BFB}" type="pres">
      <dgm:prSet presAssocID="{F08F209D-CB3E-46E6-B006-FAD683EAE1F1}" presName="negativeSpace" presStyleCnt="0"/>
      <dgm:spPr/>
    </dgm:pt>
    <dgm:pt modelId="{8DAC9620-C1BC-4D79-90D3-DD5A7DFE75A8}" type="pres">
      <dgm:prSet presAssocID="{F08F209D-CB3E-46E6-B006-FAD683EAE1F1}" presName="childText" presStyleLbl="conFgAcc1" presStyleIdx="1" presStyleCnt="6">
        <dgm:presLayoutVars>
          <dgm:bulletEnabled val="1"/>
        </dgm:presLayoutVars>
      </dgm:prSet>
      <dgm:spPr>
        <a:xfrm>
          <a:off x="0" y="920202"/>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 modelId="{894A38E3-95C6-47BC-9568-2EE18FA9DAAE}" type="pres">
      <dgm:prSet presAssocID="{BCB30079-529C-447B-85DD-CA3FD05BB1CE}" presName="spaceBetweenRectangles" presStyleCnt="0"/>
      <dgm:spPr/>
    </dgm:pt>
    <dgm:pt modelId="{74232EDE-877A-4F21-B5F1-87C4BFCC54D3}" type="pres">
      <dgm:prSet presAssocID="{62B8770A-5541-4960-A138-BB7E1A1505A7}" presName="parentLin" presStyleCnt="0"/>
      <dgm:spPr/>
    </dgm:pt>
    <dgm:pt modelId="{CB7A2CED-C3AC-40A9-B874-7D2808397F34}" type="pres">
      <dgm:prSet presAssocID="{62B8770A-5541-4960-A138-BB7E1A1505A7}" presName="parentLeftMargin" presStyleLbl="node1" presStyleIdx="1" presStyleCnt="6"/>
      <dgm:spPr/>
    </dgm:pt>
    <dgm:pt modelId="{3DCCBAB5-8DF1-499A-A32B-71DB3F9193EB}" type="pres">
      <dgm:prSet presAssocID="{62B8770A-5541-4960-A138-BB7E1A1505A7}" presName="parentText" presStyleLbl="node1" presStyleIdx="2" presStyleCnt="6">
        <dgm:presLayoutVars>
          <dgm:chMax val="0"/>
          <dgm:bulletEnabled val="1"/>
        </dgm:presLayoutVars>
      </dgm:prSet>
      <dgm:spPr/>
    </dgm:pt>
    <dgm:pt modelId="{0856AD6D-2D46-4F53-9F26-95C99717178D}" type="pres">
      <dgm:prSet presAssocID="{62B8770A-5541-4960-A138-BB7E1A1505A7}" presName="negativeSpace" presStyleCnt="0"/>
      <dgm:spPr/>
    </dgm:pt>
    <dgm:pt modelId="{86823333-1D80-4037-AE26-E71ABCB942C0}" type="pres">
      <dgm:prSet presAssocID="{62B8770A-5541-4960-A138-BB7E1A1505A7}" presName="childText" presStyleLbl="conFgAcc1" presStyleIdx="2" presStyleCnt="6">
        <dgm:presLayoutVars>
          <dgm:bulletEnabled val="1"/>
        </dgm:presLayoutVars>
      </dgm:prSet>
      <dgm:spPr>
        <a:xfrm>
          <a:off x="0" y="1555242"/>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 modelId="{E3097AD2-33F3-4082-8F51-A5BE923E396A}" type="pres">
      <dgm:prSet presAssocID="{697820AA-A1BE-4DE4-BE21-CF87BDB361C8}" presName="spaceBetweenRectangles" presStyleCnt="0"/>
      <dgm:spPr/>
    </dgm:pt>
    <dgm:pt modelId="{B6F4098F-E5BD-4847-8E07-918BF07D82AB}" type="pres">
      <dgm:prSet presAssocID="{C44D5411-827D-4E01-BEF2-033156D6B337}" presName="parentLin" presStyleCnt="0"/>
      <dgm:spPr/>
    </dgm:pt>
    <dgm:pt modelId="{AC152B82-B0B1-4672-94B1-D34EC084A707}" type="pres">
      <dgm:prSet presAssocID="{C44D5411-827D-4E01-BEF2-033156D6B337}" presName="parentLeftMargin" presStyleLbl="node1" presStyleIdx="2" presStyleCnt="6"/>
      <dgm:spPr/>
    </dgm:pt>
    <dgm:pt modelId="{7ADC91D6-C53E-4602-ADAD-5030DF8C0E81}" type="pres">
      <dgm:prSet presAssocID="{C44D5411-827D-4E01-BEF2-033156D6B337}" presName="parentText" presStyleLbl="node1" presStyleIdx="3" presStyleCnt="6">
        <dgm:presLayoutVars>
          <dgm:chMax val="0"/>
          <dgm:bulletEnabled val="1"/>
        </dgm:presLayoutVars>
      </dgm:prSet>
      <dgm:spPr/>
    </dgm:pt>
    <dgm:pt modelId="{01F1C9D3-5FA9-469E-A73B-E2CA54784B93}" type="pres">
      <dgm:prSet presAssocID="{C44D5411-827D-4E01-BEF2-033156D6B337}" presName="negativeSpace" presStyleCnt="0"/>
      <dgm:spPr/>
    </dgm:pt>
    <dgm:pt modelId="{82281F18-5CBB-4BFF-9469-3FD992848EDD}" type="pres">
      <dgm:prSet presAssocID="{C44D5411-827D-4E01-BEF2-033156D6B337}" presName="childText" presStyleLbl="conFgAcc1" presStyleIdx="3" presStyleCnt="6">
        <dgm:presLayoutVars>
          <dgm:bulletEnabled val="1"/>
        </dgm:presLayoutVars>
      </dgm:prSet>
      <dgm:spPr>
        <a:xfrm>
          <a:off x="0" y="2190283"/>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 modelId="{0F1BE0E2-8CAF-49FA-8489-74B1320EA86C}" type="pres">
      <dgm:prSet presAssocID="{0E771B51-B133-4D8A-8D77-1BDBDA84BF8E}" presName="spaceBetweenRectangles" presStyleCnt="0"/>
      <dgm:spPr/>
    </dgm:pt>
    <dgm:pt modelId="{484F0B88-3AFB-4347-96BF-800BA7019D9B}" type="pres">
      <dgm:prSet presAssocID="{A055151E-9B40-4379-B49C-6436EF146B90}" presName="parentLin" presStyleCnt="0"/>
      <dgm:spPr/>
    </dgm:pt>
    <dgm:pt modelId="{2D323E97-A25B-412C-96A1-A095E6B1EE7B}" type="pres">
      <dgm:prSet presAssocID="{A055151E-9B40-4379-B49C-6436EF146B90}" presName="parentLeftMargin" presStyleLbl="node1" presStyleIdx="3" presStyleCnt="6"/>
      <dgm:spPr/>
    </dgm:pt>
    <dgm:pt modelId="{815CDF54-B63A-46FD-A3B2-18F907725A72}" type="pres">
      <dgm:prSet presAssocID="{A055151E-9B40-4379-B49C-6436EF146B90}" presName="parentText" presStyleLbl="node1" presStyleIdx="4" presStyleCnt="6">
        <dgm:presLayoutVars>
          <dgm:chMax val="0"/>
          <dgm:bulletEnabled val="1"/>
        </dgm:presLayoutVars>
      </dgm:prSet>
      <dgm:spPr/>
    </dgm:pt>
    <dgm:pt modelId="{BEF6C5B8-34ED-43E6-ABBF-F99B42F67BAF}" type="pres">
      <dgm:prSet presAssocID="{A055151E-9B40-4379-B49C-6436EF146B90}" presName="negativeSpace" presStyleCnt="0"/>
      <dgm:spPr/>
    </dgm:pt>
    <dgm:pt modelId="{493589AD-995E-48D8-BB92-F1DC15891E8E}" type="pres">
      <dgm:prSet presAssocID="{A055151E-9B40-4379-B49C-6436EF146B90}" presName="childText" presStyleLbl="conFgAcc1" presStyleIdx="4" presStyleCnt="6">
        <dgm:presLayoutVars>
          <dgm:bulletEnabled val="1"/>
        </dgm:presLayoutVars>
      </dgm:prSet>
      <dgm:spPr>
        <a:xfrm>
          <a:off x="0" y="2825323"/>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 modelId="{CC30D869-A4C9-4F76-93C2-42C44B0CBF6B}" type="pres">
      <dgm:prSet presAssocID="{7D0CDEA7-D629-42A3-B63A-19CCEE9C65EF}" presName="spaceBetweenRectangles" presStyleCnt="0"/>
      <dgm:spPr/>
    </dgm:pt>
    <dgm:pt modelId="{555B2241-2D7F-4FB0-998C-EB784D82247A}" type="pres">
      <dgm:prSet presAssocID="{14AA5DE0-349F-4AE0-9D72-92A16CFDD668}" presName="parentLin" presStyleCnt="0"/>
      <dgm:spPr/>
    </dgm:pt>
    <dgm:pt modelId="{E804B8FD-AFE3-4B3C-BF29-EDD6243280F2}" type="pres">
      <dgm:prSet presAssocID="{14AA5DE0-349F-4AE0-9D72-92A16CFDD668}" presName="parentLeftMargin" presStyleLbl="node1" presStyleIdx="4" presStyleCnt="6"/>
      <dgm:spPr/>
    </dgm:pt>
    <dgm:pt modelId="{9FA972EC-9568-4143-BDD7-61DEF4367192}" type="pres">
      <dgm:prSet presAssocID="{14AA5DE0-349F-4AE0-9D72-92A16CFDD668}" presName="parentText" presStyleLbl="node1" presStyleIdx="5" presStyleCnt="6">
        <dgm:presLayoutVars>
          <dgm:chMax val="0"/>
          <dgm:bulletEnabled val="1"/>
        </dgm:presLayoutVars>
      </dgm:prSet>
      <dgm:spPr/>
    </dgm:pt>
    <dgm:pt modelId="{D72B80EB-311B-40C0-8E41-9A0B305FCA59}" type="pres">
      <dgm:prSet presAssocID="{14AA5DE0-349F-4AE0-9D72-92A16CFDD668}" presName="negativeSpace" presStyleCnt="0"/>
      <dgm:spPr/>
    </dgm:pt>
    <dgm:pt modelId="{082B7C70-A6FF-4491-AE43-8DE326300EA6}" type="pres">
      <dgm:prSet presAssocID="{14AA5DE0-349F-4AE0-9D72-92A16CFDD668}" presName="childText" presStyleLbl="conFgAcc1" presStyleIdx="5" presStyleCnt="6">
        <dgm:presLayoutVars>
          <dgm:bulletEnabled val="1"/>
        </dgm:presLayoutVars>
      </dgm:prSet>
      <dgm:spPr>
        <a:xfrm>
          <a:off x="0" y="3460363"/>
          <a:ext cx="4871923" cy="3528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gm:spPr>
    </dgm:pt>
  </dgm:ptLst>
  <dgm:cxnLst>
    <dgm:cxn modelId="{98CC990F-8FDB-4660-B38A-577129DBC2A6}" type="presOf" srcId="{62B8770A-5541-4960-A138-BB7E1A1505A7}" destId="{3DCCBAB5-8DF1-499A-A32B-71DB3F9193EB}" srcOrd="1" destOrd="0" presId="urn:microsoft.com/office/officeart/2005/8/layout/list1"/>
    <dgm:cxn modelId="{706A6216-D05E-40A7-83A8-C0E0F27EC1FB}" type="presOf" srcId="{B6B01472-C70B-42BA-8D6C-AC3B9D552147}" destId="{76082E6B-AFCB-4625-9B3C-A6B5E196ADF3}" srcOrd="0" destOrd="0" presId="urn:microsoft.com/office/officeart/2005/8/layout/list1"/>
    <dgm:cxn modelId="{8809B21D-A6FE-43A6-AB37-8D82193B064B}" type="presOf" srcId="{F08F209D-CB3E-46E6-B006-FAD683EAE1F1}" destId="{721879DC-8239-4C5A-AC20-7C36BAED46DE}" srcOrd="1" destOrd="0" presId="urn:microsoft.com/office/officeart/2005/8/layout/list1"/>
    <dgm:cxn modelId="{CD3F7521-A3B0-44FC-8393-B2DB8F14C10C}" srcId="{0C394EC9-93C1-41DE-94D0-383FD8219C51}" destId="{14AA5DE0-349F-4AE0-9D72-92A16CFDD668}" srcOrd="5" destOrd="0" parTransId="{B7553439-BE6A-4BFA-AABF-54C300083D0A}" sibTransId="{D0FDA6C0-06C0-4708-B21D-E6AD218D2D9E}"/>
    <dgm:cxn modelId="{7E9C7A38-1DD5-4A42-8233-D2BDE86A49BD}" srcId="{0C394EC9-93C1-41DE-94D0-383FD8219C51}" destId="{62B8770A-5541-4960-A138-BB7E1A1505A7}" srcOrd="2" destOrd="0" parTransId="{C8C6EE01-132C-4A3B-A17E-8A4B4129222F}" sibTransId="{697820AA-A1BE-4DE4-BE21-CF87BDB361C8}"/>
    <dgm:cxn modelId="{16B2C43A-2920-4DAF-AA3E-69A13600160D}" type="presOf" srcId="{C44D5411-827D-4E01-BEF2-033156D6B337}" destId="{7ADC91D6-C53E-4602-ADAD-5030DF8C0E81}" srcOrd="1" destOrd="0" presId="urn:microsoft.com/office/officeart/2005/8/layout/list1"/>
    <dgm:cxn modelId="{D68A393D-C5BB-4DF1-8097-0F85678BADDD}" type="presOf" srcId="{F08F209D-CB3E-46E6-B006-FAD683EAE1F1}" destId="{40DCE382-E62C-4E58-97CA-00C2D13B7372}" srcOrd="0" destOrd="0" presId="urn:microsoft.com/office/officeart/2005/8/layout/list1"/>
    <dgm:cxn modelId="{A436A447-5722-45A6-A60A-89CF57B2A768}" srcId="{0C394EC9-93C1-41DE-94D0-383FD8219C51}" destId="{B6B01472-C70B-42BA-8D6C-AC3B9D552147}" srcOrd="0" destOrd="0" parTransId="{2BEF9AF8-38C4-4065-A09D-02288552BF6D}" sibTransId="{13148828-E61F-4FB4-9EE0-144DE874F052}"/>
    <dgm:cxn modelId="{2F92F949-EF5C-47B2-86D5-24071BEAD276}" type="presOf" srcId="{14AA5DE0-349F-4AE0-9D72-92A16CFDD668}" destId="{9FA972EC-9568-4143-BDD7-61DEF4367192}" srcOrd="1" destOrd="0" presId="urn:microsoft.com/office/officeart/2005/8/layout/list1"/>
    <dgm:cxn modelId="{33A48E4A-6FC6-42C6-B0BE-F5759868E677}" type="presOf" srcId="{0C394EC9-93C1-41DE-94D0-383FD8219C51}" destId="{AB869CDD-4836-4A1F-B018-597F1CDA19C4}" srcOrd="0" destOrd="0" presId="urn:microsoft.com/office/officeart/2005/8/layout/list1"/>
    <dgm:cxn modelId="{577F2B6D-6CD6-4EB5-A9F5-1E88E596B999}" type="presOf" srcId="{C44D5411-827D-4E01-BEF2-033156D6B337}" destId="{AC152B82-B0B1-4672-94B1-D34EC084A707}" srcOrd="0" destOrd="0" presId="urn:microsoft.com/office/officeart/2005/8/layout/list1"/>
    <dgm:cxn modelId="{3769887B-342A-4378-88F4-3D7919ACCC57}" type="presOf" srcId="{14AA5DE0-349F-4AE0-9D72-92A16CFDD668}" destId="{E804B8FD-AFE3-4B3C-BF29-EDD6243280F2}" srcOrd="0" destOrd="0" presId="urn:microsoft.com/office/officeart/2005/8/layout/list1"/>
    <dgm:cxn modelId="{E4918483-1D93-4E37-BA7C-B43B68EA57EB}" type="presOf" srcId="{B6B01472-C70B-42BA-8D6C-AC3B9D552147}" destId="{97F85F3C-7E0B-4F09-890B-1DD75012956B}" srcOrd="1" destOrd="0" presId="urn:microsoft.com/office/officeart/2005/8/layout/list1"/>
    <dgm:cxn modelId="{5A4B1189-76D4-4D21-BEFD-B1C9C7471031}" type="presOf" srcId="{A055151E-9B40-4379-B49C-6436EF146B90}" destId="{815CDF54-B63A-46FD-A3B2-18F907725A72}" srcOrd="1" destOrd="0" presId="urn:microsoft.com/office/officeart/2005/8/layout/list1"/>
    <dgm:cxn modelId="{88EF60A6-FBE1-45DB-8EE4-32FF7F39FCA9}" srcId="{0C394EC9-93C1-41DE-94D0-383FD8219C51}" destId="{A055151E-9B40-4379-B49C-6436EF146B90}" srcOrd="4" destOrd="0" parTransId="{3FF64729-47BA-4AF8-B019-8A6338EBCE46}" sibTransId="{7D0CDEA7-D629-42A3-B63A-19CCEE9C65EF}"/>
    <dgm:cxn modelId="{913510B2-D95A-4494-9DBE-B8A22B9A2B95}" srcId="{0C394EC9-93C1-41DE-94D0-383FD8219C51}" destId="{C44D5411-827D-4E01-BEF2-033156D6B337}" srcOrd="3" destOrd="0" parTransId="{3B73DB62-B8A4-4E48-B305-DBFA1BD3365B}" sibTransId="{0E771B51-B133-4D8A-8D77-1BDBDA84BF8E}"/>
    <dgm:cxn modelId="{80B08FCF-5F7D-46E5-BE0C-B093DFF5423E}" srcId="{0C394EC9-93C1-41DE-94D0-383FD8219C51}" destId="{F08F209D-CB3E-46E6-B006-FAD683EAE1F1}" srcOrd="1" destOrd="0" parTransId="{B8DC529E-D5DC-4E00-95F5-86CC7B282A6F}" sibTransId="{BCB30079-529C-447B-85DD-CA3FD05BB1CE}"/>
    <dgm:cxn modelId="{30E6ADD9-7BB1-41A9-8526-63E8176C34BF}" type="presOf" srcId="{A055151E-9B40-4379-B49C-6436EF146B90}" destId="{2D323E97-A25B-412C-96A1-A095E6B1EE7B}" srcOrd="0" destOrd="0" presId="urn:microsoft.com/office/officeart/2005/8/layout/list1"/>
    <dgm:cxn modelId="{14A6A4F5-5AA0-4822-9BFF-0DE6F0B2C5DE}" type="presOf" srcId="{62B8770A-5541-4960-A138-BB7E1A1505A7}" destId="{CB7A2CED-C3AC-40A9-B874-7D2808397F34}" srcOrd="0" destOrd="0" presId="urn:microsoft.com/office/officeart/2005/8/layout/list1"/>
    <dgm:cxn modelId="{17194B33-EC90-4756-9308-86AC781D9E39}" type="presParOf" srcId="{AB869CDD-4836-4A1F-B018-597F1CDA19C4}" destId="{B80FECE2-4614-4ECC-ADF5-119B06B7B32B}" srcOrd="0" destOrd="0" presId="urn:microsoft.com/office/officeart/2005/8/layout/list1"/>
    <dgm:cxn modelId="{E407F478-8126-490F-9F00-A3BA48E56969}" type="presParOf" srcId="{B80FECE2-4614-4ECC-ADF5-119B06B7B32B}" destId="{76082E6B-AFCB-4625-9B3C-A6B5E196ADF3}" srcOrd="0" destOrd="0" presId="urn:microsoft.com/office/officeart/2005/8/layout/list1"/>
    <dgm:cxn modelId="{57027795-9E9D-473B-BAB0-D1C1DFA6ED5A}" type="presParOf" srcId="{B80FECE2-4614-4ECC-ADF5-119B06B7B32B}" destId="{97F85F3C-7E0B-4F09-890B-1DD75012956B}" srcOrd="1" destOrd="0" presId="urn:microsoft.com/office/officeart/2005/8/layout/list1"/>
    <dgm:cxn modelId="{179CA533-FB02-4791-A4DA-26E6F353C0DD}" type="presParOf" srcId="{AB869CDD-4836-4A1F-B018-597F1CDA19C4}" destId="{4BBF08B6-734E-4D47-B1E3-CD02E8B0A2FF}" srcOrd="1" destOrd="0" presId="urn:microsoft.com/office/officeart/2005/8/layout/list1"/>
    <dgm:cxn modelId="{BC9EBBC4-1DBF-4D59-8A58-78CCE93FE016}" type="presParOf" srcId="{AB869CDD-4836-4A1F-B018-597F1CDA19C4}" destId="{D0F11420-5FC8-46AF-8652-FD3CDC3B7754}" srcOrd="2" destOrd="0" presId="urn:microsoft.com/office/officeart/2005/8/layout/list1"/>
    <dgm:cxn modelId="{A42D4C63-D605-4684-ACF4-E163159EDF13}" type="presParOf" srcId="{AB869CDD-4836-4A1F-B018-597F1CDA19C4}" destId="{85A51564-C426-40FD-BCD5-3C5C7C8AAD12}" srcOrd="3" destOrd="0" presId="urn:microsoft.com/office/officeart/2005/8/layout/list1"/>
    <dgm:cxn modelId="{995BA5EE-7099-4126-B824-BA5D714FFBA0}" type="presParOf" srcId="{AB869CDD-4836-4A1F-B018-597F1CDA19C4}" destId="{3E7C5096-2C0D-4387-900C-C53195C0201B}" srcOrd="4" destOrd="0" presId="urn:microsoft.com/office/officeart/2005/8/layout/list1"/>
    <dgm:cxn modelId="{FE73FF19-D063-4879-B191-691EEF1F547A}" type="presParOf" srcId="{3E7C5096-2C0D-4387-900C-C53195C0201B}" destId="{40DCE382-E62C-4E58-97CA-00C2D13B7372}" srcOrd="0" destOrd="0" presId="urn:microsoft.com/office/officeart/2005/8/layout/list1"/>
    <dgm:cxn modelId="{CF24D007-2ED6-40E1-A577-D1E4909E7B73}" type="presParOf" srcId="{3E7C5096-2C0D-4387-900C-C53195C0201B}" destId="{721879DC-8239-4C5A-AC20-7C36BAED46DE}" srcOrd="1" destOrd="0" presId="urn:microsoft.com/office/officeart/2005/8/layout/list1"/>
    <dgm:cxn modelId="{B6C14168-1844-4686-B7B4-381FAF24F560}" type="presParOf" srcId="{AB869CDD-4836-4A1F-B018-597F1CDA19C4}" destId="{8F71BE72-6CC0-46BC-8469-143757895BFB}" srcOrd="5" destOrd="0" presId="urn:microsoft.com/office/officeart/2005/8/layout/list1"/>
    <dgm:cxn modelId="{46DA685C-07F8-4FD5-A110-35D81CABA862}" type="presParOf" srcId="{AB869CDD-4836-4A1F-B018-597F1CDA19C4}" destId="{8DAC9620-C1BC-4D79-90D3-DD5A7DFE75A8}" srcOrd="6" destOrd="0" presId="urn:microsoft.com/office/officeart/2005/8/layout/list1"/>
    <dgm:cxn modelId="{A8CF1A78-AA58-40DF-88D2-0A37E726F791}" type="presParOf" srcId="{AB869CDD-4836-4A1F-B018-597F1CDA19C4}" destId="{894A38E3-95C6-47BC-9568-2EE18FA9DAAE}" srcOrd="7" destOrd="0" presId="urn:microsoft.com/office/officeart/2005/8/layout/list1"/>
    <dgm:cxn modelId="{9B27DC84-F016-4519-83D7-F50D200E16C9}" type="presParOf" srcId="{AB869CDD-4836-4A1F-B018-597F1CDA19C4}" destId="{74232EDE-877A-4F21-B5F1-87C4BFCC54D3}" srcOrd="8" destOrd="0" presId="urn:microsoft.com/office/officeart/2005/8/layout/list1"/>
    <dgm:cxn modelId="{92251C7B-BB66-4C07-81B4-206BA56FFEB4}" type="presParOf" srcId="{74232EDE-877A-4F21-B5F1-87C4BFCC54D3}" destId="{CB7A2CED-C3AC-40A9-B874-7D2808397F34}" srcOrd="0" destOrd="0" presId="urn:microsoft.com/office/officeart/2005/8/layout/list1"/>
    <dgm:cxn modelId="{22F39635-8EE8-4A24-939B-3666DB5AACD9}" type="presParOf" srcId="{74232EDE-877A-4F21-B5F1-87C4BFCC54D3}" destId="{3DCCBAB5-8DF1-499A-A32B-71DB3F9193EB}" srcOrd="1" destOrd="0" presId="urn:microsoft.com/office/officeart/2005/8/layout/list1"/>
    <dgm:cxn modelId="{2638F370-902F-4F98-BE27-A9B636D6B4D0}" type="presParOf" srcId="{AB869CDD-4836-4A1F-B018-597F1CDA19C4}" destId="{0856AD6D-2D46-4F53-9F26-95C99717178D}" srcOrd="9" destOrd="0" presId="urn:microsoft.com/office/officeart/2005/8/layout/list1"/>
    <dgm:cxn modelId="{14A35DF5-DD00-4A3E-9D5E-5FBB03CEC726}" type="presParOf" srcId="{AB869CDD-4836-4A1F-B018-597F1CDA19C4}" destId="{86823333-1D80-4037-AE26-E71ABCB942C0}" srcOrd="10" destOrd="0" presId="urn:microsoft.com/office/officeart/2005/8/layout/list1"/>
    <dgm:cxn modelId="{1DA967E4-96C7-433B-B984-F8E05DA681ED}" type="presParOf" srcId="{AB869CDD-4836-4A1F-B018-597F1CDA19C4}" destId="{E3097AD2-33F3-4082-8F51-A5BE923E396A}" srcOrd="11" destOrd="0" presId="urn:microsoft.com/office/officeart/2005/8/layout/list1"/>
    <dgm:cxn modelId="{E1EF8BAF-C3F6-4B56-9C0D-4AEAA748FE05}" type="presParOf" srcId="{AB869CDD-4836-4A1F-B018-597F1CDA19C4}" destId="{B6F4098F-E5BD-4847-8E07-918BF07D82AB}" srcOrd="12" destOrd="0" presId="urn:microsoft.com/office/officeart/2005/8/layout/list1"/>
    <dgm:cxn modelId="{592CE512-38BE-480A-9FCD-E1517C304151}" type="presParOf" srcId="{B6F4098F-E5BD-4847-8E07-918BF07D82AB}" destId="{AC152B82-B0B1-4672-94B1-D34EC084A707}" srcOrd="0" destOrd="0" presId="urn:microsoft.com/office/officeart/2005/8/layout/list1"/>
    <dgm:cxn modelId="{8D09957A-ADE1-43C3-8BA5-7AA02AA5AD42}" type="presParOf" srcId="{B6F4098F-E5BD-4847-8E07-918BF07D82AB}" destId="{7ADC91D6-C53E-4602-ADAD-5030DF8C0E81}" srcOrd="1" destOrd="0" presId="urn:microsoft.com/office/officeart/2005/8/layout/list1"/>
    <dgm:cxn modelId="{0D5F2F9A-30FE-4B5E-AE1E-783103AC7C8D}" type="presParOf" srcId="{AB869CDD-4836-4A1F-B018-597F1CDA19C4}" destId="{01F1C9D3-5FA9-469E-A73B-E2CA54784B93}" srcOrd="13" destOrd="0" presId="urn:microsoft.com/office/officeart/2005/8/layout/list1"/>
    <dgm:cxn modelId="{F091ACAF-AA9D-4D0B-873E-1CE6B14456AE}" type="presParOf" srcId="{AB869CDD-4836-4A1F-B018-597F1CDA19C4}" destId="{82281F18-5CBB-4BFF-9469-3FD992848EDD}" srcOrd="14" destOrd="0" presId="urn:microsoft.com/office/officeart/2005/8/layout/list1"/>
    <dgm:cxn modelId="{DE58EDDD-9C3C-4167-9D25-C49526415015}" type="presParOf" srcId="{AB869CDD-4836-4A1F-B018-597F1CDA19C4}" destId="{0F1BE0E2-8CAF-49FA-8489-74B1320EA86C}" srcOrd="15" destOrd="0" presId="urn:microsoft.com/office/officeart/2005/8/layout/list1"/>
    <dgm:cxn modelId="{A20AF722-BE78-4DBC-92FC-5BEF3F851581}" type="presParOf" srcId="{AB869CDD-4836-4A1F-B018-597F1CDA19C4}" destId="{484F0B88-3AFB-4347-96BF-800BA7019D9B}" srcOrd="16" destOrd="0" presId="urn:microsoft.com/office/officeart/2005/8/layout/list1"/>
    <dgm:cxn modelId="{DDA313DA-A023-432D-AC0A-D7B7E5FD266E}" type="presParOf" srcId="{484F0B88-3AFB-4347-96BF-800BA7019D9B}" destId="{2D323E97-A25B-412C-96A1-A095E6B1EE7B}" srcOrd="0" destOrd="0" presId="urn:microsoft.com/office/officeart/2005/8/layout/list1"/>
    <dgm:cxn modelId="{D75D430A-49F8-4AA0-8AB6-FEDE0772DD40}" type="presParOf" srcId="{484F0B88-3AFB-4347-96BF-800BA7019D9B}" destId="{815CDF54-B63A-46FD-A3B2-18F907725A72}" srcOrd="1" destOrd="0" presId="urn:microsoft.com/office/officeart/2005/8/layout/list1"/>
    <dgm:cxn modelId="{2003001A-F355-4980-84CC-8CF68CC15D49}" type="presParOf" srcId="{AB869CDD-4836-4A1F-B018-597F1CDA19C4}" destId="{BEF6C5B8-34ED-43E6-ABBF-F99B42F67BAF}" srcOrd="17" destOrd="0" presId="urn:microsoft.com/office/officeart/2005/8/layout/list1"/>
    <dgm:cxn modelId="{F703F766-0566-48AA-AC03-AAB7C95C4A9C}" type="presParOf" srcId="{AB869CDD-4836-4A1F-B018-597F1CDA19C4}" destId="{493589AD-995E-48D8-BB92-F1DC15891E8E}" srcOrd="18" destOrd="0" presId="urn:microsoft.com/office/officeart/2005/8/layout/list1"/>
    <dgm:cxn modelId="{83CA7811-B114-41F5-9ED7-A93E59B5D74D}" type="presParOf" srcId="{AB869CDD-4836-4A1F-B018-597F1CDA19C4}" destId="{CC30D869-A4C9-4F76-93C2-42C44B0CBF6B}" srcOrd="19" destOrd="0" presId="urn:microsoft.com/office/officeart/2005/8/layout/list1"/>
    <dgm:cxn modelId="{FE5257C5-97A8-4A54-B39F-0D3AB62B8F1D}" type="presParOf" srcId="{AB869CDD-4836-4A1F-B018-597F1CDA19C4}" destId="{555B2241-2D7F-4FB0-998C-EB784D82247A}" srcOrd="20" destOrd="0" presId="urn:microsoft.com/office/officeart/2005/8/layout/list1"/>
    <dgm:cxn modelId="{47F7FF39-30A0-4375-9E4A-E617B3789C2C}" type="presParOf" srcId="{555B2241-2D7F-4FB0-998C-EB784D82247A}" destId="{E804B8FD-AFE3-4B3C-BF29-EDD6243280F2}" srcOrd="0" destOrd="0" presId="urn:microsoft.com/office/officeart/2005/8/layout/list1"/>
    <dgm:cxn modelId="{1B1CAD8E-E515-4FEC-ADE1-D807CD505227}" type="presParOf" srcId="{555B2241-2D7F-4FB0-998C-EB784D82247A}" destId="{9FA972EC-9568-4143-BDD7-61DEF4367192}" srcOrd="1" destOrd="0" presId="urn:microsoft.com/office/officeart/2005/8/layout/list1"/>
    <dgm:cxn modelId="{AD869FCE-4BEE-4BBD-AA1F-42D8F43EC390}" type="presParOf" srcId="{AB869CDD-4836-4A1F-B018-597F1CDA19C4}" destId="{D72B80EB-311B-40C0-8E41-9A0B305FCA59}" srcOrd="21" destOrd="0" presId="urn:microsoft.com/office/officeart/2005/8/layout/list1"/>
    <dgm:cxn modelId="{AED2738E-6BF0-413D-8497-0D942D0746CB}" type="presParOf" srcId="{AB869CDD-4836-4A1F-B018-597F1CDA19C4}" destId="{082B7C70-A6FF-4491-AE43-8DE326300EA6}" srcOrd="22" destOrd="0" presId="urn:microsoft.com/office/officeart/2005/8/layout/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F11420-5FC8-46AF-8652-FD3CDC3B7754}">
      <dsp:nvSpPr>
        <dsp:cNvPr id="0" name=""/>
        <dsp:cNvSpPr/>
      </dsp:nvSpPr>
      <dsp:spPr>
        <a:xfrm>
          <a:off x="0" y="28200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97F85F3C-7E0B-4F09-890B-1DD75012956B}">
      <dsp:nvSpPr>
        <dsp:cNvPr id="0" name=""/>
        <dsp:cNvSpPr/>
      </dsp:nvSpPr>
      <dsp:spPr>
        <a:xfrm>
          <a:off x="265541" y="4584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Наличие экономической и политической целесообразности объединения </a:t>
          </a:r>
        </a:p>
      </dsp:txBody>
      <dsp:txXfrm>
        <a:off x="288598" y="68906"/>
        <a:ext cx="3671470" cy="426206"/>
      </dsp:txXfrm>
    </dsp:sp>
    <dsp:sp modelId="{8DAC9620-C1BC-4D79-90D3-DD5A7DFE75A8}">
      <dsp:nvSpPr>
        <dsp:cNvPr id="0" name=""/>
        <dsp:cNvSpPr/>
      </dsp:nvSpPr>
      <dsp:spPr>
        <a:xfrm>
          <a:off x="0" y="100776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721879DC-8239-4C5A-AC20-7C36BAED46DE}">
      <dsp:nvSpPr>
        <dsp:cNvPr id="0" name=""/>
        <dsp:cNvSpPr/>
      </dsp:nvSpPr>
      <dsp:spPr>
        <a:xfrm>
          <a:off x="265541" y="77160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Сохранение самостоятельности органов местного самоуправления в рамках межмуниципальной кооперации</a:t>
          </a:r>
        </a:p>
      </dsp:txBody>
      <dsp:txXfrm>
        <a:off x="288598" y="794666"/>
        <a:ext cx="3671470" cy="426206"/>
      </dsp:txXfrm>
    </dsp:sp>
    <dsp:sp modelId="{86823333-1D80-4037-AE26-E71ABCB942C0}">
      <dsp:nvSpPr>
        <dsp:cNvPr id="0" name=""/>
        <dsp:cNvSpPr/>
      </dsp:nvSpPr>
      <dsp:spPr>
        <a:xfrm>
          <a:off x="0" y="173352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3DCCBAB5-8DF1-499A-A32B-71DB3F9193EB}">
      <dsp:nvSpPr>
        <dsp:cNvPr id="0" name=""/>
        <dsp:cNvSpPr/>
      </dsp:nvSpPr>
      <dsp:spPr>
        <a:xfrm>
          <a:off x="265541" y="149736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Комплексность в реализации направлений сотрудничества</a:t>
          </a:r>
        </a:p>
      </dsp:txBody>
      <dsp:txXfrm>
        <a:off x="288598" y="1520426"/>
        <a:ext cx="3671470" cy="426206"/>
      </dsp:txXfrm>
    </dsp:sp>
    <dsp:sp modelId="{82281F18-5CBB-4BFF-9469-3FD992848EDD}">
      <dsp:nvSpPr>
        <dsp:cNvPr id="0" name=""/>
        <dsp:cNvSpPr/>
      </dsp:nvSpPr>
      <dsp:spPr>
        <a:xfrm>
          <a:off x="0" y="245928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7ADC91D6-C53E-4602-ADAD-5030DF8C0E81}">
      <dsp:nvSpPr>
        <dsp:cNvPr id="0" name=""/>
        <dsp:cNvSpPr/>
      </dsp:nvSpPr>
      <dsp:spPr>
        <a:xfrm>
          <a:off x="265541" y="222312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Четкое разграничение полномочий и ответсвенности между участниками сотрудничества</a:t>
          </a:r>
        </a:p>
      </dsp:txBody>
      <dsp:txXfrm>
        <a:off x="288598" y="2246186"/>
        <a:ext cx="3671470" cy="426206"/>
      </dsp:txXfrm>
    </dsp:sp>
    <dsp:sp modelId="{493589AD-995E-48D8-BB92-F1DC15891E8E}">
      <dsp:nvSpPr>
        <dsp:cNvPr id="0" name=""/>
        <dsp:cNvSpPr/>
      </dsp:nvSpPr>
      <dsp:spPr>
        <a:xfrm>
          <a:off x="0" y="318504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815CDF54-B63A-46FD-A3B2-18F907725A72}">
      <dsp:nvSpPr>
        <dsp:cNvPr id="0" name=""/>
        <dsp:cNvSpPr/>
      </dsp:nvSpPr>
      <dsp:spPr>
        <a:xfrm>
          <a:off x="265541" y="294888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Максимальное вовлечение и использование социально-экономического потенциала территории при выборе приоритетов развития </a:t>
          </a:r>
        </a:p>
      </dsp:txBody>
      <dsp:txXfrm>
        <a:off x="288598" y="2971946"/>
        <a:ext cx="3671470" cy="426206"/>
      </dsp:txXfrm>
    </dsp:sp>
    <dsp:sp modelId="{082B7C70-A6FF-4491-AE43-8DE326300EA6}">
      <dsp:nvSpPr>
        <dsp:cNvPr id="0" name=""/>
        <dsp:cNvSpPr/>
      </dsp:nvSpPr>
      <dsp:spPr>
        <a:xfrm>
          <a:off x="0" y="3910809"/>
          <a:ext cx="5310835" cy="403200"/>
        </a:xfrm>
        <a:prstGeom prst="rect">
          <a:avLst/>
        </a:prstGeom>
        <a:solidFill>
          <a:srgbClr val="1F497D">
            <a:alpha val="90000"/>
            <a:tint val="4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9FA972EC-9568-4143-BDD7-61DEF4367192}">
      <dsp:nvSpPr>
        <dsp:cNvPr id="0" name=""/>
        <dsp:cNvSpPr/>
      </dsp:nvSpPr>
      <dsp:spPr>
        <a:xfrm>
          <a:off x="265541" y="3674649"/>
          <a:ext cx="3717584" cy="472320"/>
        </a:xfrm>
        <a:prstGeom prst="round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516" tIns="0" rIns="140516" bIns="0" numCol="1" spcCol="1270" anchor="ctr" anchorCtr="0">
          <a:noAutofit/>
        </a:bodyPr>
        <a:lstStyle/>
        <a:p>
          <a:pPr marL="0" lvl="0" indent="0" algn="l" defTabSz="355600">
            <a:lnSpc>
              <a:spcPct val="90000"/>
            </a:lnSpc>
            <a:spcBef>
              <a:spcPct val="0"/>
            </a:spcBef>
            <a:spcAft>
              <a:spcPct val="35000"/>
            </a:spcAft>
            <a:buNone/>
          </a:pPr>
          <a:r>
            <a:rPr lang="ru-RU" sz="800" kern="1200">
              <a:solidFill>
                <a:srgbClr val="1F497D">
                  <a:hueOff val="0"/>
                  <a:satOff val="0"/>
                  <a:lumOff val="0"/>
                  <a:alphaOff val="0"/>
                </a:srgbClr>
              </a:solidFill>
              <a:latin typeface="Calibri"/>
              <a:ea typeface="+mn-ea"/>
              <a:cs typeface="+mn-cs"/>
            </a:rPr>
            <a:t>Учет экономических, социальных и экологических интересов всех муниципальных образований</a:t>
          </a:r>
        </a:p>
      </dsp:txBody>
      <dsp:txXfrm>
        <a:off x="288598" y="3697706"/>
        <a:ext cx="3671470" cy="426206"/>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EB7A8ACC-B2D8-4B15-B839-043E47F2C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4</Pages>
  <Words>1207</Words>
  <Characters>6880</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Ирина Анатольевна Секушина</cp:lastModifiedBy>
  <cp:revision>8</cp:revision>
  <cp:lastPrinted>2021-04-01T13:23:00Z</cp:lastPrinted>
  <dcterms:created xsi:type="dcterms:W3CDTF">2023-05-11T13:09:00Z</dcterms:created>
  <dcterms:modified xsi:type="dcterms:W3CDTF">2023-05-12T12:43:00Z</dcterms:modified>
</cp:coreProperties>
</file>