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F337C9" w14:textId="6A6508ED" w:rsidR="00CD5A3F" w:rsidRDefault="00F41B14" w:rsidP="00F41B14">
      <w:pPr>
        <w:spacing w:after="0" w:line="360" w:lineRule="auto"/>
        <w:jc w:val="right"/>
        <w:rPr>
          <w:rFonts w:ascii="Times New Roman" w:hAnsi="Times New Roman"/>
          <w:b/>
          <w:bCs/>
          <w:sz w:val="24"/>
          <w:szCs w:val="24"/>
        </w:rPr>
      </w:pPr>
      <w:r>
        <w:rPr>
          <w:rFonts w:ascii="Times New Roman" w:hAnsi="Times New Roman"/>
          <w:b/>
          <w:bCs/>
          <w:sz w:val="24"/>
          <w:szCs w:val="24"/>
        </w:rPr>
        <w:t>Тимушев Е.Н.</w:t>
      </w:r>
      <w:r>
        <w:rPr>
          <w:rStyle w:val="ab"/>
          <w:rFonts w:ascii="Times New Roman" w:hAnsi="Times New Roman"/>
          <w:b/>
          <w:bCs/>
          <w:sz w:val="24"/>
          <w:szCs w:val="24"/>
        </w:rPr>
        <w:footnoteReference w:id="1"/>
      </w:r>
    </w:p>
    <w:p w14:paraId="3A84B3E3" w14:textId="77777777" w:rsidR="00882DD6" w:rsidRPr="00C742FA" w:rsidRDefault="00882DD6" w:rsidP="00EA3F8A">
      <w:pPr>
        <w:spacing w:after="0" w:line="360" w:lineRule="auto"/>
        <w:ind w:firstLine="709"/>
        <w:jc w:val="both"/>
        <w:rPr>
          <w:rFonts w:ascii="Times New Roman" w:hAnsi="Times New Roman"/>
          <w:sz w:val="24"/>
          <w:szCs w:val="24"/>
        </w:rPr>
      </w:pPr>
    </w:p>
    <w:p w14:paraId="33CE40ED" w14:textId="24A24194" w:rsidR="001E2C56" w:rsidRPr="00F41B14" w:rsidRDefault="00DE3D4B" w:rsidP="001C3664">
      <w:pPr>
        <w:spacing w:after="0" w:line="360" w:lineRule="auto"/>
        <w:ind w:left="360"/>
        <w:jc w:val="center"/>
        <w:rPr>
          <w:rFonts w:ascii="Times New Roman" w:eastAsia="Times New Roman" w:hAnsi="Times New Roman"/>
          <w:b/>
          <w:bCs/>
          <w:sz w:val="24"/>
          <w:szCs w:val="28"/>
          <w:lang w:eastAsia="ru-RU"/>
        </w:rPr>
      </w:pPr>
      <w:bookmarkStart w:id="0" w:name="_Hlk102207127"/>
      <w:bookmarkStart w:id="1" w:name="_Hlk79414600"/>
      <w:r w:rsidRPr="00F41B14">
        <w:rPr>
          <w:rFonts w:ascii="Times New Roman" w:eastAsia="Times New Roman" w:hAnsi="Times New Roman"/>
          <w:b/>
          <w:bCs/>
          <w:sz w:val="24"/>
          <w:szCs w:val="28"/>
          <w:lang w:eastAsia="ru-RU"/>
        </w:rPr>
        <w:t>Нормативы отчислений от налоговых доходов в регионах России (на примере налога на доходы физлиц)</w:t>
      </w:r>
    </w:p>
    <w:bookmarkEnd w:id="0"/>
    <w:p w14:paraId="39BEBA5C" w14:textId="5F556EE3" w:rsidR="003B3669" w:rsidRDefault="003B3669" w:rsidP="006B1492">
      <w:pPr>
        <w:spacing w:after="0" w:line="360" w:lineRule="auto"/>
        <w:ind w:firstLine="709"/>
        <w:jc w:val="both"/>
        <w:rPr>
          <w:rFonts w:ascii="Times New Roman" w:hAnsi="Times New Roman"/>
          <w:sz w:val="24"/>
          <w:szCs w:val="24"/>
        </w:rPr>
      </w:pPr>
    </w:p>
    <w:p w14:paraId="112AE927" w14:textId="7C54C9DC" w:rsidR="00E038A8" w:rsidRPr="00F41B14" w:rsidRDefault="00F41B14" w:rsidP="00F41B14">
      <w:pPr>
        <w:spacing w:after="0" w:line="240" w:lineRule="auto"/>
        <w:ind w:firstLine="425"/>
        <w:jc w:val="both"/>
        <w:rPr>
          <w:rFonts w:ascii="Times New Roman" w:hAnsi="Times New Roman"/>
        </w:rPr>
      </w:pPr>
      <w:bookmarkStart w:id="2" w:name="_Hlk134920479"/>
      <w:r w:rsidRPr="00F41B14">
        <w:rPr>
          <w:rFonts w:ascii="Times New Roman" w:hAnsi="Times New Roman"/>
          <w:b/>
          <w:bCs/>
        </w:rPr>
        <w:t>Аннотаци</w:t>
      </w:r>
      <w:r w:rsidRPr="00F41B14">
        <w:rPr>
          <w:rFonts w:ascii="Times New Roman" w:hAnsi="Times New Roman"/>
          <w:b/>
          <w:bCs/>
        </w:rPr>
        <w:t>я:</w:t>
      </w:r>
      <w:r w:rsidRPr="00F41B14">
        <w:rPr>
          <w:rFonts w:ascii="Times New Roman" w:hAnsi="Times New Roman"/>
        </w:rPr>
        <w:t xml:space="preserve"> </w:t>
      </w:r>
      <w:r w:rsidR="00E038A8" w:rsidRPr="00F41B14">
        <w:rPr>
          <w:rFonts w:ascii="Times New Roman" w:hAnsi="Times New Roman"/>
          <w:i/>
          <w:iCs/>
        </w:rPr>
        <w:t>Представлены результаты анализа регионального законодательства, регулирующего нормативы отчислений по налогу на доходы физических лиц (НДФЛ). Найдена отрицательная взаимосвязь между едиными нормативами отчислений по НДФЛ и уровнем бюджетной обеспеченности субъектов</w:t>
      </w:r>
      <w:r w:rsidR="00026F6A" w:rsidRPr="00026F6A">
        <w:rPr>
          <w:rFonts w:ascii="Times New Roman" w:hAnsi="Times New Roman"/>
          <w:i/>
          <w:iCs/>
        </w:rPr>
        <w:t xml:space="preserve"> </w:t>
      </w:r>
      <w:r w:rsidR="00026F6A">
        <w:rPr>
          <w:rFonts w:ascii="Times New Roman" w:hAnsi="Times New Roman"/>
          <w:i/>
          <w:iCs/>
        </w:rPr>
        <w:t>Российской Федерации</w:t>
      </w:r>
      <w:r w:rsidR="00E038A8" w:rsidRPr="00F41B14">
        <w:rPr>
          <w:rFonts w:ascii="Times New Roman" w:hAnsi="Times New Roman"/>
          <w:i/>
          <w:iCs/>
        </w:rPr>
        <w:t xml:space="preserve"> до распределения дотаций в 2022 году.</w:t>
      </w:r>
    </w:p>
    <w:p w14:paraId="6F1190D6" w14:textId="44238DFB" w:rsidR="00E038A8" w:rsidRPr="00F41B14" w:rsidRDefault="00E038A8" w:rsidP="00F41B14">
      <w:pPr>
        <w:spacing w:after="0" w:line="240" w:lineRule="auto"/>
        <w:ind w:firstLine="425"/>
        <w:jc w:val="both"/>
        <w:rPr>
          <w:rFonts w:ascii="Times New Roman" w:hAnsi="Times New Roman"/>
          <w:i/>
          <w:iCs/>
        </w:rPr>
      </w:pPr>
      <w:r w:rsidRPr="00F41B14">
        <w:rPr>
          <w:rFonts w:ascii="Times New Roman" w:hAnsi="Times New Roman"/>
          <w:b/>
          <w:bCs/>
        </w:rPr>
        <w:t xml:space="preserve">Ключевые слова: </w:t>
      </w:r>
      <w:r w:rsidRPr="00F41B14">
        <w:rPr>
          <w:rFonts w:ascii="Times New Roman" w:hAnsi="Times New Roman"/>
          <w:i/>
          <w:iCs/>
        </w:rPr>
        <w:t xml:space="preserve">бюджетная децентрализация, региональное законодательство, </w:t>
      </w:r>
      <w:r w:rsidR="00475296" w:rsidRPr="00F41B14">
        <w:rPr>
          <w:rFonts w:ascii="Times New Roman" w:hAnsi="Times New Roman"/>
          <w:i/>
          <w:iCs/>
        </w:rPr>
        <w:t>бюджетная обеспеченность</w:t>
      </w:r>
      <w:r w:rsidR="00F41B14">
        <w:rPr>
          <w:rFonts w:ascii="Times New Roman" w:hAnsi="Times New Roman"/>
          <w:i/>
          <w:iCs/>
        </w:rPr>
        <w:t xml:space="preserve">, парная корреляция, </w:t>
      </w:r>
      <w:r w:rsidR="00F41B14" w:rsidRPr="00F41B14">
        <w:rPr>
          <w:rFonts w:ascii="Times New Roman" w:hAnsi="Times New Roman"/>
          <w:i/>
          <w:iCs/>
        </w:rPr>
        <w:t>межбюджетны</w:t>
      </w:r>
      <w:r w:rsidR="00F41B14">
        <w:rPr>
          <w:rFonts w:ascii="Times New Roman" w:hAnsi="Times New Roman"/>
          <w:i/>
          <w:iCs/>
        </w:rPr>
        <w:t>е</w:t>
      </w:r>
      <w:r w:rsidR="00F41B14" w:rsidRPr="00F41B14">
        <w:rPr>
          <w:rFonts w:ascii="Times New Roman" w:hAnsi="Times New Roman"/>
          <w:i/>
          <w:iCs/>
        </w:rPr>
        <w:t xml:space="preserve"> отношени</w:t>
      </w:r>
      <w:r w:rsidR="00F41B14">
        <w:rPr>
          <w:rFonts w:ascii="Times New Roman" w:hAnsi="Times New Roman"/>
          <w:i/>
          <w:iCs/>
        </w:rPr>
        <w:t>я.</w:t>
      </w:r>
    </w:p>
    <w:p w14:paraId="62FD205F" w14:textId="77777777" w:rsidR="00BA53EA" w:rsidRPr="00365F8E" w:rsidRDefault="00BA53EA" w:rsidP="00026F6A">
      <w:pPr>
        <w:spacing w:after="0" w:line="360" w:lineRule="auto"/>
        <w:ind w:firstLine="709"/>
        <w:jc w:val="both"/>
        <w:rPr>
          <w:rFonts w:ascii="Times New Roman" w:hAnsi="Times New Roman"/>
          <w:sz w:val="24"/>
          <w:szCs w:val="24"/>
        </w:rPr>
      </w:pPr>
    </w:p>
    <w:bookmarkEnd w:id="2"/>
    <w:p w14:paraId="4B381C40" w14:textId="541F6A63" w:rsidR="003C295C" w:rsidRDefault="003C295C" w:rsidP="00026F6A">
      <w:pPr>
        <w:spacing w:after="0" w:line="240" w:lineRule="auto"/>
        <w:ind w:firstLine="709"/>
        <w:jc w:val="both"/>
        <w:rPr>
          <w:rFonts w:ascii="Times New Roman" w:hAnsi="Times New Roman"/>
          <w:sz w:val="24"/>
          <w:szCs w:val="24"/>
        </w:rPr>
      </w:pPr>
      <w:r>
        <w:rPr>
          <w:rFonts w:ascii="Times New Roman" w:hAnsi="Times New Roman"/>
          <w:sz w:val="24"/>
          <w:szCs w:val="24"/>
        </w:rPr>
        <w:t xml:space="preserve">Успех антикризисных мер во многом предопределяется эффективной реализацией ранее мало задействованных </w:t>
      </w:r>
      <w:r w:rsidRPr="003C295C">
        <w:rPr>
          <w:rFonts w:ascii="Times New Roman" w:hAnsi="Times New Roman"/>
          <w:sz w:val="24"/>
          <w:szCs w:val="24"/>
        </w:rPr>
        <w:t>инструментов государственной политики</w:t>
      </w:r>
      <w:r>
        <w:rPr>
          <w:rFonts w:ascii="Times New Roman" w:hAnsi="Times New Roman"/>
          <w:sz w:val="24"/>
          <w:szCs w:val="24"/>
        </w:rPr>
        <w:t xml:space="preserve">. Среди подобных инструментов особое </w:t>
      </w:r>
      <w:r w:rsidRPr="003C295C">
        <w:rPr>
          <w:rFonts w:ascii="Times New Roman" w:hAnsi="Times New Roman"/>
          <w:sz w:val="24"/>
          <w:szCs w:val="24"/>
        </w:rPr>
        <w:t>место занимает федеральная политика межбюджетных отношений.</w:t>
      </w:r>
    </w:p>
    <w:p w14:paraId="56DC9647" w14:textId="4EB68318" w:rsidR="003C295C" w:rsidRDefault="003C295C" w:rsidP="00026F6A">
      <w:pPr>
        <w:spacing w:after="0" w:line="240" w:lineRule="auto"/>
        <w:ind w:firstLine="709"/>
        <w:jc w:val="both"/>
        <w:rPr>
          <w:rFonts w:ascii="Times New Roman" w:hAnsi="Times New Roman"/>
          <w:sz w:val="24"/>
          <w:szCs w:val="24"/>
        </w:rPr>
      </w:pPr>
      <w:r>
        <w:rPr>
          <w:rFonts w:ascii="Times New Roman" w:hAnsi="Times New Roman"/>
          <w:sz w:val="24"/>
          <w:szCs w:val="24"/>
        </w:rPr>
        <w:t xml:space="preserve">Согласно </w:t>
      </w:r>
      <w:r w:rsidRPr="003C295C">
        <w:rPr>
          <w:rFonts w:ascii="Times New Roman" w:hAnsi="Times New Roman"/>
          <w:sz w:val="24"/>
          <w:szCs w:val="24"/>
        </w:rPr>
        <w:t>государственн</w:t>
      </w:r>
      <w:r>
        <w:rPr>
          <w:rFonts w:ascii="Times New Roman" w:hAnsi="Times New Roman"/>
          <w:sz w:val="24"/>
          <w:szCs w:val="24"/>
        </w:rPr>
        <w:t>ой</w:t>
      </w:r>
      <w:r w:rsidRPr="003C295C">
        <w:rPr>
          <w:rFonts w:ascii="Times New Roman" w:hAnsi="Times New Roman"/>
          <w:sz w:val="24"/>
          <w:szCs w:val="24"/>
        </w:rPr>
        <w:t xml:space="preserve"> программ</w:t>
      </w:r>
      <w:r>
        <w:rPr>
          <w:rFonts w:ascii="Times New Roman" w:hAnsi="Times New Roman"/>
          <w:sz w:val="24"/>
          <w:szCs w:val="24"/>
        </w:rPr>
        <w:t>е</w:t>
      </w:r>
      <w:r w:rsidRPr="003C295C">
        <w:rPr>
          <w:rFonts w:ascii="Times New Roman" w:hAnsi="Times New Roman"/>
          <w:sz w:val="24"/>
          <w:szCs w:val="24"/>
        </w:rPr>
        <w:t xml:space="preserve"> Российской Федерации «Развитие федеративных отношений и создание условий для эффективного и ответственного управления региональными и муниципальными финансами»</w:t>
      </w:r>
      <w:r>
        <w:rPr>
          <w:rStyle w:val="ab"/>
          <w:rFonts w:ascii="Times New Roman" w:hAnsi="Times New Roman"/>
          <w:sz w:val="24"/>
          <w:szCs w:val="24"/>
        </w:rPr>
        <w:footnoteReference w:id="2"/>
      </w:r>
      <w:r>
        <w:rPr>
          <w:rFonts w:ascii="Times New Roman" w:hAnsi="Times New Roman"/>
          <w:sz w:val="24"/>
          <w:szCs w:val="24"/>
        </w:rPr>
        <w:t>, ст</w:t>
      </w:r>
      <w:r w:rsidRPr="003C295C">
        <w:rPr>
          <w:rFonts w:ascii="Times New Roman" w:hAnsi="Times New Roman"/>
          <w:sz w:val="24"/>
          <w:szCs w:val="24"/>
        </w:rPr>
        <w:t xml:space="preserve">имулирование экономического развития регионов относится к приоритетам государственной политики </w:t>
      </w:r>
      <w:r>
        <w:rPr>
          <w:rFonts w:ascii="Times New Roman" w:hAnsi="Times New Roman"/>
          <w:sz w:val="24"/>
          <w:szCs w:val="24"/>
        </w:rPr>
        <w:t xml:space="preserve">и занимает значительное место в общем </w:t>
      </w:r>
      <w:r w:rsidRPr="003C295C">
        <w:rPr>
          <w:rFonts w:ascii="Times New Roman" w:hAnsi="Times New Roman"/>
          <w:sz w:val="24"/>
          <w:szCs w:val="24"/>
        </w:rPr>
        <w:t>управлени</w:t>
      </w:r>
      <w:r>
        <w:rPr>
          <w:rFonts w:ascii="Times New Roman" w:hAnsi="Times New Roman"/>
          <w:sz w:val="24"/>
          <w:szCs w:val="24"/>
        </w:rPr>
        <w:t xml:space="preserve">и </w:t>
      </w:r>
      <w:r w:rsidRPr="003C295C">
        <w:rPr>
          <w:rFonts w:ascii="Times New Roman" w:hAnsi="Times New Roman"/>
          <w:sz w:val="24"/>
          <w:szCs w:val="24"/>
        </w:rPr>
        <w:t>региональными и муниципальными финансами</w:t>
      </w:r>
      <w:r>
        <w:rPr>
          <w:rFonts w:ascii="Times New Roman" w:hAnsi="Times New Roman"/>
          <w:sz w:val="24"/>
          <w:szCs w:val="24"/>
        </w:rPr>
        <w:t>. В рамках федеральной межбюджетной политики отдельное место принадлежит инструменту</w:t>
      </w:r>
      <w:r w:rsidRPr="003C295C">
        <w:rPr>
          <w:rFonts w:ascii="Times New Roman" w:hAnsi="Times New Roman"/>
          <w:sz w:val="24"/>
          <w:szCs w:val="24"/>
        </w:rPr>
        <w:t xml:space="preserve"> нормативов отчислений по видам налогов</w:t>
      </w:r>
      <w:r>
        <w:rPr>
          <w:rFonts w:ascii="Times New Roman" w:hAnsi="Times New Roman"/>
          <w:sz w:val="24"/>
          <w:szCs w:val="24"/>
        </w:rPr>
        <w:t xml:space="preserve">. Данный инструмент играет одну из ведущих ролей в </w:t>
      </w:r>
      <w:r w:rsidRPr="003C295C">
        <w:rPr>
          <w:rFonts w:ascii="Times New Roman" w:hAnsi="Times New Roman"/>
          <w:sz w:val="24"/>
          <w:szCs w:val="24"/>
        </w:rPr>
        <w:t>регулировани</w:t>
      </w:r>
      <w:r>
        <w:rPr>
          <w:rFonts w:ascii="Times New Roman" w:hAnsi="Times New Roman"/>
          <w:sz w:val="24"/>
          <w:szCs w:val="24"/>
        </w:rPr>
        <w:t xml:space="preserve">и </w:t>
      </w:r>
      <w:r w:rsidRPr="003C295C">
        <w:rPr>
          <w:rFonts w:ascii="Times New Roman" w:hAnsi="Times New Roman"/>
          <w:sz w:val="24"/>
          <w:szCs w:val="24"/>
        </w:rPr>
        <w:t xml:space="preserve">распределения полномочий </w:t>
      </w:r>
      <w:r>
        <w:rPr>
          <w:rFonts w:ascii="Times New Roman" w:hAnsi="Times New Roman"/>
          <w:sz w:val="24"/>
          <w:szCs w:val="24"/>
        </w:rPr>
        <w:t>в бюджетной системе и особенно важен с точки зрения реализации потенциала местного самоуправления и</w:t>
      </w:r>
      <w:r w:rsidR="00DC0D2D">
        <w:rPr>
          <w:rFonts w:ascii="Times New Roman" w:hAnsi="Times New Roman"/>
          <w:sz w:val="24"/>
          <w:szCs w:val="24"/>
        </w:rPr>
        <w:t xml:space="preserve"> наиболее эффективного экономического использования</w:t>
      </w:r>
      <w:r>
        <w:rPr>
          <w:rFonts w:ascii="Times New Roman" w:hAnsi="Times New Roman"/>
          <w:sz w:val="24"/>
          <w:szCs w:val="24"/>
        </w:rPr>
        <w:t xml:space="preserve"> индивидуальных особенностей территорий</w:t>
      </w:r>
      <w:r w:rsidR="00F41B14">
        <w:rPr>
          <w:rFonts w:ascii="Times New Roman" w:hAnsi="Times New Roman"/>
          <w:sz w:val="24"/>
          <w:szCs w:val="24"/>
        </w:rPr>
        <w:t xml:space="preserve"> </w:t>
      </w:r>
      <w:r w:rsidR="00F41B14" w:rsidRPr="00F41B14">
        <w:rPr>
          <w:rFonts w:ascii="Times New Roman" w:hAnsi="Times New Roman"/>
          <w:sz w:val="24"/>
          <w:szCs w:val="24"/>
        </w:rPr>
        <w:t>[1, 2]</w:t>
      </w:r>
      <w:r>
        <w:rPr>
          <w:rFonts w:ascii="Times New Roman" w:hAnsi="Times New Roman"/>
          <w:sz w:val="24"/>
          <w:szCs w:val="24"/>
        </w:rPr>
        <w:t xml:space="preserve">. Несмотря на это, </w:t>
      </w:r>
      <w:r w:rsidRPr="003C295C">
        <w:rPr>
          <w:rFonts w:ascii="Times New Roman" w:hAnsi="Times New Roman"/>
          <w:sz w:val="24"/>
          <w:szCs w:val="24"/>
        </w:rPr>
        <w:t xml:space="preserve">анализ регионального законодательства </w:t>
      </w:r>
      <w:r>
        <w:rPr>
          <w:rFonts w:ascii="Times New Roman" w:hAnsi="Times New Roman"/>
          <w:sz w:val="24"/>
          <w:szCs w:val="24"/>
        </w:rPr>
        <w:t xml:space="preserve">по теме </w:t>
      </w:r>
      <w:r w:rsidRPr="003C295C">
        <w:rPr>
          <w:rFonts w:ascii="Times New Roman" w:hAnsi="Times New Roman"/>
          <w:sz w:val="24"/>
          <w:szCs w:val="24"/>
        </w:rPr>
        <w:t>нормативов отчислений по видам налогов</w:t>
      </w:r>
      <w:r>
        <w:rPr>
          <w:rFonts w:ascii="Times New Roman" w:hAnsi="Times New Roman"/>
          <w:sz w:val="24"/>
          <w:szCs w:val="24"/>
        </w:rPr>
        <w:t xml:space="preserve">, которые подлежат </w:t>
      </w:r>
      <w:r w:rsidR="00DC0D2D">
        <w:rPr>
          <w:rFonts w:ascii="Times New Roman" w:hAnsi="Times New Roman"/>
          <w:sz w:val="24"/>
          <w:szCs w:val="24"/>
        </w:rPr>
        <w:t xml:space="preserve">зачислению в состав доходов бюджетов субъектов </w:t>
      </w:r>
      <w:r w:rsidR="00DC0D2D" w:rsidRPr="00DC0D2D">
        <w:rPr>
          <w:rFonts w:ascii="Times New Roman" w:hAnsi="Times New Roman"/>
          <w:sz w:val="24"/>
          <w:szCs w:val="24"/>
        </w:rPr>
        <w:t>Российской Федерации</w:t>
      </w:r>
      <w:r w:rsidR="00DC0D2D">
        <w:rPr>
          <w:rFonts w:ascii="Times New Roman" w:hAnsi="Times New Roman"/>
          <w:sz w:val="24"/>
          <w:szCs w:val="24"/>
        </w:rPr>
        <w:t xml:space="preserve">, </w:t>
      </w:r>
      <w:r>
        <w:rPr>
          <w:rFonts w:ascii="Times New Roman" w:hAnsi="Times New Roman"/>
          <w:sz w:val="24"/>
          <w:szCs w:val="24"/>
        </w:rPr>
        <w:t>насколько известно автору, до сих пор выполнен не был.</w:t>
      </w:r>
    </w:p>
    <w:p w14:paraId="2F145F8E" w14:textId="7903E674" w:rsidR="00992C1C" w:rsidRDefault="00BF5E96" w:rsidP="00F41B14">
      <w:pPr>
        <w:spacing w:after="0" w:line="240" w:lineRule="auto"/>
        <w:ind w:firstLine="709"/>
        <w:jc w:val="both"/>
        <w:rPr>
          <w:rFonts w:ascii="Times New Roman" w:hAnsi="Times New Roman"/>
          <w:sz w:val="24"/>
          <w:szCs w:val="24"/>
        </w:rPr>
      </w:pPr>
      <w:bookmarkStart w:id="3" w:name="_Hlk134899291"/>
      <w:r>
        <w:rPr>
          <w:rFonts w:ascii="Times New Roman" w:hAnsi="Times New Roman"/>
          <w:sz w:val="24"/>
          <w:szCs w:val="24"/>
        </w:rPr>
        <w:t>При проведении данного исследования были</w:t>
      </w:r>
      <w:r w:rsidR="00992C1C">
        <w:rPr>
          <w:rFonts w:ascii="Times New Roman" w:hAnsi="Times New Roman"/>
          <w:sz w:val="24"/>
          <w:szCs w:val="24"/>
        </w:rPr>
        <w:t xml:space="preserve"> проанализированы региональные законы о бюджетном процессе, регулировании межбюджетных отношений и специальные законы, определяющие значение нормативов отчислений </w:t>
      </w:r>
      <w:r w:rsidR="00DC0D2D">
        <w:rPr>
          <w:rFonts w:ascii="Times New Roman" w:hAnsi="Times New Roman"/>
          <w:sz w:val="24"/>
          <w:szCs w:val="24"/>
        </w:rPr>
        <w:t xml:space="preserve">по каждому региону России </w:t>
      </w:r>
      <w:r w:rsidR="00992C1C">
        <w:rPr>
          <w:rFonts w:ascii="Times New Roman" w:hAnsi="Times New Roman"/>
          <w:sz w:val="24"/>
          <w:szCs w:val="24"/>
        </w:rPr>
        <w:t xml:space="preserve">(последние две группы законов – в случае наличия таковых в соответствующем субъекте). </w:t>
      </w:r>
      <w:r w:rsidR="00992C1C" w:rsidRPr="00992C1C">
        <w:rPr>
          <w:rFonts w:ascii="Times New Roman" w:hAnsi="Times New Roman"/>
          <w:sz w:val="24"/>
          <w:szCs w:val="24"/>
        </w:rPr>
        <w:t>Не рассматривались региональные законы о бюджете</w:t>
      </w:r>
      <w:r w:rsidR="00992C1C">
        <w:rPr>
          <w:rFonts w:ascii="Times New Roman" w:hAnsi="Times New Roman"/>
          <w:sz w:val="24"/>
          <w:szCs w:val="24"/>
        </w:rPr>
        <w:t xml:space="preserve">. </w:t>
      </w:r>
      <w:r w:rsidR="00992C1C" w:rsidRPr="00992C1C">
        <w:rPr>
          <w:rFonts w:ascii="Times New Roman" w:hAnsi="Times New Roman"/>
          <w:sz w:val="24"/>
          <w:szCs w:val="24"/>
        </w:rPr>
        <w:t xml:space="preserve">Для налога на доходы физических лиц </w:t>
      </w:r>
      <w:r w:rsidR="00DC0D2D">
        <w:rPr>
          <w:rFonts w:ascii="Times New Roman" w:hAnsi="Times New Roman"/>
          <w:sz w:val="24"/>
          <w:szCs w:val="24"/>
        </w:rPr>
        <w:t xml:space="preserve">(далее также – НДФЛ) </w:t>
      </w:r>
      <w:r w:rsidR="00992C1C">
        <w:rPr>
          <w:rFonts w:ascii="Times New Roman" w:hAnsi="Times New Roman"/>
          <w:sz w:val="24"/>
          <w:szCs w:val="24"/>
        </w:rPr>
        <w:t xml:space="preserve">учитывались лишь </w:t>
      </w:r>
      <w:r w:rsidR="00992C1C" w:rsidRPr="00992C1C">
        <w:rPr>
          <w:rFonts w:ascii="Times New Roman" w:hAnsi="Times New Roman"/>
          <w:sz w:val="24"/>
          <w:szCs w:val="24"/>
        </w:rPr>
        <w:t>единые нормативы отчислений</w:t>
      </w:r>
      <w:r w:rsidR="00992C1C">
        <w:rPr>
          <w:rFonts w:ascii="Times New Roman" w:hAnsi="Times New Roman"/>
          <w:sz w:val="24"/>
          <w:szCs w:val="24"/>
        </w:rPr>
        <w:t>, но не дополнительные.</w:t>
      </w:r>
      <w:r>
        <w:rPr>
          <w:rFonts w:ascii="Times New Roman" w:hAnsi="Times New Roman"/>
          <w:sz w:val="24"/>
          <w:szCs w:val="24"/>
        </w:rPr>
        <w:t xml:space="preserve"> Из анализа были исключены Москва, Санкт-Петербург и Севастополь в силу особого положения данных субъектов с точки зрения региональных межбюджетных отношений.</w:t>
      </w:r>
    </w:p>
    <w:bookmarkEnd w:id="3"/>
    <w:p w14:paraId="50E61946" w14:textId="1D7FFF10" w:rsidR="00BF5E96" w:rsidRDefault="00BF5E96" w:rsidP="00F41B14">
      <w:pPr>
        <w:spacing w:after="0" w:line="240" w:lineRule="auto"/>
        <w:ind w:firstLine="709"/>
        <w:jc w:val="both"/>
        <w:rPr>
          <w:rFonts w:ascii="Times New Roman" w:hAnsi="Times New Roman"/>
          <w:sz w:val="24"/>
          <w:szCs w:val="24"/>
          <w:highlight w:val="yellow"/>
        </w:rPr>
      </w:pPr>
      <w:r w:rsidRPr="00BF5E96">
        <w:rPr>
          <w:rFonts w:ascii="Times New Roman" w:hAnsi="Times New Roman"/>
          <w:sz w:val="24"/>
          <w:szCs w:val="24"/>
        </w:rPr>
        <w:t>НДФЛ является основным видом налогов, для которого предусмотрены гибкие нормативы отчислений</w:t>
      </w:r>
      <w:r>
        <w:rPr>
          <w:rFonts w:ascii="Times New Roman" w:hAnsi="Times New Roman"/>
          <w:sz w:val="24"/>
          <w:szCs w:val="24"/>
        </w:rPr>
        <w:t xml:space="preserve"> в Бюджетном кодексе </w:t>
      </w:r>
      <w:r w:rsidR="00026F6A" w:rsidRPr="00026F6A">
        <w:rPr>
          <w:rFonts w:ascii="Times New Roman" w:hAnsi="Times New Roman"/>
          <w:sz w:val="24"/>
          <w:szCs w:val="24"/>
        </w:rPr>
        <w:t xml:space="preserve">Российской Федерации </w:t>
      </w:r>
      <w:r>
        <w:rPr>
          <w:rFonts w:ascii="Times New Roman" w:hAnsi="Times New Roman"/>
          <w:sz w:val="24"/>
          <w:szCs w:val="24"/>
        </w:rPr>
        <w:t xml:space="preserve">(таблица 1). </w:t>
      </w:r>
      <w:r w:rsidRPr="00BF5E96">
        <w:rPr>
          <w:rFonts w:ascii="Times New Roman" w:hAnsi="Times New Roman"/>
          <w:sz w:val="24"/>
          <w:szCs w:val="24"/>
        </w:rPr>
        <w:t xml:space="preserve">Наибольшая часть доходов поступает в бюджеты субъектов Российской Федерации, кроме налога на доходы в виде процентов, полученных по вкладам в банках, по части облигаций российских организаций и по государственным казначейским обязательствам. Норматив отчислений для местных бюджетов с 2014 г. стал ниже по сравнению с </w:t>
      </w:r>
      <w:r>
        <w:rPr>
          <w:rFonts w:ascii="Times New Roman" w:hAnsi="Times New Roman"/>
          <w:sz w:val="24"/>
          <w:szCs w:val="24"/>
        </w:rPr>
        <w:t>периодом до 2012 года.</w:t>
      </w:r>
    </w:p>
    <w:p w14:paraId="26645FFB" w14:textId="77777777" w:rsidR="00BF5E96" w:rsidRDefault="00BF5E96" w:rsidP="00F41B14">
      <w:pPr>
        <w:spacing w:after="0" w:line="240" w:lineRule="auto"/>
        <w:ind w:firstLine="709"/>
        <w:jc w:val="both"/>
        <w:rPr>
          <w:rFonts w:ascii="Times New Roman" w:hAnsi="Times New Roman"/>
          <w:sz w:val="24"/>
          <w:szCs w:val="24"/>
          <w:highlight w:val="yellow"/>
        </w:rPr>
      </w:pPr>
    </w:p>
    <w:p w14:paraId="73C2F9F2" w14:textId="7F465A37" w:rsidR="00BF5E96" w:rsidRPr="00C60B5A" w:rsidRDefault="00BF5E96" w:rsidP="00F41B14">
      <w:pPr>
        <w:pStyle w:val="10-4-17"/>
        <w:spacing w:line="240" w:lineRule="auto"/>
        <w:rPr>
          <w:bCs w:val="0"/>
          <w:lang w:eastAsia="ru-RU"/>
        </w:rPr>
      </w:pPr>
      <w:r w:rsidRPr="00C60B5A">
        <w:rPr>
          <w:lang w:eastAsia="ru-RU"/>
        </w:rPr>
        <w:lastRenderedPageBreak/>
        <w:t>Таблица 1</w:t>
      </w:r>
      <w:bookmarkStart w:id="4" w:name="_Hlk128909645"/>
      <w:r w:rsidR="00F41B14">
        <w:rPr>
          <w:lang w:eastAsia="ru-RU"/>
        </w:rPr>
        <w:t xml:space="preserve">. </w:t>
      </w:r>
      <w:r w:rsidRPr="00F41B14">
        <w:rPr>
          <w:b/>
          <w:bCs w:val="0"/>
          <w:lang w:eastAsia="ru-RU"/>
        </w:rPr>
        <w:t>Обязательные нормативы отчислений налоговых доходов по налогу на доходы физлиц, %</w:t>
      </w:r>
      <w:bookmarkEnd w:id="4"/>
    </w:p>
    <w:tbl>
      <w:tblPr>
        <w:tblStyle w:val="1357"/>
        <w:tblW w:w="5000" w:type="pct"/>
        <w:jc w:val="center"/>
        <w:tblLayout w:type="fixed"/>
        <w:tblCellMar>
          <w:top w:w="17" w:type="dxa"/>
          <w:left w:w="17" w:type="dxa"/>
          <w:bottom w:w="17" w:type="dxa"/>
          <w:right w:w="17" w:type="dxa"/>
        </w:tblCellMar>
        <w:tblLook w:val="04A0" w:firstRow="1" w:lastRow="0" w:firstColumn="1" w:lastColumn="0" w:noHBand="0" w:noVBand="1"/>
      </w:tblPr>
      <w:tblGrid>
        <w:gridCol w:w="4378"/>
        <w:gridCol w:w="1750"/>
        <w:gridCol w:w="1750"/>
        <w:gridCol w:w="1750"/>
      </w:tblGrid>
      <w:tr w:rsidR="00BF5E96" w:rsidRPr="00C60B5A" w14:paraId="6973E1DA" w14:textId="77777777" w:rsidTr="009977C3">
        <w:trPr>
          <w:cantSplit/>
          <w:trHeight w:val="384"/>
          <w:tblHeader/>
          <w:jc w:val="center"/>
        </w:trPr>
        <w:tc>
          <w:tcPr>
            <w:tcW w:w="2273" w:type="pct"/>
            <w:tcMar>
              <w:top w:w="6" w:type="dxa"/>
              <w:left w:w="6" w:type="dxa"/>
              <w:bottom w:w="6" w:type="dxa"/>
              <w:right w:w="6" w:type="dxa"/>
            </w:tcMar>
            <w:vAlign w:val="center"/>
          </w:tcPr>
          <w:p w14:paraId="19FBA9FC" w14:textId="77777777" w:rsidR="00BF5E96" w:rsidRPr="00C60B5A" w:rsidRDefault="00BF5E96" w:rsidP="009977C3">
            <w:pPr>
              <w:spacing w:after="0" w:line="240" w:lineRule="auto"/>
              <w:jc w:val="center"/>
              <w:rPr>
                <w:rFonts w:ascii="Times New Roman" w:hAnsi="Times New Roman"/>
                <w:color w:val="000000"/>
                <w:sz w:val="20"/>
                <w:szCs w:val="20"/>
              </w:rPr>
            </w:pPr>
            <w:r w:rsidRPr="00C60B5A">
              <w:rPr>
                <w:rFonts w:ascii="Times New Roman" w:hAnsi="Times New Roman"/>
                <w:color w:val="000000"/>
                <w:sz w:val="20"/>
                <w:szCs w:val="20"/>
              </w:rPr>
              <w:t>Налог</w:t>
            </w:r>
          </w:p>
        </w:tc>
        <w:tc>
          <w:tcPr>
            <w:tcW w:w="909" w:type="pct"/>
            <w:vAlign w:val="center"/>
          </w:tcPr>
          <w:p w14:paraId="66B4DFC4"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sidRPr="00C60B5A">
              <w:rPr>
                <w:rFonts w:ascii="Times New Roman" w:hAnsi="Times New Roman"/>
                <w:color w:val="000000"/>
                <w:sz w:val="20"/>
                <w:szCs w:val="20"/>
              </w:rPr>
              <w:t>Федеральный бюджет</w:t>
            </w:r>
          </w:p>
        </w:tc>
        <w:tc>
          <w:tcPr>
            <w:tcW w:w="909" w:type="pct"/>
            <w:vAlign w:val="center"/>
          </w:tcPr>
          <w:p w14:paraId="43F95D63" w14:textId="381E865A"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sidRPr="00C60B5A">
              <w:rPr>
                <w:rFonts w:ascii="Times New Roman" w:hAnsi="Times New Roman"/>
                <w:color w:val="000000"/>
                <w:sz w:val="20"/>
                <w:szCs w:val="20"/>
              </w:rPr>
              <w:t xml:space="preserve">Бюджет субъекта </w:t>
            </w:r>
            <w:r w:rsidR="00026F6A" w:rsidRPr="00026F6A">
              <w:rPr>
                <w:rFonts w:ascii="Times New Roman" w:hAnsi="Times New Roman"/>
                <w:color w:val="000000"/>
                <w:sz w:val="20"/>
                <w:szCs w:val="20"/>
              </w:rPr>
              <w:t>Российской Федерации</w:t>
            </w:r>
          </w:p>
        </w:tc>
        <w:tc>
          <w:tcPr>
            <w:tcW w:w="909" w:type="pct"/>
            <w:vAlign w:val="center"/>
          </w:tcPr>
          <w:p w14:paraId="50806A1E"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sidRPr="00C60B5A">
              <w:rPr>
                <w:rFonts w:ascii="Times New Roman" w:hAnsi="Times New Roman"/>
                <w:color w:val="000000"/>
                <w:sz w:val="20"/>
                <w:szCs w:val="20"/>
              </w:rPr>
              <w:t>Местные бюджеты</w:t>
            </w:r>
          </w:p>
        </w:tc>
      </w:tr>
      <w:tr w:rsidR="00BF5E96" w:rsidRPr="00C60B5A" w14:paraId="19ABF5F6" w14:textId="77777777" w:rsidTr="009977C3">
        <w:trPr>
          <w:trHeight w:val="20"/>
          <w:jc w:val="center"/>
        </w:trPr>
        <w:tc>
          <w:tcPr>
            <w:tcW w:w="2273" w:type="pct"/>
            <w:tcMar>
              <w:top w:w="6" w:type="dxa"/>
              <w:left w:w="6" w:type="dxa"/>
              <w:bottom w:w="6" w:type="dxa"/>
              <w:right w:w="6" w:type="dxa"/>
            </w:tcMar>
          </w:tcPr>
          <w:p w14:paraId="1DAC6A0C" w14:textId="77777777" w:rsidR="00BF5E96" w:rsidRPr="00C60B5A" w:rsidRDefault="00BF5E96" w:rsidP="009977C3">
            <w:pPr>
              <w:spacing w:after="0" w:line="240" w:lineRule="auto"/>
              <w:rPr>
                <w:rFonts w:ascii="Times New Roman" w:hAnsi="Times New Roman"/>
                <w:color w:val="000000"/>
                <w:sz w:val="20"/>
                <w:szCs w:val="20"/>
              </w:rPr>
            </w:pPr>
            <w:r w:rsidRPr="00C60B5A">
              <w:rPr>
                <w:rFonts w:ascii="Times New Roman" w:hAnsi="Times New Roman"/>
                <w:color w:val="000000"/>
                <w:sz w:val="20"/>
                <w:szCs w:val="20"/>
              </w:rPr>
              <w:t>общий норматив с учетом единых и (или) дополнительных нормативов отчислений</w:t>
            </w:r>
          </w:p>
        </w:tc>
        <w:tc>
          <w:tcPr>
            <w:tcW w:w="909" w:type="pct"/>
          </w:tcPr>
          <w:p w14:paraId="7A6D1FE1"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0</w:t>
            </w:r>
          </w:p>
        </w:tc>
        <w:tc>
          <w:tcPr>
            <w:tcW w:w="909" w:type="pct"/>
          </w:tcPr>
          <w:p w14:paraId="476CEC8E"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70</w:t>
            </w:r>
            <w:r w:rsidRPr="00C60B5A">
              <w:rPr>
                <w:rFonts w:ascii="Times New Roman" w:hAnsi="Times New Roman"/>
                <w:color w:val="000000"/>
                <w:sz w:val="20"/>
                <w:szCs w:val="20"/>
              </w:rPr>
              <w:br/>
              <w:t>(60)</w:t>
            </w:r>
            <w:r w:rsidRPr="00C60B5A">
              <w:rPr>
                <w:rFonts w:ascii="Times New Roman" w:hAnsi="Times New Roman"/>
                <w:color w:val="000000"/>
                <w:sz w:val="20"/>
                <w:szCs w:val="20"/>
                <w:vertAlign w:val="superscript"/>
              </w:rPr>
              <w:t>1</w:t>
            </w:r>
            <w:r w:rsidRPr="00C60B5A">
              <w:rPr>
                <w:rFonts w:ascii="Times New Roman" w:hAnsi="Times New Roman"/>
                <w:color w:val="000000"/>
                <w:sz w:val="20"/>
                <w:szCs w:val="20"/>
              </w:rPr>
              <w:br/>
              <w:t>(60)</w:t>
            </w:r>
            <w:r w:rsidRPr="00C60B5A">
              <w:rPr>
                <w:rFonts w:ascii="Times New Roman" w:hAnsi="Times New Roman"/>
                <w:color w:val="000000"/>
                <w:sz w:val="20"/>
                <w:szCs w:val="20"/>
                <w:vertAlign w:val="superscript"/>
              </w:rPr>
              <w:t>2</w:t>
            </w:r>
          </w:p>
        </w:tc>
        <w:tc>
          <w:tcPr>
            <w:tcW w:w="909" w:type="pct"/>
          </w:tcPr>
          <w:p w14:paraId="38BBDA21"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30</w:t>
            </w:r>
            <w:r w:rsidRPr="00C60B5A">
              <w:rPr>
                <w:rFonts w:ascii="Times New Roman" w:hAnsi="Times New Roman"/>
                <w:color w:val="000000"/>
                <w:sz w:val="20"/>
                <w:szCs w:val="20"/>
              </w:rPr>
              <w:br/>
              <w:t>(40)</w:t>
            </w:r>
            <w:r w:rsidRPr="00C60B5A">
              <w:rPr>
                <w:rFonts w:ascii="Times New Roman" w:hAnsi="Times New Roman"/>
                <w:color w:val="000000"/>
                <w:sz w:val="20"/>
                <w:szCs w:val="20"/>
                <w:vertAlign w:val="superscript"/>
              </w:rPr>
              <w:t>1</w:t>
            </w:r>
            <w:r w:rsidRPr="00C60B5A">
              <w:rPr>
                <w:rFonts w:ascii="Times New Roman" w:hAnsi="Times New Roman"/>
                <w:color w:val="000000"/>
                <w:sz w:val="20"/>
                <w:szCs w:val="20"/>
              </w:rPr>
              <w:br/>
              <w:t>(40)</w:t>
            </w:r>
            <w:r w:rsidRPr="00C60B5A">
              <w:rPr>
                <w:rFonts w:ascii="Times New Roman" w:hAnsi="Times New Roman"/>
                <w:color w:val="000000"/>
                <w:sz w:val="20"/>
                <w:szCs w:val="20"/>
                <w:vertAlign w:val="superscript"/>
              </w:rPr>
              <w:t>2</w:t>
            </w:r>
          </w:p>
        </w:tc>
      </w:tr>
      <w:tr w:rsidR="00BF5E96" w:rsidRPr="00C60B5A" w14:paraId="18243119" w14:textId="77777777" w:rsidTr="009977C3">
        <w:trPr>
          <w:trHeight w:val="20"/>
          <w:jc w:val="center"/>
        </w:trPr>
        <w:tc>
          <w:tcPr>
            <w:tcW w:w="2273" w:type="pct"/>
            <w:tcMar>
              <w:top w:w="6" w:type="dxa"/>
              <w:left w:w="6" w:type="dxa"/>
              <w:bottom w:w="6" w:type="dxa"/>
              <w:right w:w="6" w:type="dxa"/>
            </w:tcMar>
          </w:tcPr>
          <w:p w14:paraId="7507AD44" w14:textId="77777777" w:rsidR="00BF5E96" w:rsidRPr="00C60B5A" w:rsidRDefault="00BF5E96" w:rsidP="009977C3">
            <w:pPr>
              <w:spacing w:after="0" w:line="240" w:lineRule="auto"/>
              <w:ind w:firstLine="284"/>
              <w:rPr>
                <w:rFonts w:ascii="Times New Roman" w:hAnsi="Times New Roman"/>
                <w:color w:val="000000"/>
                <w:sz w:val="20"/>
                <w:szCs w:val="20"/>
              </w:rPr>
            </w:pPr>
            <w:r w:rsidRPr="00C60B5A">
              <w:rPr>
                <w:rFonts w:ascii="Times New Roman" w:hAnsi="Times New Roman"/>
                <w:color w:val="000000"/>
                <w:sz w:val="20"/>
                <w:szCs w:val="20"/>
              </w:rPr>
              <w:t>из него:</w:t>
            </w:r>
          </w:p>
        </w:tc>
        <w:tc>
          <w:tcPr>
            <w:tcW w:w="909" w:type="pct"/>
          </w:tcPr>
          <w:p w14:paraId="428EEDCF"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909" w:type="pct"/>
          </w:tcPr>
          <w:p w14:paraId="0045EB74"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909" w:type="pct"/>
          </w:tcPr>
          <w:p w14:paraId="15667F09"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r>
      <w:tr w:rsidR="00BF5E96" w:rsidRPr="00C60B5A" w14:paraId="267A0CA0" w14:textId="77777777" w:rsidTr="009977C3">
        <w:trPr>
          <w:trHeight w:val="20"/>
          <w:jc w:val="center"/>
        </w:trPr>
        <w:tc>
          <w:tcPr>
            <w:tcW w:w="2273" w:type="pct"/>
            <w:tcMar>
              <w:top w:w="6" w:type="dxa"/>
              <w:left w:w="6" w:type="dxa"/>
              <w:bottom w:w="6" w:type="dxa"/>
              <w:right w:w="6" w:type="dxa"/>
            </w:tcMar>
          </w:tcPr>
          <w:p w14:paraId="3F7C5019" w14:textId="77777777" w:rsidR="00BF5E96" w:rsidRPr="00C60B5A" w:rsidRDefault="00BF5E96" w:rsidP="009977C3">
            <w:pPr>
              <w:spacing w:after="0" w:line="240" w:lineRule="auto"/>
              <w:ind w:firstLine="284"/>
              <w:rPr>
                <w:rFonts w:ascii="Times New Roman" w:hAnsi="Times New Roman"/>
                <w:color w:val="000000"/>
                <w:sz w:val="20"/>
                <w:szCs w:val="20"/>
              </w:rPr>
            </w:pPr>
            <w:r w:rsidRPr="00C60B5A">
              <w:rPr>
                <w:rFonts w:ascii="Times New Roman" w:hAnsi="Times New Roman"/>
                <w:color w:val="000000"/>
                <w:sz w:val="20"/>
                <w:szCs w:val="20"/>
              </w:rPr>
              <w:t>общий норматив</w:t>
            </w:r>
          </w:p>
        </w:tc>
        <w:tc>
          <w:tcPr>
            <w:tcW w:w="909" w:type="pct"/>
          </w:tcPr>
          <w:p w14:paraId="1F19AE13"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0</w:t>
            </w:r>
          </w:p>
        </w:tc>
        <w:tc>
          <w:tcPr>
            <w:tcW w:w="909" w:type="pct"/>
          </w:tcPr>
          <w:p w14:paraId="3737D689"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 xml:space="preserve">85 </w:t>
            </w:r>
            <w:r w:rsidRPr="00C60B5A">
              <w:rPr>
                <w:rFonts w:ascii="Times New Roman" w:hAnsi="Times New Roman"/>
                <w:color w:val="000000"/>
                <w:sz w:val="20"/>
                <w:szCs w:val="20"/>
              </w:rPr>
              <w:br/>
              <w:t>(80)</w:t>
            </w:r>
            <w:r w:rsidRPr="00C60B5A">
              <w:rPr>
                <w:rFonts w:ascii="Times New Roman" w:hAnsi="Times New Roman"/>
                <w:color w:val="000000"/>
                <w:sz w:val="20"/>
                <w:szCs w:val="20"/>
                <w:vertAlign w:val="superscript"/>
              </w:rPr>
              <w:t>1</w:t>
            </w:r>
            <w:r w:rsidRPr="00C60B5A">
              <w:rPr>
                <w:rFonts w:ascii="Times New Roman" w:hAnsi="Times New Roman"/>
                <w:color w:val="000000"/>
                <w:sz w:val="20"/>
                <w:szCs w:val="20"/>
              </w:rPr>
              <w:t xml:space="preserve"> </w:t>
            </w:r>
            <w:r w:rsidRPr="00C60B5A">
              <w:rPr>
                <w:rFonts w:ascii="Times New Roman" w:hAnsi="Times New Roman"/>
                <w:color w:val="000000"/>
                <w:sz w:val="20"/>
                <w:szCs w:val="20"/>
              </w:rPr>
              <w:br/>
              <w:t>(70)</w:t>
            </w:r>
            <w:r w:rsidRPr="00C60B5A">
              <w:rPr>
                <w:rFonts w:ascii="Times New Roman" w:hAnsi="Times New Roman"/>
                <w:color w:val="000000"/>
                <w:sz w:val="20"/>
                <w:szCs w:val="20"/>
                <w:vertAlign w:val="superscript"/>
              </w:rPr>
              <w:t>2</w:t>
            </w:r>
          </w:p>
        </w:tc>
        <w:tc>
          <w:tcPr>
            <w:tcW w:w="909" w:type="pct"/>
          </w:tcPr>
          <w:p w14:paraId="742E121E"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15</w:t>
            </w:r>
            <w:r w:rsidRPr="00C60B5A">
              <w:rPr>
                <w:rFonts w:ascii="Times New Roman" w:hAnsi="Times New Roman"/>
                <w:color w:val="000000"/>
                <w:sz w:val="20"/>
                <w:szCs w:val="20"/>
              </w:rPr>
              <w:br/>
              <w:t xml:space="preserve"> (20)</w:t>
            </w:r>
            <w:r w:rsidRPr="00C60B5A">
              <w:rPr>
                <w:rFonts w:ascii="Times New Roman" w:hAnsi="Times New Roman"/>
                <w:color w:val="000000"/>
                <w:sz w:val="20"/>
                <w:szCs w:val="20"/>
                <w:vertAlign w:val="superscript"/>
              </w:rPr>
              <w:t>1</w:t>
            </w:r>
            <w:r w:rsidRPr="00C60B5A">
              <w:rPr>
                <w:rFonts w:ascii="Times New Roman" w:hAnsi="Times New Roman"/>
                <w:color w:val="000000"/>
                <w:sz w:val="20"/>
                <w:szCs w:val="20"/>
                <w:vertAlign w:val="superscript"/>
              </w:rPr>
              <w:br/>
            </w:r>
            <w:r w:rsidRPr="00C60B5A">
              <w:rPr>
                <w:rFonts w:ascii="Times New Roman" w:hAnsi="Times New Roman"/>
                <w:color w:val="000000"/>
                <w:sz w:val="20"/>
                <w:szCs w:val="20"/>
              </w:rPr>
              <w:t xml:space="preserve"> (30)</w:t>
            </w:r>
            <w:r w:rsidRPr="00C60B5A">
              <w:rPr>
                <w:rFonts w:ascii="Times New Roman" w:hAnsi="Times New Roman"/>
                <w:color w:val="000000"/>
                <w:sz w:val="20"/>
                <w:szCs w:val="20"/>
                <w:vertAlign w:val="superscript"/>
              </w:rPr>
              <w:t>2</w:t>
            </w:r>
          </w:p>
        </w:tc>
      </w:tr>
      <w:tr w:rsidR="00BF5E96" w:rsidRPr="00C60B5A" w14:paraId="3CB9716B" w14:textId="77777777" w:rsidTr="009977C3">
        <w:trPr>
          <w:trHeight w:val="20"/>
          <w:jc w:val="center"/>
        </w:trPr>
        <w:tc>
          <w:tcPr>
            <w:tcW w:w="2273" w:type="pct"/>
            <w:tcMar>
              <w:top w:w="6" w:type="dxa"/>
              <w:left w:w="6" w:type="dxa"/>
              <w:bottom w:w="6" w:type="dxa"/>
              <w:right w:w="6" w:type="dxa"/>
            </w:tcMar>
          </w:tcPr>
          <w:p w14:paraId="33431631" w14:textId="77777777" w:rsidR="00BF5E96" w:rsidRPr="00C60B5A" w:rsidRDefault="00BF5E96" w:rsidP="009977C3">
            <w:pPr>
              <w:spacing w:after="0" w:line="240" w:lineRule="auto"/>
              <w:ind w:firstLine="284"/>
              <w:rPr>
                <w:rFonts w:ascii="Times New Roman" w:hAnsi="Times New Roman"/>
                <w:color w:val="000000"/>
                <w:sz w:val="20"/>
                <w:szCs w:val="20"/>
              </w:rPr>
            </w:pPr>
            <w:r w:rsidRPr="00C60B5A">
              <w:rPr>
                <w:rFonts w:ascii="Times New Roman" w:hAnsi="Times New Roman"/>
                <w:color w:val="000000"/>
                <w:sz w:val="20"/>
                <w:szCs w:val="20"/>
              </w:rPr>
              <w:t>единые и (или) дополнительные нормативы отчислений в местные бюджеты</w:t>
            </w:r>
          </w:p>
        </w:tc>
        <w:tc>
          <w:tcPr>
            <w:tcW w:w="909" w:type="pct"/>
          </w:tcPr>
          <w:p w14:paraId="2FB714E4"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w:t>
            </w:r>
          </w:p>
        </w:tc>
        <w:tc>
          <w:tcPr>
            <w:tcW w:w="909" w:type="pct"/>
          </w:tcPr>
          <w:p w14:paraId="1DA9466C"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w:t>
            </w:r>
          </w:p>
        </w:tc>
        <w:tc>
          <w:tcPr>
            <w:tcW w:w="909" w:type="pct"/>
          </w:tcPr>
          <w:p w14:paraId="01FF5DAD" w14:textId="77777777" w:rsidR="00BF5E96" w:rsidRPr="00C60B5A" w:rsidRDefault="00BF5E96" w:rsidP="009977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C60B5A">
              <w:rPr>
                <w:rFonts w:ascii="Times New Roman" w:hAnsi="Times New Roman"/>
                <w:color w:val="000000"/>
                <w:sz w:val="20"/>
                <w:szCs w:val="20"/>
              </w:rPr>
              <w:t>15</w:t>
            </w:r>
            <w:r w:rsidRPr="00C60B5A">
              <w:rPr>
                <w:rFonts w:ascii="Times New Roman" w:hAnsi="Times New Roman"/>
                <w:color w:val="000000"/>
                <w:sz w:val="20"/>
                <w:szCs w:val="20"/>
              </w:rPr>
              <w:br/>
              <w:t>(20)</w:t>
            </w:r>
            <w:r w:rsidRPr="00C60B5A">
              <w:rPr>
                <w:rFonts w:ascii="Times New Roman" w:hAnsi="Times New Roman"/>
                <w:color w:val="000000"/>
                <w:sz w:val="20"/>
                <w:szCs w:val="20"/>
                <w:vertAlign w:val="superscript"/>
              </w:rPr>
              <w:t>1</w:t>
            </w:r>
            <w:r w:rsidRPr="00C60B5A">
              <w:rPr>
                <w:rFonts w:ascii="Times New Roman" w:hAnsi="Times New Roman"/>
                <w:color w:val="000000"/>
                <w:sz w:val="20"/>
                <w:szCs w:val="20"/>
              </w:rPr>
              <w:br/>
              <w:t>(10)</w:t>
            </w:r>
            <w:r w:rsidRPr="00C60B5A">
              <w:rPr>
                <w:rFonts w:ascii="Times New Roman" w:hAnsi="Times New Roman"/>
                <w:color w:val="000000"/>
                <w:sz w:val="20"/>
                <w:szCs w:val="20"/>
                <w:vertAlign w:val="superscript"/>
              </w:rPr>
              <w:t>2</w:t>
            </w:r>
          </w:p>
        </w:tc>
      </w:tr>
    </w:tbl>
    <w:p w14:paraId="3140D8DC" w14:textId="276DAE16" w:rsidR="00BF5E96" w:rsidRPr="00C60B5A" w:rsidRDefault="00F41B14" w:rsidP="00F41B14">
      <w:pPr>
        <w:spacing w:after="0" w:line="240" w:lineRule="auto"/>
        <w:contextualSpacing/>
        <w:jc w:val="both"/>
        <w:rPr>
          <w:rFonts w:ascii="Times New Roman" w:hAnsi="Times New Roman"/>
          <w:sz w:val="20"/>
          <w:szCs w:val="20"/>
        </w:rPr>
      </w:pPr>
      <w:r>
        <w:rPr>
          <w:rFonts w:ascii="Times New Roman" w:hAnsi="Times New Roman"/>
          <w:sz w:val="20"/>
          <w:szCs w:val="20"/>
        </w:rPr>
        <w:t>*</w:t>
      </w:r>
      <w:r w:rsidR="00BF5E96" w:rsidRPr="00C60B5A">
        <w:rPr>
          <w:rFonts w:ascii="Times New Roman" w:hAnsi="Times New Roman"/>
          <w:sz w:val="20"/>
          <w:szCs w:val="20"/>
        </w:rPr>
        <w:t xml:space="preserve">Источник: составлено по данным Бюджетного кодекса </w:t>
      </w:r>
      <w:r w:rsidR="00026F6A" w:rsidRPr="00026F6A">
        <w:rPr>
          <w:rFonts w:ascii="Times New Roman" w:hAnsi="Times New Roman"/>
          <w:sz w:val="20"/>
          <w:szCs w:val="20"/>
        </w:rPr>
        <w:t>Российской Федерации</w:t>
      </w:r>
      <w:r w:rsidR="00BF5E96" w:rsidRPr="00C60B5A">
        <w:rPr>
          <w:rFonts w:ascii="Times New Roman" w:hAnsi="Times New Roman"/>
          <w:sz w:val="20"/>
          <w:szCs w:val="20"/>
        </w:rPr>
        <w:t>, статьи 49-61.6.</w:t>
      </w:r>
    </w:p>
    <w:p w14:paraId="1FCC493D" w14:textId="77777777" w:rsidR="00BF5E96" w:rsidRPr="00C60B5A" w:rsidRDefault="00BF5E96" w:rsidP="00F41B14">
      <w:pPr>
        <w:spacing w:after="0" w:line="240" w:lineRule="auto"/>
        <w:ind w:firstLine="567"/>
        <w:contextualSpacing/>
        <w:jc w:val="both"/>
        <w:rPr>
          <w:rFonts w:ascii="Times New Roman" w:hAnsi="Times New Roman"/>
          <w:sz w:val="20"/>
          <w:szCs w:val="20"/>
        </w:rPr>
      </w:pPr>
      <w:r w:rsidRPr="00C60B5A">
        <w:rPr>
          <w:rFonts w:ascii="Times New Roman" w:hAnsi="Times New Roman"/>
          <w:sz w:val="20"/>
          <w:szCs w:val="20"/>
        </w:rPr>
        <w:t xml:space="preserve">Примечание: </w:t>
      </w:r>
      <w:r w:rsidRPr="00C60B5A">
        <w:rPr>
          <w:rFonts w:ascii="Times New Roman" w:hAnsi="Times New Roman"/>
          <w:sz w:val="20"/>
          <w:szCs w:val="20"/>
          <w:vertAlign w:val="superscript"/>
        </w:rPr>
        <w:t>1</w:t>
      </w:r>
      <w:r w:rsidRPr="00C60B5A">
        <w:rPr>
          <w:rFonts w:ascii="Times New Roman" w:hAnsi="Times New Roman"/>
          <w:sz w:val="20"/>
          <w:szCs w:val="20"/>
        </w:rPr>
        <w:t xml:space="preserve"> – в 2012–2013 гг., </w:t>
      </w:r>
      <w:r w:rsidRPr="00C60B5A">
        <w:rPr>
          <w:rFonts w:ascii="Times New Roman" w:hAnsi="Times New Roman"/>
          <w:sz w:val="20"/>
          <w:szCs w:val="20"/>
          <w:vertAlign w:val="superscript"/>
        </w:rPr>
        <w:t>2</w:t>
      </w:r>
      <w:r w:rsidRPr="00C60B5A">
        <w:rPr>
          <w:rFonts w:ascii="Times New Roman" w:hAnsi="Times New Roman"/>
          <w:sz w:val="20"/>
          <w:szCs w:val="20"/>
        </w:rPr>
        <w:t xml:space="preserve"> – до 2012 г.</w:t>
      </w:r>
    </w:p>
    <w:p w14:paraId="7B22706A" w14:textId="77777777" w:rsidR="00BF5E96" w:rsidRDefault="00BF5E96" w:rsidP="00F41B14">
      <w:pPr>
        <w:spacing w:after="0" w:line="240" w:lineRule="auto"/>
        <w:ind w:firstLine="709"/>
        <w:jc w:val="both"/>
        <w:rPr>
          <w:rFonts w:ascii="Times New Roman" w:hAnsi="Times New Roman"/>
          <w:sz w:val="24"/>
          <w:szCs w:val="24"/>
          <w:highlight w:val="yellow"/>
        </w:rPr>
      </w:pPr>
    </w:p>
    <w:p w14:paraId="1697BE5D" w14:textId="15328930" w:rsidR="00E038A8" w:rsidRPr="00B54FD3" w:rsidRDefault="00BF5E96" w:rsidP="00F41B14">
      <w:pPr>
        <w:spacing w:after="0" w:line="240" w:lineRule="auto"/>
        <w:ind w:firstLine="709"/>
        <w:jc w:val="both"/>
        <w:rPr>
          <w:rFonts w:ascii="Times New Roman" w:hAnsi="Times New Roman"/>
          <w:sz w:val="24"/>
          <w:szCs w:val="24"/>
        </w:rPr>
      </w:pPr>
      <w:r>
        <w:rPr>
          <w:rFonts w:ascii="Times New Roman" w:hAnsi="Times New Roman"/>
          <w:sz w:val="24"/>
          <w:szCs w:val="24"/>
        </w:rPr>
        <w:t xml:space="preserve">Всего </w:t>
      </w:r>
      <w:r w:rsidR="00E038A8">
        <w:rPr>
          <w:rFonts w:ascii="Times New Roman" w:hAnsi="Times New Roman"/>
          <w:sz w:val="24"/>
          <w:szCs w:val="24"/>
        </w:rPr>
        <w:t>единые нормативы</w:t>
      </w:r>
      <w:r>
        <w:rPr>
          <w:rFonts w:ascii="Times New Roman" w:hAnsi="Times New Roman"/>
          <w:sz w:val="24"/>
          <w:szCs w:val="24"/>
        </w:rPr>
        <w:t xml:space="preserve"> </w:t>
      </w:r>
      <w:r w:rsidRPr="00BF5E96">
        <w:rPr>
          <w:rFonts w:ascii="Times New Roman" w:hAnsi="Times New Roman"/>
          <w:sz w:val="24"/>
          <w:szCs w:val="24"/>
        </w:rPr>
        <w:t>отчислений по налогу на доходы физлиц</w:t>
      </w:r>
      <w:r>
        <w:rPr>
          <w:rFonts w:ascii="Times New Roman" w:hAnsi="Times New Roman"/>
          <w:sz w:val="24"/>
          <w:szCs w:val="24"/>
        </w:rPr>
        <w:t xml:space="preserve"> </w:t>
      </w:r>
      <w:r w:rsidR="00E038A8">
        <w:rPr>
          <w:rFonts w:ascii="Times New Roman" w:hAnsi="Times New Roman"/>
          <w:sz w:val="24"/>
          <w:szCs w:val="24"/>
        </w:rPr>
        <w:t>предусмотрены</w:t>
      </w:r>
      <w:r>
        <w:rPr>
          <w:rFonts w:ascii="Times New Roman" w:hAnsi="Times New Roman"/>
          <w:sz w:val="24"/>
          <w:szCs w:val="24"/>
        </w:rPr>
        <w:t xml:space="preserve"> в 62 субъектах </w:t>
      </w:r>
      <w:r w:rsidR="00026F6A" w:rsidRPr="00026F6A">
        <w:rPr>
          <w:rFonts w:ascii="Times New Roman" w:hAnsi="Times New Roman"/>
          <w:sz w:val="24"/>
          <w:szCs w:val="24"/>
        </w:rPr>
        <w:t>Российской Федерации</w:t>
      </w:r>
      <w:r>
        <w:rPr>
          <w:rFonts w:ascii="Times New Roman" w:hAnsi="Times New Roman"/>
          <w:sz w:val="24"/>
          <w:szCs w:val="24"/>
        </w:rPr>
        <w:t xml:space="preserve"> </w:t>
      </w:r>
      <w:r w:rsidR="00AC1F36" w:rsidRPr="00AC1F36">
        <w:rPr>
          <w:rFonts w:ascii="Times New Roman" w:hAnsi="Times New Roman"/>
          <w:sz w:val="24"/>
          <w:szCs w:val="24"/>
        </w:rPr>
        <w:t xml:space="preserve">(таблица </w:t>
      </w:r>
      <w:r w:rsidR="00734DF0">
        <w:rPr>
          <w:rFonts w:ascii="Times New Roman" w:hAnsi="Times New Roman"/>
          <w:sz w:val="24"/>
          <w:szCs w:val="24"/>
        </w:rPr>
        <w:t>2</w:t>
      </w:r>
      <w:r w:rsidR="00AC1F36" w:rsidRPr="00AC1F36">
        <w:rPr>
          <w:rFonts w:ascii="Times New Roman" w:hAnsi="Times New Roman"/>
          <w:sz w:val="24"/>
          <w:szCs w:val="24"/>
        </w:rPr>
        <w:t>)</w:t>
      </w:r>
      <w:r>
        <w:rPr>
          <w:rFonts w:ascii="Times New Roman" w:hAnsi="Times New Roman"/>
          <w:sz w:val="24"/>
          <w:szCs w:val="24"/>
        </w:rPr>
        <w:t xml:space="preserve">. При этом в большей части из них он </w:t>
      </w:r>
      <w:r w:rsidR="00BE74DC">
        <w:rPr>
          <w:rFonts w:ascii="Times New Roman" w:hAnsi="Times New Roman"/>
          <w:sz w:val="24"/>
          <w:szCs w:val="24"/>
        </w:rPr>
        <w:t>равен или превышает</w:t>
      </w:r>
      <w:r>
        <w:rPr>
          <w:rFonts w:ascii="Times New Roman" w:hAnsi="Times New Roman"/>
          <w:sz w:val="24"/>
          <w:szCs w:val="24"/>
        </w:rPr>
        <w:t xml:space="preserve"> 15% от доходов консолидированного бюджета субъекта</w:t>
      </w:r>
      <w:r w:rsidR="00E038A8">
        <w:rPr>
          <w:rFonts w:ascii="Times New Roman" w:hAnsi="Times New Roman"/>
          <w:sz w:val="24"/>
          <w:szCs w:val="24"/>
        </w:rPr>
        <w:t xml:space="preserve">, что соответствует общим требованиям Бюджетного кодекса. Вовсе не предусмотрен норматив отчислений от НДФЛ в таких региона, как </w:t>
      </w:r>
      <w:r w:rsidR="00E038A8" w:rsidRPr="00B54FD3">
        <w:rPr>
          <w:rFonts w:ascii="Times New Roman" w:hAnsi="Times New Roman"/>
          <w:sz w:val="24"/>
          <w:szCs w:val="24"/>
        </w:rPr>
        <w:t xml:space="preserve">Брянская </w:t>
      </w:r>
      <w:r w:rsidR="00E038A8">
        <w:rPr>
          <w:rFonts w:ascii="Times New Roman" w:hAnsi="Times New Roman"/>
          <w:sz w:val="24"/>
          <w:szCs w:val="24"/>
        </w:rPr>
        <w:t xml:space="preserve">область, </w:t>
      </w:r>
      <w:r w:rsidR="00E038A8" w:rsidRPr="00B54FD3">
        <w:rPr>
          <w:rFonts w:ascii="Times New Roman" w:hAnsi="Times New Roman"/>
          <w:sz w:val="24"/>
          <w:szCs w:val="24"/>
        </w:rPr>
        <w:t xml:space="preserve">Липецкая </w:t>
      </w:r>
      <w:r w:rsidR="00E038A8">
        <w:rPr>
          <w:rFonts w:ascii="Times New Roman" w:hAnsi="Times New Roman"/>
          <w:sz w:val="24"/>
          <w:szCs w:val="24"/>
        </w:rPr>
        <w:t xml:space="preserve">область и </w:t>
      </w:r>
      <w:r w:rsidR="00E038A8" w:rsidRPr="00B54FD3">
        <w:rPr>
          <w:rFonts w:ascii="Times New Roman" w:hAnsi="Times New Roman"/>
          <w:sz w:val="24"/>
          <w:szCs w:val="24"/>
        </w:rPr>
        <w:t xml:space="preserve">Московская </w:t>
      </w:r>
      <w:r w:rsidR="00E038A8">
        <w:rPr>
          <w:rFonts w:ascii="Times New Roman" w:hAnsi="Times New Roman"/>
          <w:sz w:val="24"/>
          <w:szCs w:val="24"/>
        </w:rPr>
        <w:t xml:space="preserve">область; </w:t>
      </w:r>
      <w:r w:rsidR="00E038A8" w:rsidRPr="00B54FD3">
        <w:rPr>
          <w:rFonts w:ascii="Times New Roman" w:hAnsi="Times New Roman"/>
          <w:sz w:val="24"/>
          <w:szCs w:val="24"/>
        </w:rPr>
        <w:t xml:space="preserve">Мурманская </w:t>
      </w:r>
      <w:r w:rsidR="00E038A8">
        <w:rPr>
          <w:rFonts w:ascii="Times New Roman" w:hAnsi="Times New Roman"/>
          <w:sz w:val="24"/>
          <w:szCs w:val="24"/>
        </w:rPr>
        <w:t xml:space="preserve">область и </w:t>
      </w:r>
      <w:r w:rsidR="00E038A8" w:rsidRPr="00B54FD3">
        <w:rPr>
          <w:rFonts w:ascii="Times New Roman" w:hAnsi="Times New Roman"/>
          <w:sz w:val="24"/>
          <w:szCs w:val="24"/>
        </w:rPr>
        <w:t xml:space="preserve">Псковская </w:t>
      </w:r>
      <w:r w:rsidR="00E038A8">
        <w:rPr>
          <w:rFonts w:ascii="Times New Roman" w:hAnsi="Times New Roman"/>
          <w:sz w:val="24"/>
          <w:szCs w:val="24"/>
        </w:rPr>
        <w:t xml:space="preserve">область;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Адыгея</w:t>
      </w:r>
      <w:r w:rsidR="00E038A8">
        <w:rPr>
          <w:rFonts w:ascii="Times New Roman" w:hAnsi="Times New Roman"/>
          <w:sz w:val="24"/>
          <w:szCs w:val="24"/>
        </w:rPr>
        <w:t xml:space="preserve">, </w:t>
      </w:r>
      <w:r w:rsidR="00E038A8" w:rsidRPr="00B54FD3">
        <w:rPr>
          <w:rFonts w:ascii="Times New Roman" w:hAnsi="Times New Roman"/>
          <w:sz w:val="24"/>
          <w:szCs w:val="24"/>
        </w:rPr>
        <w:t xml:space="preserve">Астраханская </w:t>
      </w:r>
      <w:r w:rsidR="00E038A8">
        <w:rPr>
          <w:rFonts w:ascii="Times New Roman" w:hAnsi="Times New Roman"/>
          <w:sz w:val="24"/>
          <w:szCs w:val="24"/>
        </w:rPr>
        <w:t xml:space="preserve">область и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Крым</w:t>
      </w:r>
      <w:r w:rsidR="00E038A8">
        <w:rPr>
          <w:rFonts w:ascii="Times New Roman" w:hAnsi="Times New Roman"/>
          <w:sz w:val="24"/>
          <w:szCs w:val="24"/>
        </w:rPr>
        <w:t xml:space="preserve">;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Ингушетия</w:t>
      </w:r>
      <w:r w:rsidR="00E038A8">
        <w:rPr>
          <w:rFonts w:ascii="Times New Roman" w:hAnsi="Times New Roman"/>
          <w:sz w:val="24"/>
          <w:szCs w:val="24"/>
        </w:rPr>
        <w:t xml:space="preserve">,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 xml:space="preserve">Сев. Осетия </w:t>
      </w:r>
      <w:r w:rsidR="00E038A8">
        <w:rPr>
          <w:rFonts w:ascii="Times New Roman" w:hAnsi="Times New Roman"/>
          <w:sz w:val="24"/>
          <w:szCs w:val="24"/>
        </w:rPr>
        <w:t>–</w:t>
      </w:r>
      <w:r w:rsidR="00E038A8" w:rsidRPr="00B54FD3">
        <w:rPr>
          <w:rFonts w:ascii="Times New Roman" w:hAnsi="Times New Roman"/>
          <w:sz w:val="24"/>
          <w:szCs w:val="24"/>
        </w:rPr>
        <w:t xml:space="preserve"> Алания</w:t>
      </w:r>
      <w:r w:rsidR="00E038A8">
        <w:rPr>
          <w:rFonts w:ascii="Times New Roman" w:hAnsi="Times New Roman"/>
          <w:sz w:val="24"/>
          <w:szCs w:val="24"/>
        </w:rPr>
        <w:t xml:space="preserve"> и </w:t>
      </w:r>
      <w:r w:rsidR="00E038A8" w:rsidRPr="00B54FD3">
        <w:rPr>
          <w:rFonts w:ascii="Times New Roman" w:hAnsi="Times New Roman"/>
          <w:sz w:val="24"/>
          <w:szCs w:val="24"/>
        </w:rPr>
        <w:t>Чеченская Респ</w:t>
      </w:r>
      <w:r w:rsidR="00E038A8">
        <w:rPr>
          <w:rFonts w:ascii="Times New Roman" w:hAnsi="Times New Roman"/>
          <w:sz w:val="24"/>
          <w:szCs w:val="24"/>
        </w:rPr>
        <w:t xml:space="preserve">ублика;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Башкортостан</w:t>
      </w:r>
      <w:r w:rsidR="00E038A8">
        <w:rPr>
          <w:rFonts w:ascii="Times New Roman" w:hAnsi="Times New Roman"/>
          <w:sz w:val="24"/>
          <w:szCs w:val="24"/>
        </w:rPr>
        <w:t xml:space="preserve">,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Марий Эл</w:t>
      </w:r>
      <w:r w:rsidR="00E038A8">
        <w:rPr>
          <w:rFonts w:ascii="Times New Roman" w:hAnsi="Times New Roman"/>
          <w:sz w:val="24"/>
          <w:szCs w:val="24"/>
        </w:rPr>
        <w:t xml:space="preserve">,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Мордовия</w:t>
      </w:r>
      <w:r w:rsidR="00E038A8">
        <w:rPr>
          <w:rFonts w:ascii="Times New Roman" w:hAnsi="Times New Roman"/>
          <w:sz w:val="24"/>
          <w:szCs w:val="24"/>
        </w:rPr>
        <w:t xml:space="preserve"> и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Татарстан</w:t>
      </w:r>
      <w:r w:rsidR="00E038A8">
        <w:rPr>
          <w:rFonts w:ascii="Times New Roman" w:hAnsi="Times New Roman"/>
          <w:sz w:val="24"/>
          <w:szCs w:val="24"/>
        </w:rPr>
        <w:t xml:space="preserve">; </w:t>
      </w:r>
      <w:r w:rsidR="00E038A8" w:rsidRPr="00B54FD3">
        <w:rPr>
          <w:rFonts w:ascii="Times New Roman" w:hAnsi="Times New Roman"/>
          <w:sz w:val="24"/>
          <w:szCs w:val="24"/>
        </w:rPr>
        <w:t xml:space="preserve">Челябинская </w:t>
      </w:r>
      <w:r w:rsidR="00E038A8">
        <w:rPr>
          <w:rFonts w:ascii="Times New Roman" w:hAnsi="Times New Roman"/>
          <w:sz w:val="24"/>
          <w:szCs w:val="24"/>
        </w:rPr>
        <w:t xml:space="preserve">область; </w:t>
      </w:r>
      <w:r w:rsidR="00E038A8" w:rsidRPr="00B54FD3">
        <w:rPr>
          <w:rFonts w:ascii="Times New Roman" w:hAnsi="Times New Roman"/>
          <w:sz w:val="24"/>
          <w:szCs w:val="24"/>
        </w:rPr>
        <w:t>Респ</w:t>
      </w:r>
      <w:r w:rsidR="00E038A8">
        <w:rPr>
          <w:rFonts w:ascii="Times New Roman" w:hAnsi="Times New Roman"/>
          <w:sz w:val="24"/>
          <w:szCs w:val="24"/>
        </w:rPr>
        <w:t xml:space="preserve">ублика </w:t>
      </w:r>
      <w:r w:rsidR="00E038A8" w:rsidRPr="00B54FD3">
        <w:rPr>
          <w:rFonts w:ascii="Times New Roman" w:hAnsi="Times New Roman"/>
          <w:sz w:val="24"/>
          <w:szCs w:val="24"/>
        </w:rPr>
        <w:t>Хакасия</w:t>
      </w:r>
      <w:r w:rsidR="00E038A8">
        <w:rPr>
          <w:rFonts w:ascii="Times New Roman" w:hAnsi="Times New Roman"/>
          <w:sz w:val="24"/>
          <w:szCs w:val="24"/>
        </w:rPr>
        <w:t xml:space="preserve"> и </w:t>
      </w:r>
      <w:r w:rsidR="00E038A8" w:rsidRPr="00B54FD3">
        <w:rPr>
          <w:rFonts w:ascii="Times New Roman" w:hAnsi="Times New Roman"/>
          <w:sz w:val="24"/>
          <w:szCs w:val="24"/>
        </w:rPr>
        <w:t xml:space="preserve">Кемеровская </w:t>
      </w:r>
      <w:r w:rsidR="00E038A8">
        <w:rPr>
          <w:rFonts w:ascii="Times New Roman" w:hAnsi="Times New Roman"/>
          <w:sz w:val="24"/>
          <w:szCs w:val="24"/>
        </w:rPr>
        <w:t xml:space="preserve">область; </w:t>
      </w:r>
      <w:r w:rsidR="00E038A8" w:rsidRPr="00B54FD3">
        <w:rPr>
          <w:rFonts w:ascii="Times New Roman" w:hAnsi="Times New Roman"/>
          <w:sz w:val="24"/>
          <w:szCs w:val="24"/>
        </w:rPr>
        <w:t>Забайкальский край</w:t>
      </w:r>
      <w:r w:rsidR="00E038A8">
        <w:rPr>
          <w:rFonts w:ascii="Times New Roman" w:hAnsi="Times New Roman"/>
          <w:sz w:val="24"/>
          <w:szCs w:val="24"/>
        </w:rPr>
        <w:t xml:space="preserve"> и </w:t>
      </w:r>
      <w:r w:rsidR="00E038A8" w:rsidRPr="00B54FD3">
        <w:rPr>
          <w:rFonts w:ascii="Times New Roman" w:hAnsi="Times New Roman"/>
          <w:sz w:val="24"/>
          <w:szCs w:val="24"/>
        </w:rPr>
        <w:t>Приморский край</w:t>
      </w:r>
      <w:r w:rsidR="00E038A8">
        <w:rPr>
          <w:rFonts w:ascii="Times New Roman" w:hAnsi="Times New Roman"/>
          <w:sz w:val="24"/>
          <w:szCs w:val="24"/>
        </w:rPr>
        <w:t xml:space="preserve">. </w:t>
      </w:r>
      <w:r w:rsidR="00DC0D2D">
        <w:rPr>
          <w:rFonts w:ascii="Times New Roman" w:hAnsi="Times New Roman"/>
          <w:sz w:val="24"/>
          <w:szCs w:val="24"/>
        </w:rPr>
        <w:t>По всей видимости, в этих регионах широко применяются дополнительные нормативы, привязанные к региональным дотациям на выравнивание бюджетной обеспеченности.</w:t>
      </w:r>
    </w:p>
    <w:p w14:paraId="670CDE73" w14:textId="77777777" w:rsidR="00AC1F36" w:rsidRPr="00AC1F36" w:rsidRDefault="00AC1F36" w:rsidP="00F41B14">
      <w:pPr>
        <w:spacing w:after="0" w:line="240" w:lineRule="auto"/>
        <w:ind w:firstLine="709"/>
        <w:jc w:val="both"/>
        <w:rPr>
          <w:rFonts w:ascii="Times New Roman" w:hAnsi="Times New Roman"/>
          <w:sz w:val="24"/>
          <w:szCs w:val="24"/>
        </w:rPr>
      </w:pPr>
    </w:p>
    <w:p w14:paraId="73BEBFE2" w14:textId="1190E73A" w:rsidR="00AC1F36" w:rsidRPr="00AC1F36" w:rsidRDefault="00AC1F36" w:rsidP="00F41B14">
      <w:pPr>
        <w:pStyle w:val="10-4-17"/>
        <w:spacing w:line="240" w:lineRule="auto"/>
        <w:rPr>
          <w:lang w:eastAsia="ru-RU"/>
        </w:rPr>
      </w:pPr>
      <w:r w:rsidRPr="00AC1F36">
        <w:rPr>
          <w:lang w:eastAsia="ru-RU"/>
        </w:rPr>
        <w:t xml:space="preserve">Таблица </w:t>
      </w:r>
      <w:r w:rsidR="00734DF0">
        <w:rPr>
          <w:lang w:eastAsia="ru-RU"/>
        </w:rPr>
        <w:t>2</w:t>
      </w:r>
      <w:r w:rsidR="00F41B14">
        <w:rPr>
          <w:lang w:eastAsia="ru-RU"/>
        </w:rPr>
        <w:t xml:space="preserve">. </w:t>
      </w:r>
      <w:r w:rsidRPr="00F41B14">
        <w:rPr>
          <w:b/>
          <w:bCs w:val="0"/>
          <w:lang w:eastAsia="ru-RU"/>
        </w:rPr>
        <w:t xml:space="preserve">Группировка субъектов </w:t>
      </w:r>
      <w:r w:rsidR="00026F6A" w:rsidRPr="00026F6A">
        <w:rPr>
          <w:b/>
          <w:bCs w:val="0"/>
          <w:lang w:eastAsia="ru-RU"/>
        </w:rPr>
        <w:t>Российской Федерации</w:t>
      </w:r>
      <w:r w:rsidRPr="00F41B14">
        <w:rPr>
          <w:b/>
          <w:bCs w:val="0"/>
          <w:lang w:eastAsia="ru-RU"/>
        </w:rPr>
        <w:t xml:space="preserve"> в зависимости от норматива отчислений по налогу на доходы физлиц</w:t>
      </w:r>
    </w:p>
    <w:tbl>
      <w:tblPr>
        <w:tblStyle w:val="135"/>
        <w:tblW w:w="5000" w:type="pct"/>
        <w:jc w:val="center"/>
        <w:tblLayout w:type="fixed"/>
        <w:tblCellMar>
          <w:top w:w="17" w:type="dxa"/>
          <w:left w:w="17" w:type="dxa"/>
          <w:bottom w:w="17" w:type="dxa"/>
          <w:right w:w="17" w:type="dxa"/>
        </w:tblCellMar>
        <w:tblLook w:val="04A0" w:firstRow="1" w:lastRow="0" w:firstColumn="1" w:lastColumn="0" w:noHBand="0" w:noVBand="1"/>
      </w:tblPr>
      <w:tblGrid>
        <w:gridCol w:w="7907"/>
        <w:gridCol w:w="1721"/>
      </w:tblGrid>
      <w:tr w:rsidR="00734DF0" w:rsidRPr="00B54FD3" w14:paraId="4A734E0A" w14:textId="77777777" w:rsidTr="00475296">
        <w:trPr>
          <w:trHeight w:val="20"/>
          <w:jc w:val="center"/>
        </w:trPr>
        <w:tc>
          <w:tcPr>
            <w:tcW w:w="4106" w:type="pct"/>
            <w:tcMar>
              <w:top w:w="57" w:type="dxa"/>
              <w:left w:w="57" w:type="dxa"/>
              <w:bottom w:w="57" w:type="dxa"/>
              <w:right w:w="57" w:type="dxa"/>
            </w:tcMar>
            <w:vAlign w:val="center"/>
          </w:tcPr>
          <w:p w14:paraId="77D446B2" w14:textId="67F24262" w:rsidR="00734DF0" w:rsidRPr="00B54FD3" w:rsidRDefault="00734DF0" w:rsidP="00734DF0">
            <w:pPr>
              <w:spacing w:after="0" w:line="240" w:lineRule="auto"/>
              <w:jc w:val="center"/>
              <w:rPr>
                <w:rFonts w:ascii="Times New Roman" w:hAnsi="Times New Roman"/>
                <w:bCs/>
                <w:color w:val="000000"/>
                <w:sz w:val="20"/>
                <w:szCs w:val="20"/>
              </w:rPr>
            </w:pPr>
            <w:r w:rsidRPr="00B54FD3">
              <w:rPr>
                <w:rFonts w:ascii="Times New Roman" w:hAnsi="Times New Roman"/>
                <w:bCs/>
                <w:color w:val="000000"/>
                <w:sz w:val="20"/>
                <w:szCs w:val="20"/>
              </w:rPr>
              <w:t>Регион</w:t>
            </w:r>
          </w:p>
        </w:tc>
        <w:tc>
          <w:tcPr>
            <w:tcW w:w="894" w:type="pct"/>
            <w:tcMar>
              <w:top w:w="57" w:type="dxa"/>
              <w:left w:w="57" w:type="dxa"/>
              <w:bottom w:w="57" w:type="dxa"/>
              <w:right w:w="57" w:type="dxa"/>
            </w:tcMar>
            <w:vAlign w:val="center"/>
          </w:tcPr>
          <w:p w14:paraId="25A915C6" w14:textId="55248F37" w:rsidR="00734DF0" w:rsidRPr="00B54FD3" w:rsidRDefault="00734DF0" w:rsidP="00734D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B54FD3">
              <w:rPr>
                <w:rFonts w:ascii="Times New Roman" w:hAnsi="Times New Roman"/>
                <w:bCs/>
                <w:color w:val="000000"/>
                <w:sz w:val="20"/>
                <w:szCs w:val="20"/>
                <w:bdr w:val="none" w:sz="0" w:space="0" w:color="auto" w:frame="1"/>
              </w:rPr>
              <w:t>Диапазон норматива, %</w:t>
            </w:r>
          </w:p>
        </w:tc>
      </w:tr>
      <w:tr w:rsidR="00734DF0" w:rsidRPr="00B54FD3" w14:paraId="57A09CB6" w14:textId="77777777" w:rsidTr="00475296">
        <w:trPr>
          <w:trHeight w:val="20"/>
          <w:jc w:val="center"/>
        </w:trPr>
        <w:tc>
          <w:tcPr>
            <w:tcW w:w="4106" w:type="pct"/>
            <w:tcMar>
              <w:top w:w="57" w:type="dxa"/>
              <w:left w:w="57" w:type="dxa"/>
              <w:bottom w:w="57" w:type="dxa"/>
              <w:right w:w="57" w:type="dxa"/>
            </w:tcMar>
          </w:tcPr>
          <w:p w14:paraId="4485AB0D" w14:textId="4F3655E0" w:rsidR="00734DF0" w:rsidRPr="00B54FD3" w:rsidRDefault="00B54FD3" w:rsidP="00B54FD3">
            <w:pPr>
              <w:spacing w:after="0" w:line="240" w:lineRule="auto"/>
              <w:rPr>
                <w:rFonts w:ascii="Times New Roman" w:hAnsi="Times New Roman"/>
                <w:color w:val="000000"/>
                <w:sz w:val="20"/>
                <w:szCs w:val="20"/>
              </w:rPr>
            </w:pPr>
            <w:r w:rsidRPr="00B54FD3">
              <w:rPr>
                <w:rFonts w:ascii="Times New Roman" w:hAnsi="Times New Roman"/>
                <w:color w:val="000000"/>
                <w:sz w:val="20"/>
                <w:szCs w:val="20"/>
              </w:rPr>
              <w:t>Калужская обл., Орловская обл., Вологодская обл., Волгоградская обл., Чувашская Респ., Нижегородская обл., Оренбургская обл., Свердловская обл., Омская обл., Хабаровский край, Амурская обл.</w:t>
            </w:r>
            <w:r w:rsidR="00BF5E96">
              <w:rPr>
                <w:rFonts w:ascii="Times New Roman" w:hAnsi="Times New Roman"/>
                <w:color w:val="000000"/>
                <w:sz w:val="20"/>
                <w:szCs w:val="20"/>
              </w:rPr>
              <w:t xml:space="preserve"> (11 регионов)</w:t>
            </w:r>
          </w:p>
        </w:tc>
        <w:tc>
          <w:tcPr>
            <w:tcW w:w="894" w:type="pct"/>
            <w:tcMar>
              <w:top w:w="57" w:type="dxa"/>
              <w:left w:w="57" w:type="dxa"/>
              <w:bottom w:w="57" w:type="dxa"/>
              <w:right w:w="57" w:type="dxa"/>
            </w:tcMar>
            <w:vAlign w:val="center"/>
          </w:tcPr>
          <w:p w14:paraId="56FFEE42" w14:textId="3391582D" w:rsidR="00734DF0" w:rsidRPr="00B54FD3" w:rsidRDefault="00734DF0" w:rsidP="00B54F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B54FD3">
              <w:rPr>
                <w:rFonts w:ascii="Times New Roman" w:hAnsi="Times New Roman"/>
                <w:color w:val="000000"/>
                <w:sz w:val="20"/>
                <w:szCs w:val="20"/>
              </w:rPr>
              <w:t>x&lt;10</w:t>
            </w:r>
          </w:p>
        </w:tc>
      </w:tr>
      <w:tr w:rsidR="00734DF0" w:rsidRPr="00B54FD3" w14:paraId="55DFBAB5" w14:textId="77777777" w:rsidTr="00475296">
        <w:trPr>
          <w:trHeight w:val="20"/>
          <w:jc w:val="center"/>
        </w:trPr>
        <w:tc>
          <w:tcPr>
            <w:tcW w:w="4106" w:type="pct"/>
            <w:tcMar>
              <w:top w:w="57" w:type="dxa"/>
              <w:left w:w="57" w:type="dxa"/>
              <w:bottom w:w="57" w:type="dxa"/>
              <w:right w:w="57" w:type="dxa"/>
            </w:tcMar>
          </w:tcPr>
          <w:p w14:paraId="47A8D88B" w14:textId="2FD9B4A8" w:rsidR="00734DF0" w:rsidRPr="00B54FD3" w:rsidRDefault="00B54FD3" w:rsidP="00B54FD3">
            <w:pPr>
              <w:spacing w:after="0" w:line="240" w:lineRule="auto"/>
              <w:rPr>
                <w:rFonts w:ascii="Times New Roman" w:hAnsi="Times New Roman"/>
                <w:color w:val="000000"/>
                <w:sz w:val="20"/>
                <w:szCs w:val="20"/>
              </w:rPr>
            </w:pPr>
            <w:r w:rsidRPr="00B54FD3">
              <w:rPr>
                <w:rFonts w:ascii="Times New Roman" w:hAnsi="Times New Roman"/>
                <w:color w:val="000000"/>
                <w:sz w:val="20"/>
                <w:szCs w:val="20"/>
              </w:rPr>
              <w:t>Белгородская обл., Респ. Коми, Ненецкий АО, Ленинградская обл., Краснодарский край, Ростовская обл., Карач.-Черкесская Респ., Ульяновская обл., Томская обл., Еврейская АО</w:t>
            </w:r>
            <w:r w:rsidR="00BF5E96">
              <w:rPr>
                <w:rFonts w:ascii="Times New Roman" w:hAnsi="Times New Roman"/>
                <w:color w:val="000000"/>
                <w:sz w:val="20"/>
                <w:szCs w:val="20"/>
              </w:rPr>
              <w:t xml:space="preserve"> (11 регионов)</w:t>
            </w:r>
          </w:p>
        </w:tc>
        <w:tc>
          <w:tcPr>
            <w:tcW w:w="894" w:type="pct"/>
            <w:tcMar>
              <w:top w:w="57" w:type="dxa"/>
              <w:left w:w="57" w:type="dxa"/>
              <w:bottom w:w="57" w:type="dxa"/>
              <w:right w:w="57" w:type="dxa"/>
            </w:tcMar>
            <w:vAlign w:val="center"/>
          </w:tcPr>
          <w:p w14:paraId="338831F3" w14:textId="487A256B" w:rsidR="00734DF0" w:rsidRPr="00B54FD3" w:rsidRDefault="00734DF0" w:rsidP="00B54F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B54FD3">
              <w:rPr>
                <w:rFonts w:ascii="Times New Roman" w:hAnsi="Times New Roman"/>
                <w:color w:val="000000"/>
                <w:sz w:val="20"/>
                <w:szCs w:val="20"/>
              </w:rPr>
              <w:t>10&lt;=x&lt;15</w:t>
            </w:r>
          </w:p>
        </w:tc>
      </w:tr>
      <w:tr w:rsidR="00734DF0" w:rsidRPr="00B54FD3" w14:paraId="389B0B79" w14:textId="77777777" w:rsidTr="00475296">
        <w:trPr>
          <w:trHeight w:val="20"/>
          <w:jc w:val="center"/>
        </w:trPr>
        <w:tc>
          <w:tcPr>
            <w:tcW w:w="4106" w:type="pct"/>
            <w:tcMar>
              <w:top w:w="57" w:type="dxa"/>
              <w:left w:w="57" w:type="dxa"/>
              <w:bottom w:w="57" w:type="dxa"/>
              <w:right w:w="57" w:type="dxa"/>
            </w:tcMar>
          </w:tcPr>
          <w:p w14:paraId="030A9B1B" w14:textId="2875F39C" w:rsidR="00734DF0" w:rsidRPr="00B54FD3" w:rsidRDefault="00B54FD3" w:rsidP="00B54FD3">
            <w:pPr>
              <w:spacing w:after="0" w:line="240" w:lineRule="auto"/>
              <w:rPr>
                <w:rFonts w:ascii="Times New Roman" w:hAnsi="Times New Roman"/>
                <w:color w:val="000000"/>
                <w:sz w:val="20"/>
                <w:szCs w:val="20"/>
              </w:rPr>
            </w:pPr>
            <w:r w:rsidRPr="00B54FD3">
              <w:rPr>
                <w:rFonts w:ascii="Times New Roman" w:hAnsi="Times New Roman"/>
                <w:color w:val="000000"/>
                <w:sz w:val="20"/>
                <w:szCs w:val="20"/>
              </w:rPr>
              <w:t xml:space="preserve">Владимирская обл., Костромская обл., Курская обл., Смоленская обл., Тульская обл., Ярославская обл., Респ. Карелия, </w:t>
            </w:r>
            <w:r w:rsidR="00B02A3B" w:rsidRPr="00B02A3B">
              <w:rPr>
                <w:rFonts w:ascii="Times New Roman" w:hAnsi="Times New Roman"/>
                <w:color w:val="000000"/>
                <w:sz w:val="20"/>
                <w:szCs w:val="20"/>
              </w:rPr>
              <w:t>Калининградская обл.</w:t>
            </w:r>
            <w:r w:rsidR="00B02A3B">
              <w:rPr>
                <w:rFonts w:ascii="Times New Roman" w:hAnsi="Times New Roman"/>
                <w:color w:val="000000"/>
                <w:sz w:val="20"/>
                <w:szCs w:val="20"/>
              </w:rPr>
              <w:t xml:space="preserve">, </w:t>
            </w:r>
            <w:r w:rsidRPr="00B54FD3">
              <w:rPr>
                <w:rFonts w:ascii="Times New Roman" w:hAnsi="Times New Roman"/>
                <w:color w:val="000000"/>
                <w:sz w:val="20"/>
                <w:szCs w:val="20"/>
              </w:rPr>
              <w:t>Новгородская обл., Пермский край, Кировская обл., Пензенская обл., Саратовская обл., Ямало-Ненецкий АО, Тюменская обл., Респ. Бурятия, Красноярский край, Иркутская обл., Новосибирская обл., Магаданская обл., Чукотский АО</w:t>
            </w:r>
            <w:r w:rsidR="00BF5E96">
              <w:rPr>
                <w:rFonts w:ascii="Times New Roman" w:hAnsi="Times New Roman"/>
                <w:color w:val="000000"/>
                <w:sz w:val="20"/>
                <w:szCs w:val="20"/>
              </w:rPr>
              <w:t xml:space="preserve"> (20 регионов)</w:t>
            </w:r>
          </w:p>
        </w:tc>
        <w:tc>
          <w:tcPr>
            <w:tcW w:w="894" w:type="pct"/>
            <w:tcMar>
              <w:top w:w="57" w:type="dxa"/>
              <w:left w:w="57" w:type="dxa"/>
              <w:bottom w:w="57" w:type="dxa"/>
              <w:right w:w="57" w:type="dxa"/>
            </w:tcMar>
            <w:vAlign w:val="center"/>
          </w:tcPr>
          <w:p w14:paraId="48ED1D1F" w14:textId="6D1FADA9" w:rsidR="00734DF0" w:rsidRPr="00B54FD3" w:rsidRDefault="00734DF0" w:rsidP="00B54F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B54FD3">
              <w:rPr>
                <w:rFonts w:ascii="Times New Roman" w:hAnsi="Times New Roman"/>
                <w:color w:val="000000"/>
                <w:sz w:val="20"/>
                <w:szCs w:val="20"/>
              </w:rPr>
              <w:t>15&lt;=x&lt;20</w:t>
            </w:r>
          </w:p>
        </w:tc>
      </w:tr>
      <w:tr w:rsidR="00734DF0" w:rsidRPr="00B54FD3" w14:paraId="15EC5B18" w14:textId="77777777" w:rsidTr="00475296">
        <w:trPr>
          <w:trHeight w:val="20"/>
          <w:jc w:val="center"/>
        </w:trPr>
        <w:tc>
          <w:tcPr>
            <w:tcW w:w="4106" w:type="pct"/>
            <w:tcMar>
              <w:top w:w="57" w:type="dxa"/>
              <w:left w:w="57" w:type="dxa"/>
              <w:bottom w:w="57" w:type="dxa"/>
              <w:right w:w="57" w:type="dxa"/>
            </w:tcMar>
          </w:tcPr>
          <w:p w14:paraId="2F13E6DE" w14:textId="30C7E0D7" w:rsidR="00734DF0" w:rsidRPr="00B54FD3" w:rsidRDefault="00B54FD3" w:rsidP="00B54FD3">
            <w:pPr>
              <w:spacing w:after="0" w:line="240" w:lineRule="auto"/>
              <w:rPr>
                <w:rFonts w:ascii="Times New Roman" w:hAnsi="Times New Roman"/>
                <w:bCs/>
                <w:iCs/>
                <w:color w:val="000000"/>
                <w:sz w:val="20"/>
                <w:szCs w:val="20"/>
              </w:rPr>
            </w:pPr>
            <w:r w:rsidRPr="00B54FD3">
              <w:rPr>
                <w:rFonts w:ascii="Times New Roman" w:hAnsi="Times New Roman"/>
                <w:bCs/>
                <w:iCs/>
                <w:color w:val="000000"/>
                <w:sz w:val="20"/>
                <w:szCs w:val="20"/>
              </w:rPr>
              <w:t>Воронежская обл., Ивановская обл., Рязанская обл., Тамбовская обл., Тверская обл., Архангельская обл., Респ. Калмыкия, Респ. Дагестан, Каб.-Балкарская Респ., Ставропольский край, Удмуртская Респ., Самарская обл., Курганская обл., Ханты-Мансийский АО – Югра, Респ. Алтай, Респ. Тыва, Алтайский край, Респ. Саха (Якутия), Камчатский край, Сахалинская обл.</w:t>
            </w:r>
            <w:r w:rsidR="00BF5E96">
              <w:rPr>
                <w:rFonts w:ascii="Times New Roman" w:hAnsi="Times New Roman"/>
                <w:bCs/>
                <w:iCs/>
                <w:color w:val="000000"/>
                <w:sz w:val="20"/>
                <w:szCs w:val="20"/>
              </w:rPr>
              <w:t xml:space="preserve"> </w:t>
            </w:r>
            <w:r w:rsidR="00BF5E96">
              <w:rPr>
                <w:rFonts w:ascii="Times New Roman" w:hAnsi="Times New Roman"/>
                <w:color w:val="000000"/>
                <w:sz w:val="20"/>
                <w:szCs w:val="20"/>
              </w:rPr>
              <w:t>(20 регионов)</w:t>
            </w:r>
          </w:p>
        </w:tc>
        <w:tc>
          <w:tcPr>
            <w:tcW w:w="894" w:type="pct"/>
            <w:tcMar>
              <w:top w:w="57" w:type="dxa"/>
              <w:left w:w="57" w:type="dxa"/>
              <w:bottom w:w="57" w:type="dxa"/>
              <w:right w:w="57" w:type="dxa"/>
            </w:tcMar>
            <w:vAlign w:val="center"/>
          </w:tcPr>
          <w:p w14:paraId="298C982F" w14:textId="483106FD" w:rsidR="00734DF0" w:rsidRPr="00B54FD3" w:rsidRDefault="00734DF0" w:rsidP="00B54F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B54FD3">
              <w:rPr>
                <w:rFonts w:ascii="Times New Roman" w:hAnsi="Times New Roman"/>
                <w:color w:val="000000"/>
                <w:sz w:val="20"/>
                <w:szCs w:val="20"/>
              </w:rPr>
              <w:t>x&gt;=20</w:t>
            </w:r>
          </w:p>
        </w:tc>
      </w:tr>
    </w:tbl>
    <w:p w14:paraId="03940AE1" w14:textId="240A9A16" w:rsidR="00AC1F36" w:rsidRPr="00AC1F36" w:rsidRDefault="00F41B14" w:rsidP="00F41B14">
      <w:pPr>
        <w:spacing w:after="0" w:line="240" w:lineRule="auto"/>
        <w:contextualSpacing/>
        <w:jc w:val="both"/>
        <w:rPr>
          <w:rFonts w:ascii="Times New Roman" w:hAnsi="Times New Roman"/>
          <w:sz w:val="20"/>
          <w:szCs w:val="20"/>
        </w:rPr>
      </w:pPr>
      <w:r>
        <w:rPr>
          <w:rFonts w:ascii="Times New Roman" w:hAnsi="Times New Roman"/>
          <w:sz w:val="20"/>
          <w:szCs w:val="20"/>
        </w:rPr>
        <w:t>*</w:t>
      </w:r>
      <w:r w:rsidR="00AC1F36" w:rsidRPr="00AC1F36">
        <w:rPr>
          <w:rFonts w:ascii="Times New Roman" w:hAnsi="Times New Roman"/>
          <w:sz w:val="20"/>
          <w:szCs w:val="20"/>
        </w:rPr>
        <w:t xml:space="preserve">Источник: </w:t>
      </w:r>
      <w:r w:rsidR="00734DF0" w:rsidRPr="00734DF0">
        <w:rPr>
          <w:rFonts w:ascii="Times New Roman" w:hAnsi="Times New Roman"/>
          <w:sz w:val="20"/>
          <w:szCs w:val="20"/>
        </w:rPr>
        <w:t xml:space="preserve">составлено </w:t>
      </w:r>
      <w:r w:rsidR="00734DF0">
        <w:rPr>
          <w:rFonts w:ascii="Times New Roman" w:hAnsi="Times New Roman"/>
          <w:sz w:val="20"/>
          <w:szCs w:val="20"/>
        </w:rPr>
        <w:t xml:space="preserve">по результатам </w:t>
      </w:r>
      <w:r w:rsidR="00734DF0" w:rsidRPr="00734DF0">
        <w:rPr>
          <w:rFonts w:ascii="Times New Roman" w:hAnsi="Times New Roman"/>
          <w:sz w:val="20"/>
          <w:szCs w:val="20"/>
        </w:rPr>
        <w:t>анализ</w:t>
      </w:r>
      <w:r w:rsidR="00734DF0">
        <w:rPr>
          <w:rFonts w:ascii="Times New Roman" w:hAnsi="Times New Roman"/>
          <w:sz w:val="20"/>
          <w:szCs w:val="20"/>
        </w:rPr>
        <w:t>а</w:t>
      </w:r>
      <w:r w:rsidR="00734DF0" w:rsidRPr="00734DF0">
        <w:rPr>
          <w:rFonts w:ascii="Times New Roman" w:hAnsi="Times New Roman"/>
          <w:sz w:val="20"/>
          <w:szCs w:val="20"/>
        </w:rPr>
        <w:t xml:space="preserve"> регионального законодательства</w:t>
      </w:r>
      <w:r w:rsidR="00734DF0">
        <w:rPr>
          <w:rFonts w:ascii="Times New Roman" w:hAnsi="Times New Roman"/>
          <w:sz w:val="20"/>
          <w:szCs w:val="20"/>
        </w:rPr>
        <w:t xml:space="preserve"> по состоянию на весну 2023 года.</w:t>
      </w:r>
    </w:p>
    <w:p w14:paraId="0DBA2CC4" w14:textId="77777777" w:rsidR="003C295C" w:rsidRPr="00992C1C" w:rsidRDefault="003C295C" w:rsidP="00F41B14">
      <w:pPr>
        <w:spacing w:after="0" w:line="240" w:lineRule="auto"/>
        <w:ind w:firstLine="709"/>
        <w:jc w:val="both"/>
        <w:rPr>
          <w:rFonts w:ascii="Times New Roman" w:hAnsi="Times New Roman"/>
          <w:sz w:val="24"/>
          <w:szCs w:val="24"/>
        </w:rPr>
      </w:pPr>
    </w:p>
    <w:p w14:paraId="5AD09582" w14:textId="38230B07" w:rsidR="002C057C" w:rsidRPr="00992C1C" w:rsidRDefault="003E496C" w:rsidP="00F41B14">
      <w:pPr>
        <w:spacing w:after="0" w:line="240" w:lineRule="auto"/>
        <w:ind w:firstLine="709"/>
        <w:jc w:val="both"/>
        <w:rPr>
          <w:rFonts w:ascii="Times New Roman" w:hAnsi="Times New Roman"/>
          <w:sz w:val="24"/>
          <w:szCs w:val="24"/>
        </w:rPr>
      </w:pPr>
      <w:bookmarkStart w:id="5" w:name="_Hlk134899807"/>
      <w:r>
        <w:rPr>
          <w:rFonts w:ascii="Times New Roman" w:hAnsi="Times New Roman"/>
          <w:sz w:val="24"/>
          <w:szCs w:val="24"/>
        </w:rPr>
        <w:lastRenderedPageBreak/>
        <w:t xml:space="preserve">Наибольшее число нормативов отчислений в расчете на единицу числа субъектов в федеральном округе учреждено в </w:t>
      </w:r>
      <w:r w:rsidR="00BF5E96">
        <w:rPr>
          <w:rFonts w:ascii="Times New Roman" w:hAnsi="Times New Roman"/>
          <w:sz w:val="24"/>
          <w:szCs w:val="24"/>
        </w:rPr>
        <w:t xml:space="preserve">Уральском, </w:t>
      </w:r>
      <w:r>
        <w:rPr>
          <w:rFonts w:ascii="Times New Roman" w:hAnsi="Times New Roman"/>
          <w:sz w:val="24"/>
          <w:szCs w:val="24"/>
        </w:rPr>
        <w:t>Дальневосточном</w:t>
      </w:r>
      <w:r w:rsidR="00BF5E96">
        <w:rPr>
          <w:rFonts w:ascii="Times New Roman" w:hAnsi="Times New Roman"/>
          <w:sz w:val="24"/>
          <w:szCs w:val="24"/>
        </w:rPr>
        <w:t>, Сибирском</w:t>
      </w:r>
      <w:r>
        <w:rPr>
          <w:rFonts w:ascii="Times New Roman" w:hAnsi="Times New Roman"/>
          <w:sz w:val="24"/>
          <w:szCs w:val="24"/>
        </w:rPr>
        <w:t xml:space="preserve"> и Центральном округах, наименьшее – в Южном и Северо-Кавказском </w:t>
      </w:r>
      <w:r w:rsidR="002C057C" w:rsidRPr="00992C1C">
        <w:rPr>
          <w:rFonts w:ascii="Times New Roman" w:hAnsi="Times New Roman"/>
          <w:sz w:val="24"/>
          <w:szCs w:val="24"/>
        </w:rPr>
        <w:t xml:space="preserve">(рисунок </w:t>
      </w:r>
      <w:r w:rsidR="00475296">
        <w:rPr>
          <w:rFonts w:ascii="Times New Roman" w:hAnsi="Times New Roman"/>
          <w:sz w:val="24"/>
          <w:szCs w:val="24"/>
        </w:rPr>
        <w:t>1</w:t>
      </w:r>
      <w:r w:rsidR="002C057C" w:rsidRPr="00992C1C">
        <w:rPr>
          <w:rFonts w:ascii="Times New Roman" w:hAnsi="Times New Roman"/>
          <w:sz w:val="24"/>
          <w:szCs w:val="24"/>
        </w:rPr>
        <w:t xml:space="preserve">). </w:t>
      </w:r>
    </w:p>
    <w:p w14:paraId="0F048C19" w14:textId="77777777" w:rsidR="002C057C" w:rsidRPr="00992C1C" w:rsidRDefault="002C057C" w:rsidP="00F41B14">
      <w:pPr>
        <w:spacing w:after="0" w:line="240" w:lineRule="auto"/>
        <w:ind w:firstLine="709"/>
        <w:jc w:val="both"/>
        <w:rPr>
          <w:rFonts w:ascii="Times New Roman" w:hAnsi="Times New Roman"/>
          <w:sz w:val="24"/>
          <w:szCs w:val="24"/>
        </w:rPr>
      </w:pPr>
    </w:p>
    <w:p w14:paraId="3C7F55D4" w14:textId="77777777" w:rsidR="002C057C" w:rsidRPr="00992C1C" w:rsidRDefault="002C057C" w:rsidP="002C057C">
      <w:pPr>
        <w:spacing w:after="0" w:line="360" w:lineRule="auto"/>
        <w:jc w:val="center"/>
        <w:rPr>
          <w:rFonts w:ascii="Times New Roman" w:hAnsi="Times New Roman"/>
          <w:sz w:val="24"/>
          <w:szCs w:val="24"/>
          <w:lang w:eastAsia="ru-RU"/>
        </w:rPr>
      </w:pPr>
      <w:r>
        <w:rPr>
          <w:rFonts w:ascii="Times New Roman" w:hAnsi="Times New Roman"/>
          <w:noProof/>
          <w:sz w:val="24"/>
          <w:szCs w:val="24"/>
          <w:lang w:eastAsia="ru-RU"/>
        </w:rPr>
        <w:drawing>
          <wp:inline distT="0" distB="0" distL="0" distR="0" wp14:anchorId="5C66F819" wp14:editId="480CE13B">
            <wp:extent cx="5613010" cy="2096086"/>
            <wp:effectExtent l="0" t="0" r="6985" b="0"/>
            <wp:docPr id="1132634567" name="Диаграмма 113263456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A0639AC" w14:textId="18F9019F" w:rsidR="00E038A8" w:rsidRPr="00992C1C" w:rsidRDefault="00E038A8" w:rsidP="00F41B14">
      <w:pPr>
        <w:spacing w:after="0" w:line="240" w:lineRule="auto"/>
        <w:ind w:firstLine="567"/>
        <w:contextualSpacing/>
        <w:jc w:val="both"/>
        <w:rPr>
          <w:rFonts w:ascii="Times New Roman" w:hAnsi="Times New Roman"/>
          <w:sz w:val="20"/>
          <w:szCs w:val="20"/>
        </w:rPr>
      </w:pPr>
      <w:r w:rsidRPr="00992C1C">
        <w:rPr>
          <w:rFonts w:ascii="Times New Roman" w:hAnsi="Times New Roman"/>
          <w:sz w:val="20"/>
          <w:szCs w:val="20"/>
        </w:rPr>
        <w:t xml:space="preserve">Источник: </w:t>
      </w:r>
      <w:r>
        <w:rPr>
          <w:rFonts w:ascii="Times New Roman" w:hAnsi="Times New Roman"/>
          <w:sz w:val="20"/>
          <w:szCs w:val="20"/>
        </w:rPr>
        <w:t>составлено автором по результатам анализа регионального законодательства.</w:t>
      </w:r>
    </w:p>
    <w:p w14:paraId="2DD0E036" w14:textId="45149610" w:rsidR="002C057C" w:rsidRPr="00F41B14" w:rsidRDefault="002C057C" w:rsidP="00F41B14">
      <w:pPr>
        <w:keepNext/>
        <w:spacing w:after="0" w:line="240" w:lineRule="auto"/>
        <w:jc w:val="center"/>
        <w:outlineLvl w:val="0"/>
        <w:rPr>
          <w:rFonts w:ascii="Times New Roman" w:eastAsia="Times New Roman" w:hAnsi="Times New Roman"/>
          <w:b/>
          <w:kern w:val="32"/>
          <w:sz w:val="24"/>
          <w:szCs w:val="24"/>
        </w:rPr>
      </w:pPr>
      <w:r w:rsidRPr="00992C1C">
        <w:rPr>
          <w:rFonts w:ascii="Times New Roman" w:eastAsia="Times New Roman" w:hAnsi="Times New Roman"/>
          <w:bCs/>
          <w:kern w:val="32"/>
          <w:sz w:val="24"/>
          <w:szCs w:val="24"/>
        </w:rPr>
        <w:t>Рис</w:t>
      </w:r>
      <w:r w:rsidR="00F41B14">
        <w:rPr>
          <w:rFonts w:ascii="Times New Roman" w:eastAsia="Times New Roman" w:hAnsi="Times New Roman"/>
          <w:bCs/>
          <w:kern w:val="32"/>
          <w:sz w:val="24"/>
          <w:szCs w:val="24"/>
        </w:rPr>
        <w:t>.</w:t>
      </w:r>
      <w:r w:rsidRPr="00992C1C">
        <w:rPr>
          <w:rFonts w:ascii="Times New Roman" w:eastAsia="Times New Roman" w:hAnsi="Times New Roman"/>
          <w:bCs/>
          <w:kern w:val="32"/>
          <w:sz w:val="24"/>
          <w:szCs w:val="24"/>
        </w:rPr>
        <w:t xml:space="preserve"> </w:t>
      </w:r>
      <w:r w:rsidR="00475296">
        <w:rPr>
          <w:rFonts w:ascii="Times New Roman" w:eastAsia="Times New Roman" w:hAnsi="Times New Roman"/>
          <w:bCs/>
          <w:kern w:val="32"/>
          <w:sz w:val="24"/>
          <w:szCs w:val="24"/>
        </w:rPr>
        <w:t>1</w:t>
      </w:r>
      <w:r w:rsidR="00F41B14">
        <w:rPr>
          <w:rFonts w:ascii="Times New Roman" w:eastAsia="Times New Roman" w:hAnsi="Times New Roman"/>
          <w:bCs/>
          <w:kern w:val="32"/>
          <w:sz w:val="24"/>
          <w:szCs w:val="24"/>
        </w:rPr>
        <w:t>.</w:t>
      </w:r>
      <w:r w:rsidRPr="00992C1C">
        <w:rPr>
          <w:rFonts w:ascii="Times New Roman" w:eastAsia="Times New Roman" w:hAnsi="Times New Roman"/>
          <w:bCs/>
          <w:kern w:val="32"/>
          <w:sz w:val="24"/>
          <w:szCs w:val="24"/>
        </w:rPr>
        <w:t xml:space="preserve"> </w:t>
      </w:r>
      <w:r w:rsidRPr="00F41B14">
        <w:rPr>
          <w:rFonts w:ascii="Times New Roman" w:eastAsia="Times New Roman" w:hAnsi="Times New Roman"/>
          <w:b/>
          <w:kern w:val="32"/>
          <w:sz w:val="24"/>
          <w:szCs w:val="24"/>
        </w:rPr>
        <w:t xml:space="preserve">Число субъектов </w:t>
      </w:r>
      <w:r w:rsidR="00026F6A" w:rsidRPr="00026F6A">
        <w:rPr>
          <w:rFonts w:ascii="Times New Roman" w:eastAsia="Times New Roman" w:hAnsi="Times New Roman"/>
          <w:b/>
          <w:kern w:val="32"/>
          <w:sz w:val="24"/>
          <w:szCs w:val="24"/>
        </w:rPr>
        <w:t>Российской Федерации</w:t>
      </w:r>
      <w:r w:rsidRPr="00F41B14">
        <w:rPr>
          <w:rFonts w:ascii="Times New Roman" w:eastAsia="Times New Roman" w:hAnsi="Times New Roman"/>
          <w:b/>
          <w:kern w:val="32"/>
          <w:sz w:val="24"/>
          <w:szCs w:val="24"/>
        </w:rPr>
        <w:t xml:space="preserve"> с </w:t>
      </w:r>
      <w:r w:rsidR="00E038A8" w:rsidRPr="00F41B14">
        <w:rPr>
          <w:rFonts w:ascii="Times New Roman" w:eastAsia="Times New Roman" w:hAnsi="Times New Roman"/>
          <w:b/>
          <w:kern w:val="32"/>
          <w:sz w:val="24"/>
          <w:szCs w:val="24"/>
        </w:rPr>
        <w:t xml:space="preserve">едиными </w:t>
      </w:r>
      <w:r w:rsidRPr="00F41B14">
        <w:rPr>
          <w:rFonts w:ascii="Times New Roman" w:eastAsia="Times New Roman" w:hAnsi="Times New Roman"/>
          <w:b/>
          <w:kern w:val="32"/>
          <w:sz w:val="24"/>
          <w:szCs w:val="24"/>
        </w:rPr>
        <w:t>нормативами отчислений по налогу на доходы физлиц в разрезе федеральных округов, ед.</w:t>
      </w:r>
    </w:p>
    <w:p w14:paraId="413654FB" w14:textId="77777777" w:rsidR="002C057C" w:rsidRPr="00992C1C" w:rsidRDefault="002C057C" w:rsidP="00F41B14">
      <w:pPr>
        <w:spacing w:after="0" w:line="240" w:lineRule="auto"/>
        <w:ind w:firstLine="709"/>
        <w:jc w:val="both"/>
        <w:rPr>
          <w:rFonts w:ascii="Times New Roman" w:hAnsi="Times New Roman"/>
          <w:sz w:val="24"/>
          <w:szCs w:val="24"/>
        </w:rPr>
      </w:pPr>
    </w:p>
    <w:p w14:paraId="48D96A83" w14:textId="03D527A9" w:rsidR="003C295C" w:rsidRPr="00992C1C" w:rsidRDefault="00BF5E96" w:rsidP="00F41B14">
      <w:pPr>
        <w:spacing w:after="0" w:line="240" w:lineRule="auto"/>
        <w:ind w:firstLine="709"/>
        <w:jc w:val="both"/>
        <w:rPr>
          <w:rFonts w:ascii="Times New Roman" w:hAnsi="Times New Roman"/>
          <w:sz w:val="24"/>
          <w:szCs w:val="24"/>
        </w:rPr>
      </w:pPr>
      <w:r>
        <w:rPr>
          <w:rFonts w:ascii="Times New Roman" w:hAnsi="Times New Roman"/>
          <w:sz w:val="24"/>
          <w:szCs w:val="24"/>
        </w:rPr>
        <w:t>Вместе с тем наибольшее значение норматива наблюдается в регионах Северо-Кавказского</w:t>
      </w:r>
      <w:r w:rsidRPr="00BF5E96">
        <w:rPr>
          <w:rFonts w:ascii="Times New Roman" w:hAnsi="Times New Roman"/>
          <w:sz w:val="24"/>
          <w:szCs w:val="24"/>
        </w:rPr>
        <w:t xml:space="preserve"> </w:t>
      </w:r>
      <w:r>
        <w:rPr>
          <w:rFonts w:ascii="Times New Roman" w:hAnsi="Times New Roman"/>
          <w:sz w:val="24"/>
          <w:szCs w:val="24"/>
        </w:rPr>
        <w:t xml:space="preserve">федерального округа, и лишь за ними следуют регионы </w:t>
      </w:r>
      <w:r w:rsidRPr="00BF5E96">
        <w:rPr>
          <w:rFonts w:ascii="Times New Roman" w:hAnsi="Times New Roman"/>
          <w:sz w:val="24"/>
          <w:szCs w:val="24"/>
        </w:rPr>
        <w:t>Уральско</w:t>
      </w:r>
      <w:r>
        <w:rPr>
          <w:rFonts w:ascii="Times New Roman" w:hAnsi="Times New Roman"/>
          <w:sz w:val="24"/>
          <w:szCs w:val="24"/>
        </w:rPr>
        <w:t>го,</w:t>
      </w:r>
      <w:r w:rsidRPr="00BF5E96">
        <w:rPr>
          <w:rFonts w:ascii="Times New Roman" w:hAnsi="Times New Roman"/>
          <w:sz w:val="24"/>
          <w:szCs w:val="24"/>
        </w:rPr>
        <w:t xml:space="preserve"> Дальневосточно</w:t>
      </w:r>
      <w:r>
        <w:rPr>
          <w:rFonts w:ascii="Times New Roman" w:hAnsi="Times New Roman"/>
          <w:sz w:val="24"/>
          <w:szCs w:val="24"/>
        </w:rPr>
        <w:t>го</w:t>
      </w:r>
      <w:r w:rsidRPr="00BF5E96">
        <w:rPr>
          <w:rFonts w:ascii="Times New Roman" w:hAnsi="Times New Roman"/>
          <w:sz w:val="24"/>
          <w:szCs w:val="24"/>
        </w:rPr>
        <w:t>, Сибирско</w:t>
      </w:r>
      <w:r>
        <w:rPr>
          <w:rFonts w:ascii="Times New Roman" w:hAnsi="Times New Roman"/>
          <w:sz w:val="24"/>
          <w:szCs w:val="24"/>
        </w:rPr>
        <w:t>го</w:t>
      </w:r>
      <w:r w:rsidRPr="00BF5E96">
        <w:rPr>
          <w:rFonts w:ascii="Times New Roman" w:hAnsi="Times New Roman"/>
          <w:sz w:val="24"/>
          <w:szCs w:val="24"/>
        </w:rPr>
        <w:t xml:space="preserve"> и Центрально</w:t>
      </w:r>
      <w:r>
        <w:rPr>
          <w:rFonts w:ascii="Times New Roman" w:hAnsi="Times New Roman"/>
          <w:sz w:val="24"/>
          <w:szCs w:val="24"/>
        </w:rPr>
        <w:t>го</w:t>
      </w:r>
      <w:r w:rsidRPr="00BF5E96">
        <w:rPr>
          <w:rFonts w:ascii="Times New Roman" w:hAnsi="Times New Roman"/>
          <w:sz w:val="24"/>
          <w:szCs w:val="24"/>
        </w:rPr>
        <w:t xml:space="preserve"> окру</w:t>
      </w:r>
      <w:r>
        <w:rPr>
          <w:rFonts w:ascii="Times New Roman" w:hAnsi="Times New Roman"/>
          <w:sz w:val="24"/>
          <w:szCs w:val="24"/>
        </w:rPr>
        <w:t xml:space="preserve">гов, в которых распределение значений нормативов примерно совпадает </w:t>
      </w:r>
      <w:r w:rsidRPr="00992C1C">
        <w:rPr>
          <w:rFonts w:ascii="Times New Roman" w:hAnsi="Times New Roman"/>
          <w:sz w:val="24"/>
          <w:szCs w:val="24"/>
        </w:rPr>
        <w:t xml:space="preserve">(рисунок </w:t>
      </w:r>
      <w:r w:rsidR="00475296">
        <w:rPr>
          <w:rFonts w:ascii="Times New Roman" w:hAnsi="Times New Roman"/>
          <w:sz w:val="24"/>
          <w:szCs w:val="24"/>
        </w:rPr>
        <w:t>2</w:t>
      </w:r>
      <w:r w:rsidRPr="00992C1C">
        <w:rPr>
          <w:rFonts w:ascii="Times New Roman" w:hAnsi="Times New Roman"/>
          <w:sz w:val="24"/>
          <w:szCs w:val="24"/>
        </w:rPr>
        <w:t xml:space="preserve">). </w:t>
      </w:r>
      <w:r>
        <w:rPr>
          <w:rFonts w:ascii="Times New Roman" w:hAnsi="Times New Roman"/>
          <w:sz w:val="24"/>
          <w:szCs w:val="24"/>
        </w:rPr>
        <w:t>В Северо-Западном и Южном федеральных округах нормативы отчислений минимальны.</w:t>
      </w:r>
    </w:p>
    <w:p w14:paraId="4822446D" w14:textId="77777777" w:rsidR="00992C1C" w:rsidRPr="00992C1C" w:rsidRDefault="00992C1C" w:rsidP="00F41B14">
      <w:pPr>
        <w:spacing w:after="0" w:line="240" w:lineRule="auto"/>
        <w:ind w:firstLine="709"/>
        <w:jc w:val="both"/>
        <w:rPr>
          <w:rFonts w:ascii="Times New Roman" w:hAnsi="Times New Roman"/>
          <w:sz w:val="24"/>
          <w:szCs w:val="24"/>
        </w:rPr>
      </w:pPr>
    </w:p>
    <w:p w14:paraId="65A7DBA4" w14:textId="20AA628D" w:rsidR="00992C1C" w:rsidRPr="00992C1C" w:rsidRDefault="00992C1C" w:rsidP="00992C1C">
      <w:pPr>
        <w:spacing w:after="0" w:line="360" w:lineRule="auto"/>
        <w:jc w:val="center"/>
        <w:rPr>
          <w:rFonts w:ascii="Times New Roman" w:hAnsi="Times New Roman"/>
          <w:sz w:val="24"/>
          <w:szCs w:val="24"/>
          <w:lang w:eastAsia="ru-RU"/>
        </w:rPr>
      </w:pPr>
      <w:bookmarkStart w:id="6" w:name="_Hlk134910623"/>
      <w:bookmarkStart w:id="7" w:name="_Hlk134899838"/>
      <w:r>
        <w:rPr>
          <w:rFonts w:ascii="Times New Roman" w:hAnsi="Times New Roman"/>
          <w:noProof/>
          <w:sz w:val="24"/>
          <w:szCs w:val="24"/>
          <w:lang w:eastAsia="ru-RU"/>
        </w:rPr>
        <w:drawing>
          <wp:inline distT="0" distB="0" distL="0" distR="0" wp14:anchorId="43937811" wp14:editId="5C1EBC4C">
            <wp:extent cx="5690382" cy="2201594"/>
            <wp:effectExtent l="0" t="0" r="5715" b="8255"/>
            <wp:docPr id="138916008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4B9F4B6" w14:textId="3CED9580" w:rsidR="00E038A8" w:rsidRPr="00992C1C" w:rsidRDefault="00E038A8" w:rsidP="00F41B14">
      <w:pPr>
        <w:spacing w:after="0" w:line="240" w:lineRule="auto"/>
        <w:ind w:firstLine="567"/>
        <w:contextualSpacing/>
        <w:jc w:val="both"/>
        <w:rPr>
          <w:rFonts w:ascii="Times New Roman" w:hAnsi="Times New Roman"/>
          <w:sz w:val="20"/>
          <w:szCs w:val="20"/>
        </w:rPr>
      </w:pPr>
      <w:r w:rsidRPr="00992C1C">
        <w:rPr>
          <w:rFonts w:ascii="Times New Roman" w:hAnsi="Times New Roman"/>
          <w:sz w:val="20"/>
          <w:szCs w:val="20"/>
        </w:rPr>
        <w:t xml:space="preserve">Источник: </w:t>
      </w:r>
      <w:r>
        <w:rPr>
          <w:rFonts w:ascii="Times New Roman" w:hAnsi="Times New Roman"/>
          <w:sz w:val="20"/>
          <w:szCs w:val="20"/>
        </w:rPr>
        <w:t>составлено автором по результатам анализа регионального законодательства.</w:t>
      </w:r>
    </w:p>
    <w:p w14:paraId="5A7397C6" w14:textId="5D245847" w:rsidR="00992C1C" w:rsidRPr="00F41B14" w:rsidRDefault="00992C1C" w:rsidP="00F41B14">
      <w:pPr>
        <w:keepNext/>
        <w:spacing w:after="0" w:line="240" w:lineRule="auto"/>
        <w:jc w:val="center"/>
        <w:outlineLvl w:val="0"/>
        <w:rPr>
          <w:rFonts w:ascii="Times New Roman" w:eastAsia="Times New Roman" w:hAnsi="Times New Roman"/>
          <w:b/>
          <w:kern w:val="32"/>
          <w:sz w:val="24"/>
          <w:szCs w:val="24"/>
        </w:rPr>
      </w:pPr>
      <w:r w:rsidRPr="00992C1C">
        <w:rPr>
          <w:rFonts w:ascii="Times New Roman" w:eastAsia="Times New Roman" w:hAnsi="Times New Roman"/>
          <w:bCs/>
          <w:kern w:val="32"/>
          <w:sz w:val="24"/>
          <w:szCs w:val="24"/>
        </w:rPr>
        <w:t>Рис</w:t>
      </w:r>
      <w:r w:rsidR="00F41B14">
        <w:rPr>
          <w:rFonts w:ascii="Times New Roman" w:eastAsia="Times New Roman" w:hAnsi="Times New Roman"/>
          <w:bCs/>
          <w:kern w:val="32"/>
          <w:sz w:val="24"/>
          <w:szCs w:val="24"/>
        </w:rPr>
        <w:t>.</w:t>
      </w:r>
      <w:r w:rsidRPr="00992C1C">
        <w:rPr>
          <w:rFonts w:ascii="Times New Roman" w:eastAsia="Times New Roman" w:hAnsi="Times New Roman"/>
          <w:bCs/>
          <w:kern w:val="32"/>
          <w:sz w:val="24"/>
          <w:szCs w:val="24"/>
        </w:rPr>
        <w:t xml:space="preserve"> </w:t>
      </w:r>
      <w:r w:rsidR="00475296">
        <w:rPr>
          <w:rFonts w:ascii="Times New Roman" w:eastAsia="Times New Roman" w:hAnsi="Times New Roman"/>
          <w:bCs/>
          <w:kern w:val="32"/>
          <w:sz w:val="24"/>
          <w:szCs w:val="24"/>
        </w:rPr>
        <w:t>2</w:t>
      </w:r>
      <w:r w:rsidR="00F41B14">
        <w:rPr>
          <w:rFonts w:ascii="Times New Roman" w:eastAsia="Times New Roman" w:hAnsi="Times New Roman"/>
          <w:bCs/>
          <w:kern w:val="32"/>
          <w:sz w:val="24"/>
          <w:szCs w:val="24"/>
        </w:rPr>
        <w:t>.</w:t>
      </w:r>
      <w:r w:rsidRPr="00992C1C">
        <w:rPr>
          <w:rFonts w:ascii="Times New Roman" w:eastAsia="Times New Roman" w:hAnsi="Times New Roman"/>
          <w:bCs/>
          <w:kern w:val="32"/>
          <w:sz w:val="24"/>
          <w:szCs w:val="24"/>
        </w:rPr>
        <w:t xml:space="preserve"> </w:t>
      </w:r>
      <w:r w:rsidRPr="00F41B14">
        <w:rPr>
          <w:rFonts w:ascii="Times New Roman" w:eastAsia="Times New Roman" w:hAnsi="Times New Roman"/>
          <w:b/>
          <w:kern w:val="32"/>
          <w:sz w:val="24"/>
          <w:szCs w:val="24"/>
        </w:rPr>
        <w:t xml:space="preserve">Величина </w:t>
      </w:r>
      <w:r w:rsidR="00E038A8" w:rsidRPr="00F41B14">
        <w:rPr>
          <w:rFonts w:ascii="Times New Roman" w:eastAsia="Times New Roman" w:hAnsi="Times New Roman"/>
          <w:b/>
          <w:kern w:val="32"/>
          <w:sz w:val="24"/>
          <w:szCs w:val="24"/>
        </w:rPr>
        <w:t xml:space="preserve">единых </w:t>
      </w:r>
      <w:r w:rsidRPr="00F41B14">
        <w:rPr>
          <w:rFonts w:ascii="Times New Roman" w:eastAsia="Times New Roman" w:hAnsi="Times New Roman"/>
          <w:b/>
          <w:kern w:val="32"/>
          <w:sz w:val="24"/>
          <w:szCs w:val="24"/>
        </w:rPr>
        <w:t xml:space="preserve">нормативов отчислений по налогу на доходы физлиц в субъекте </w:t>
      </w:r>
      <w:r w:rsidR="00026F6A" w:rsidRPr="00026F6A">
        <w:rPr>
          <w:rFonts w:ascii="Times New Roman" w:eastAsia="Times New Roman" w:hAnsi="Times New Roman"/>
          <w:b/>
          <w:kern w:val="32"/>
          <w:sz w:val="24"/>
          <w:szCs w:val="24"/>
        </w:rPr>
        <w:t>Российской Федерации</w:t>
      </w:r>
      <w:r w:rsidRPr="00F41B14">
        <w:rPr>
          <w:rFonts w:ascii="Times New Roman" w:eastAsia="Times New Roman" w:hAnsi="Times New Roman"/>
          <w:b/>
          <w:kern w:val="32"/>
          <w:sz w:val="24"/>
          <w:szCs w:val="24"/>
        </w:rPr>
        <w:t xml:space="preserve"> в разрезе федеральных округов, ед.</w:t>
      </w:r>
    </w:p>
    <w:bookmarkEnd w:id="6"/>
    <w:p w14:paraId="1F926EA2" w14:textId="77777777" w:rsidR="00992C1C" w:rsidRPr="00992C1C" w:rsidRDefault="00992C1C" w:rsidP="00F41B14">
      <w:pPr>
        <w:spacing w:after="0" w:line="240" w:lineRule="auto"/>
        <w:ind w:firstLine="709"/>
        <w:jc w:val="both"/>
        <w:rPr>
          <w:rFonts w:ascii="Times New Roman" w:hAnsi="Times New Roman"/>
          <w:sz w:val="24"/>
          <w:szCs w:val="24"/>
        </w:rPr>
      </w:pPr>
    </w:p>
    <w:bookmarkEnd w:id="7"/>
    <w:p w14:paraId="128A940D" w14:textId="343AC445" w:rsidR="00002645" w:rsidRDefault="00002645" w:rsidP="00F41B14">
      <w:pPr>
        <w:spacing w:after="0" w:line="240" w:lineRule="auto"/>
        <w:ind w:firstLine="709"/>
        <w:jc w:val="both"/>
        <w:rPr>
          <w:rFonts w:ascii="Times New Roman" w:hAnsi="Times New Roman"/>
          <w:sz w:val="24"/>
          <w:szCs w:val="24"/>
        </w:rPr>
      </w:pPr>
      <w:r>
        <w:rPr>
          <w:rFonts w:ascii="Times New Roman" w:hAnsi="Times New Roman"/>
          <w:sz w:val="24"/>
          <w:szCs w:val="24"/>
        </w:rPr>
        <w:t xml:space="preserve">Между </w:t>
      </w:r>
      <w:r w:rsidR="00E038A8">
        <w:rPr>
          <w:rFonts w:ascii="Times New Roman" w:hAnsi="Times New Roman"/>
          <w:sz w:val="24"/>
          <w:szCs w:val="24"/>
        </w:rPr>
        <w:t xml:space="preserve">едиными </w:t>
      </w:r>
      <w:r w:rsidRPr="00002645">
        <w:rPr>
          <w:rFonts w:ascii="Times New Roman" w:hAnsi="Times New Roman"/>
          <w:sz w:val="24"/>
          <w:szCs w:val="24"/>
        </w:rPr>
        <w:t>норматив</w:t>
      </w:r>
      <w:r>
        <w:rPr>
          <w:rFonts w:ascii="Times New Roman" w:hAnsi="Times New Roman"/>
          <w:sz w:val="24"/>
          <w:szCs w:val="24"/>
        </w:rPr>
        <w:t>ами</w:t>
      </w:r>
      <w:r w:rsidRPr="00002645">
        <w:rPr>
          <w:rFonts w:ascii="Times New Roman" w:hAnsi="Times New Roman"/>
          <w:sz w:val="24"/>
          <w:szCs w:val="24"/>
        </w:rPr>
        <w:t xml:space="preserve"> отчислений по </w:t>
      </w:r>
      <w:r>
        <w:rPr>
          <w:rFonts w:ascii="Times New Roman" w:hAnsi="Times New Roman"/>
          <w:sz w:val="24"/>
          <w:szCs w:val="24"/>
        </w:rPr>
        <w:t>НДФЛ и у</w:t>
      </w:r>
      <w:r w:rsidRPr="00002645">
        <w:rPr>
          <w:rFonts w:ascii="Times New Roman" w:hAnsi="Times New Roman"/>
          <w:sz w:val="24"/>
          <w:szCs w:val="24"/>
        </w:rPr>
        <w:t>ровн</w:t>
      </w:r>
      <w:r>
        <w:rPr>
          <w:rFonts w:ascii="Times New Roman" w:hAnsi="Times New Roman"/>
          <w:sz w:val="24"/>
          <w:szCs w:val="24"/>
        </w:rPr>
        <w:t>ем</w:t>
      </w:r>
      <w:r w:rsidRPr="00002645">
        <w:rPr>
          <w:rFonts w:ascii="Times New Roman" w:hAnsi="Times New Roman"/>
          <w:sz w:val="24"/>
          <w:szCs w:val="24"/>
        </w:rPr>
        <w:t xml:space="preserve"> бюджетной обеспеченности субъект</w:t>
      </w:r>
      <w:r>
        <w:rPr>
          <w:rFonts w:ascii="Times New Roman" w:hAnsi="Times New Roman"/>
          <w:sz w:val="24"/>
          <w:szCs w:val="24"/>
        </w:rPr>
        <w:t>ов</w:t>
      </w:r>
      <w:r w:rsidRPr="00002645">
        <w:rPr>
          <w:rFonts w:ascii="Times New Roman" w:hAnsi="Times New Roman"/>
          <w:sz w:val="24"/>
          <w:szCs w:val="24"/>
        </w:rPr>
        <w:t xml:space="preserve"> </w:t>
      </w:r>
      <w:r w:rsidR="00026F6A" w:rsidRPr="00026F6A">
        <w:rPr>
          <w:rFonts w:ascii="Times New Roman" w:hAnsi="Times New Roman"/>
          <w:sz w:val="24"/>
          <w:szCs w:val="24"/>
        </w:rPr>
        <w:t>Российской Федерации</w:t>
      </w:r>
      <w:r w:rsidRPr="00002645">
        <w:rPr>
          <w:rFonts w:ascii="Times New Roman" w:hAnsi="Times New Roman"/>
          <w:sz w:val="24"/>
          <w:szCs w:val="24"/>
        </w:rPr>
        <w:t xml:space="preserve"> до распределения дотаций в 2022 году</w:t>
      </w:r>
      <w:r>
        <w:rPr>
          <w:rFonts w:ascii="Times New Roman" w:hAnsi="Times New Roman"/>
          <w:sz w:val="24"/>
          <w:szCs w:val="24"/>
        </w:rPr>
        <w:t xml:space="preserve"> наблюдается низкая, но статистически значимая отрицательная парная корреляция («-0,20»)</w:t>
      </w:r>
      <w:r w:rsidR="003E496C">
        <w:rPr>
          <w:rFonts w:ascii="Times New Roman" w:hAnsi="Times New Roman"/>
          <w:sz w:val="24"/>
          <w:szCs w:val="24"/>
        </w:rPr>
        <w:t xml:space="preserve"> (рисунок 3)</w:t>
      </w:r>
      <w:r>
        <w:rPr>
          <w:rFonts w:ascii="Times New Roman" w:hAnsi="Times New Roman"/>
          <w:sz w:val="24"/>
          <w:szCs w:val="24"/>
        </w:rPr>
        <w:t xml:space="preserve">. </w:t>
      </w:r>
      <w:bookmarkEnd w:id="5"/>
    </w:p>
    <w:p w14:paraId="73365264" w14:textId="77777777" w:rsidR="003E496C" w:rsidRDefault="003E496C" w:rsidP="00F41B14">
      <w:pPr>
        <w:spacing w:after="0" w:line="240" w:lineRule="auto"/>
        <w:ind w:firstLine="709"/>
        <w:jc w:val="both"/>
        <w:rPr>
          <w:rFonts w:ascii="Times New Roman" w:hAnsi="Times New Roman"/>
          <w:sz w:val="24"/>
          <w:szCs w:val="24"/>
        </w:rPr>
      </w:pPr>
    </w:p>
    <w:p w14:paraId="4BD6CAF2" w14:textId="7A61BD72" w:rsidR="003E496C" w:rsidRPr="00992C1C" w:rsidRDefault="003E496C" w:rsidP="003E496C">
      <w:pPr>
        <w:spacing w:after="0" w:line="360" w:lineRule="auto"/>
        <w:jc w:val="center"/>
        <w:rPr>
          <w:rFonts w:ascii="Times New Roman" w:hAnsi="Times New Roman"/>
          <w:sz w:val="24"/>
          <w:szCs w:val="24"/>
          <w:lang w:eastAsia="ru-RU"/>
        </w:rPr>
      </w:pPr>
      <w:r>
        <w:rPr>
          <w:rFonts w:ascii="Times New Roman" w:hAnsi="Times New Roman"/>
          <w:noProof/>
          <w:sz w:val="24"/>
          <w:szCs w:val="24"/>
          <w:lang w:eastAsia="ru-RU"/>
        </w:rPr>
        <w:lastRenderedPageBreak/>
        <w:drawing>
          <wp:inline distT="0" distB="0" distL="0" distR="0" wp14:anchorId="12ADC24A" wp14:editId="2583C534">
            <wp:extent cx="5338689" cy="2504049"/>
            <wp:effectExtent l="0" t="0" r="14605" b="10795"/>
            <wp:docPr id="127975025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A34909E" w14:textId="7F7611F8" w:rsidR="003E496C" w:rsidRPr="00992C1C" w:rsidRDefault="003E496C" w:rsidP="00F41B14">
      <w:pPr>
        <w:spacing w:after="0" w:line="240" w:lineRule="auto"/>
        <w:ind w:firstLine="567"/>
        <w:contextualSpacing/>
        <w:jc w:val="both"/>
        <w:rPr>
          <w:rFonts w:ascii="Times New Roman" w:hAnsi="Times New Roman"/>
          <w:sz w:val="20"/>
          <w:szCs w:val="20"/>
        </w:rPr>
      </w:pPr>
      <w:r w:rsidRPr="00992C1C">
        <w:rPr>
          <w:rFonts w:ascii="Times New Roman" w:hAnsi="Times New Roman"/>
          <w:sz w:val="20"/>
          <w:szCs w:val="20"/>
        </w:rPr>
        <w:t xml:space="preserve">Источник: </w:t>
      </w:r>
      <w:r>
        <w:rPr>
          <w:rFonts w:ascii="Times New Roman" w:hAnsi="Times New Roman"/>
          <w:sz w:val="20"/>
          <w:szCs w:val="20"/>
        </w:rPr>
        <w:t>составлено автором по результатам анализа регионального законодательства и данным Минфина России.</w:t>
      </w:r>
    </w:p>
    <w:p w14:paraId="1D4069D0" w14:textId="55350455" w:rsidR="003E496C" w:rsidRPr="00F41B14" w:rsidRDefault="003E496C" w:rsidP="00F41B14">
      <w:pPr>
        <w:keepNext/>
        <w:spacing w:after="0" w:line="240" w:lineRule="auto"/>
        <w:jc w:val="center"/>
        <w:outlineLvl w:val="0"/>
        <w:rPr>
          <w:rFonts w:ascii="Times New Roman" w:eastAsia="Times New Roman" w:hAnsi="Times New Roman"/>
          <w:b/>
          <w:kern w:val="32"/>
          <w:sz w:val="24"/>
          <w:szCs w:val="24"/>
        </w:rPr>
      </w:pPr>
      <w:r w:rsidRPr="00992C1C">
        <w:rPr>
          <w:rFonts w:ascii="Times New Roman" w:eastAsia="Times New Roman" w:hAnsi="Times New Roman"/>
          <w:bCs/>
          <w:kern w:val="32"/>
          <w:sz w:val="24"/>
          <w:szCs w:val="24"/>
        </w:rPr>
        <w:t>Рис</w:t>
      </w:r>
      <w:r w:rsidR="00F41B14">
        <w:rPr>
          <w:rFonts w:ascii="Times New Roman" w:eastAsia="Times New Roman" w:hAnsi="Times New Roman"/>
          <w:bCs/>
          <w:kern w:val="32"/>
          <w:sz w:val="24"/>
          <w:szCs w:val="24"/>
        </w:rPr>
        <w:t xml:space="preserve">. </w:t>
      </w:r>
      <w:r>
        <w:rPr>
          <w:rFonts w:ascii="Times New Roman" w:eastAsia="Times New Roman" w:hAnsi="Times New Roman"/>
          <w:bCs/>
          <w:kern w:val="32"/>
          <w:sz w:val="24"/>
          <w:szCs w:val="24"/>
        </w:rPr>
        <w:t>3</w:t>
      </w:r>
      <w:r w:rsidR="00F41B14">
        <w:rPr>
          <w:rFonts w:ascii="Times New Roman" w:eastAsia="Times New Roman" w:hAnsi="Times New Roman"/>
          <w:bCs/>
          <w:kern w:val="32"/>
          <w:sz w:val="24"/>
          <w:szCs w:val="24"/>
        </w:rPr>
        <w:t>.</w:t>
      </w:r>
      <w:r w:rsidRPr="00992C1C">
        <w:rPr>
          <w:rFonts w:ascii="Times New Roman" w:eastAsia="Times New Roman" w:hAnsi="Times New Roman"/>
          <w:bCs/>
          <w:kern w:val="32"/>
          <w:sz w:val="24"/>
          <w:szCs w:val="24"/>
        </w:rPr>
        <w:t xml:space="preserve"> </w:t>
      </w:r>
      <w:r w:rsidRPr="00F41B14">
        <w:rPr>
          <w:rFonts w:ascii="Times New Roman" w:eastAsia="Times New Roman" w:hAnsi="Times New Roman"/>
          <w:b/>
          <w:kern w:val="32"/>
          <w:sz w:val="24"/>
          <w:szCs w:val="24"/>
        </w:rPr>
        <w:t xml:space="preserve">Бюджетная обеспеченность субъектов </w:t>
      </w:r>
      <w:r w:rsidR="00026F6A" w:rsidRPr="00026F6A">
        <w:rPr>
          <w:rFonts w:ascii="Times New Roman" w:eastAsia="Times New Roman" w:hAnsi="Times New Roman"/>
          <w:b/>
          <w:kern w:val="32"/>
          <w:sz w:val="24"/>
          <w:szCs w:val="24"/>
        </w:rPr>
        <w:t>Российской Федерации</w:t>
      </w:r>
      <w:r w:rsidRPr="00F41B14">
        <w:rPr>
          <w:rFonts w:ascii="Times New Roman" w:eastAsia="Times New Roman" w:hAnsi="Times New Roman"/>
          <w:b/>
          <w:kern w:val="32"/>
          <w:sz w:val="24"/>
          <w:szCs w:val="24"/>
        </w:rPr>
        <w:t xml:space="preserve"> до распределения дотаций в 2022 году и </w:t>
      </w:r>
      <w:r w:rsidR="00E038A8" w:rsidRPr="00F41B14">
        <w:rPr>
          <w:rFonts w:ascii="Times New Roman" w:eastAsia="Times New Roman" w:hAnsi="Times New Roman"/>
          <w:b/>
          <w:kern w:val="32"/>
          <w:sz w:val="24"/>
          <w:szCs w:val="24"/>
        </w:rPr>
        <w:t xml:space="preserve">единые </w:t>
      </w:r>
      <w:r w:rsidRPr="00F41B14">
        <w:rPr>
          <w:rFonts w:ascii="Times New Roman" w:eastAsia="Times New Roman" w:hAnsi="Times New Roman"/>
          <w:b/>
          <w:kern w:val="32"/>
          <w:sz w:val="24"/>
          <w:szCs w:val="24"/>
        </w:rPr>
        <w:t>норматив</w:t>
      </w:r>
      <w:r w:rsidR="00E038A8" w:rsidRPr="00F41B14">
        <w:rPr>
          <w:rFonts w:ascii="Times New Roman" w:eastAsia="Times New Roman" w:hAnsi="Times New Roman"/>
          <w:b/>
          <w:kern w:val="32"/>
          <w:sz w:val="24"/>
          <w:szCs w:val="24"/>
        </w:rPr>
        <w:t>ы</w:t>
      </w:r>
      <w:r w:rsidRPr="00F41B14">
        <w:rPr>
          <w:rFonts w:ascii="Times New Roman" w:eastAsia="Times New Roman" w:hAnsi="Times New Roman"/>
          <w:b/>
          <w:kern w:val="32"/>
          <w:sz w:val="24"/>
          <w:szCs w:val="24"/>
        </w:rPr>
        <w:t xml:space="preserve"> отчислений по НДФЛ</w:t>
      </w:r>
    </w:p>
    <w:p w14:paraId="57DEB86E" w14:textId="77777777" w:rsidR="003E496C" w:rsidRDefault="003E496C" w:rsidP="00F41B14">
      <w:pPr>
        <w:spacing w:after="0" w:line="240" w:lineRule="auto"/>
        <w:ind w:firstLine="709"/>
        <w:jc w:val="both"/>
        <w:rPr>
          <w:rFonts w:ascii="Times New Roman" w:hAnsi="Times New Roman"/>
          <w:sz w:val="24"/>
          <w:szCs w:val="24"/>
        </w:rPr>
      </w:pPr>
    </w:p>
    <w:p w14:paraId="332FF4CD" w14:textId="713E9793" w:rsidR="00002645" w:rsidRPr="00BF5E96" w:rsidRDefault="00DC0D2D" w:rsidP="00F41B14">
      <w:pPr>
        <w:spacing w:after="0" w:line="240" w:lineRule="auto"/>
        <w:ind w:firstLine="709"/>
        <w:jc w:val="both"/>
        <w:rPr>
          <w:rFonts w:ascii="Times New Roman" w:hAnsi="Times New Roman"/>
          <w:sz w:val="24"/>
          <w:szCs w:val="24"/>
        </w:rPr>
      </w:pPr>
      <w:bookmarkStart w:id="8" w:name="_Hlk134909810"/>
      <w:r>
        <w:rPr>
          <w:rFonts w:ascii="Times New Roman" w:hAnsi="Times New Roman"/>
          <w:sz w:val="24"/>
          <w:szCs w:val="24"/>
        </w:rPr>
        <w:t>Таким образом, с</w:t>
      </w:r>
      <w:r w:rsidR="00002645" w:rsidRPr="00BF5E96">
        <w:rPr>
          <w:rFonts w:ascii="Times New Roman" w:hAnsi="Times New Roman"/>
          <w:sz w:val="24"/>
          <w:szCs w:val="24"/>
        </w:rPr>
        <w:t xml:space="preserve"> ростом абсолютных величин снижается доля доходов, которую органы региональной власти готовы выделять муниципальным образованиям. Это может свидетельствовать о низкой доле параметров местных бюджет</w:t>
      </w:r>
      <w:r>
        <w:rPr>
          <w:rFonts w:ascii="Times New Roman" w:hAnsi="Times New Roman"/>
          <w:sz w:val="24"/>
          <w:szCs w:val="24"/>
        </w:rPr>
        <w:t>ов</w:t>
      </w:r>
      <w:r w:rsidR="00002645" w:rsidRPr="00BF5E96">
        <w:rPr>
          <w:rFonts w:ascii="Times New Roman" w:hAnsi="Times New Roman"/>
          <w:sz w:val="24"/>
          <w:szCs w:val="24"/>
        </w:rPr>
        <w:t xml:space="preserve"> (низкой фискальной децентрализации, особенно налоговой) как феномене, вызванном исключительно отсутствием бюджетных средств в бюджетах субъектов после реализации первоочередных полномочий, обязательных для выполнения. Речь идет о полномочиях субъектов </w:t>
      </w:r>
      <w:r w:rsidR="00026F6A" w:rsidRPr="00026F6A">
        <w:rPr>
          <w:rFonts w:ascii="Times New Roman" w:hAnsi="Times New Roman"/>
          <w:sz w:val="24"/>
          <w:szCs w:val="24"/>
        </w:rPr>
        <w:t>Российской Федерации</w:t>
      </w:r>
      <w:r w:rsidR="00002645" w:rsidRPr="00BF5E96">
        <w:rPr>
          <w:rFonts w:ascii="Times New Roman" w:hAnsi="Times New Roman"/>
          <w:sz w:val="24"/>
          <w:szCs w:val="24"/>
        </w:rPr>
        <w:t xml:space="preserve"> в рамках сферы совместного ведения </w:t>
      </w:r>
      <w:r w:rsidR="00026F6A" w:rsidRPr="00026F6A">
        <w:rPr>
          <w:rFonts w:ascii="Times New Roman" w:hAnsi="Times New Roman"/>
          <w:sz w:val="24"/>
          <w:szCs w:val="24"/>
        </w:rPr>
        <w:t>Российской Федерации</w:t>
      </w:r>
      <w:r w:rsidR="00002645" w:rsidRPr="00BF5E96">
        <w:rPr>
          <w:rFonts w:ascii="Times New Roman" w:hAnsi="Times New Roman"/>
          <w:sz w:val="24"/>
          <w:szCs w:val="24"/>
        </w:rPr>
        <w:t xml:space="preserve"> и субъектов </w:t>
      </w:r>
      <w:r w:rsidR="00026F6A" w:rsidRPr="00026F6A">
        <w:rPr>
          <w:rFonts w:ascii="Times New Roman" w:hAnsi="Times New Roman"/>
          <w:sz w:val="24"/>
          <w:szCs w:val="24"/>
        </w:rPr>
        <w:t>Российской Федерации</w:t>
      </w:r>
      <w:r w:rsidR="00002645" w:rsidRPr="00BF5E96">
        <w:rPr>
          <w:rFonts w:ascii="Times New Roman" w:hAnsi="Times New Roman"/>
          <w:sz w:val="24"/>
          <w:szCs w:val="24"/>
        </w:rPr>
        <w:t xml:space="preserve"> в соответствии с Федеральным законом № 414-ФЗ</w:t>
      </w:r>
      <w:r w:rsidR="00002645" w:rsidRPr="00BF5E96">
        <w:rPr>
          <w:rStyle w:val="ab"/>
          <w:rFonts w:ascii="Times New Roman" w:hAnsi="Times New Roman"/>
          <w:sz w:val="24"/>
          <w:szCs w:val="24"/>
        </w:rPr>
        <w:footnoteReference w:id="3"/>
      </w:r>
      <w:r w:rsidR="00002645" w:rsidRPr="00BF5E96">
        <w:rPr>
          <w:rFonts w:ascii="Times New Roman" w:hAnsi="Times New Roman"/>
          <w:sz w:val="24"/>
          <w:szCs w:val="24"/>
        </w:rPr>
        <w:t xml:space="preserve">. </w:t>
      </w:r>
      <w:r>
        <w:rPr>
          <w:rFonts w:ascii="Times New Roman" w:hAnsi="Times New Roman"/>
          <w:sz w:val="24"/>
          <w:szCs w:val="24"/>
        </w:rPr>
        <w:t>Анализируя полученный результат, можно сделать вывод, что о</w:t>
      </w:r>
      <w:r w:rsidR="003E496C" w:rsidRPr="00BF5E96">
        <w:rPr>
          <w:rFonts w:ascii="Times New Roman" w:hAnsi="Times New Roman"/>
          <w:sz w:val="24"/>
          <w:szCs w:val="24"/>
        </w:rPr>
        <w:t>рганы региональной власти могут считать обязательства, исполняемые на уровне муниципальных образований, н</w:t>
      </w:r>
      <w:r w:rsidR="00002645" w:rsidRPr="00BF5E96">
        <w:rPr>
          <w:rFonts w:ascii="Times New Roman" w:hAnsi="Times New Roman"/>
          <w:sz w:val="24"/>
          <w:szCs w:val="24"/>
        </w:rPr>
        <w:t>е менее важны</w:t>
      </w:r>
      <w:r w:rsidR="003E496C" w:rsidRPr="00BF5E96">
        <w:rPr>
          <w:rFonts w:ascii="Times New Roman" w:hAnsi="Times New Roman"/>
          <w:sz w:val="24"/>
          <w:szCs w:val="24"/>
        </w:rPr>
        <w:t>ми</w:t>
      </w:r>
      <w:r w:rsidR="00002645" w:rsidRPr="00BF5E96">
        <w:rPr>
          <w:rFonts w:ascii="Times New Roman" w:hAnsi="Times New Roman"/>
          <w:sz w:val="24"/>
          <w:szCs w:val="24"/>
        </w:rPr>
        <w:t>, чем обязательства регионального уровня</w:t>
      </w:r>
      <w:r w:rsidR="003E496C" w:rsidRPr="00BF5E96">
        <w:rPr>
          <w:rFonts w:ascii="Times New Roman" w:hAnsi="Times New Roman"/>
          <w:sz w:val="24"/>
          <w:szCs w:val="24"/>
        </w:rPr>
        <w:t xml:space="preserve">. </w:t>
      </w:r>
      <w:bookmarkStart w:id="9" w:name="_Hlk134909896"/>
      <w:r w:rsidR="003E496C" w:rsidRPr="00BF5E96">
        <w:rPr>
          <w:rFonts w:ascii="Times New Roman" w:hAnsi="Times New Roman"/>
          <w:sz w:val="24"/>
          <w:szCs w:val="24"/>
        </w:rPr>
        <w:t>Это может быть хорошим знаком для перспектив бюджетной децентрализации в России.</w:t>
      </w:r>
      <w:bookmarkEnd w:id="9"/>
    </w:p>
    <w:p w14:paraId="797F4513" w14:textId="77777777" w:rsidR="00794648" w:rsidRDefault="00794648" w:rsidP="00F41B14">
      <w:pPr>
        <w:spacing w:after="0" w:line="240" w:lineRule="auto"/>
        <w:ind w:firstLine="709"/>
        <w:jc w:val="both"/>
        <w:rPr>
          <w:rFonts w:ascii="Times New Roman" w:hAnsi="Times New Roman"/>
          <w:sz w:val="24"/>
          <w:szCs w:val="24"/>
        </w:rPr>
      </w:pPr>
      <w:bookmarkStart w:id="10" w:name="_Hlk100339270"/>
      <w:bookmarkEnd w:id="8"/>
      <w:bookmarkEnd w:id="1"/>
    </w:p>
    <w:p w14:paraId="556FC671" w14:textId="59204F52" w:rsidR="00E42190" w:rsidRPr="00F41B14" w:rsidRDefault="00F41B14" w:rsidP="00F41B14">
      <w:pPr>
        <w:pStyle w:val="10-4-17"/>
        <w:spacing w:line="240" w:lineRule="auto"/>
        <w:rPr>
          <w:b/>
          <w:bCs w:val="0"/>
        </w:rPr>
      </w:pPr>
      <w:r w:rsidRPr="00F41B14">
        <w:rPr>
          <w:b/>
          <w:bCs w:val="0"/>
        </w:rPr>
        <w:t>ЛИТЕРАТУРА</w:t>
      </w:r>
    </w:p>
    <w:bookmarkEnd w:id="10"/>
    <w:p w14:paraId="3BB02032" w14:textId="5449765D" w:rsidR="00E42190" w:rsidRDefault="00E42190" w:rsidP="00F41B14">
      <w:pPr>
        <w:spacing w:after="0" w:line="240" w:lineRule="auto"/>
        <w:ind w:firstLine="709"/>
        <w:jc w:val="both"/>
        <w:rPr>
          <w:rFonts w:ascii="Times New Roman" w:hAnsi="Times New Roman"/>
          <w:sz w:val="24"/>
          <w:szCs w:val="24"/>
        </w:rPr>
      </w:pPr>
    </w:p>
    <w:p w14:paraId="4209A0A9" w14:textId="77777777" w:rsidR="00475296" w:rsidRPr="00F41B14" w:rsidRDefault="00475296" w:rsidP="00F41B14">
      <w:pPr>
        <w:pStyle w:val="ae"/>
        <w:numPr>
          <w:ilvl w:val="0"/>
          <w:numId w:val="2"/>
        </w:numPr>
        <w:spacing w:after="0" w:line="240" w:lineRule="auto"/>
        <w:jc w:val="both"/>
        <w:rPr>
          <w:rFonts w:ascii="Times New Roman" w:hAnsi="Times New Roman"/>
          <w:sz w:val="24"/>
          <w:szCs w:val="24"/>
          <w:lang w:val="en-US"/>
        </w:rPr>
      </w:pPr>
      <w:r w:rsidRPr="00F41B14">
        <w:rPr>
          <w:rFonts w:ascii="Times New Roman" w:hAnsi="Times New Roman"/>
          <w:sz w:val="24"/>
          <w:szCs w:val="24"/>
        </w:rPr>
        <w:t xml:space="preserve">Климанов В.В., Михайлова А.А. Бюджетная децентрализация в пандемию и постпандемийных условиях // Журнал Новой Экономической Ассоциации. </w:t>
      </w:r>
      <w:r w:rsidRPr="00F41B14">
        <w:rPr>
          <w:rFonts w:ascii="Times New Roman" w:hAnsi="Times New Roman"/>
          <w:sz w:val="24"/>
          <w:szCs w:val="24"/>
          <w:lang w:val="en-US"/>
        </w:rPr>
        <w:t xml:space="preserve">2021. №3. </w:t>
      </w:r>
      <w:r w:rsidRPr="00F41B14">
        <w:rPr>
          <w:rFonts w:ascii="Times New Roman" w:hAnsi="Times New Roman"/>
          <w:sz w:val="24"/>
          <w:szCs w:val="24"/>
        </w:rPr>
        <w:t>С</w:t>
      </w:r>
      <w:r w:rsidRPr="00F41B14">
        <w:rPr>
          <w:rFonts w:ascii="Times New Roman" w:hAnsi="Times New Roman"/>
          <w:sz w:val="24"/>
          <w:szCs w:val="24"/>
          <w:lang w:val="en-US"/>
        </w:rPr>
        <w:t>. 218–226.</w:t>
      </w:r>
    </w:p>
    <w:p w14:paraId="214EA989" w14:textId="066550C2" w:rsidR="00365F8E" w:rsidRPr="00F41B14" w:rsidRDefault="00475296" w:rsidP="00F41B14">
      <w:pPr>
        <w:pStyle w:val="ae"/>
        <w:numPr>
          <w:ilvl w:val="0"/>
          <w:numId w:val="2"/>
        </w:numPr>
        <w:spacing w:after="0" w:line="240" w:lineRule="auto"/>
        <w:jc w:val="both"/>
        <w:rPr>
          <w:rFonts w:ascii="Times New Roman" w:hAnsi="Times New Roman"/>
          <w:sz w:val="24"/>
          <w:szCs w:val="24"/>
        </w:rPr>
      </w:pPr>
      <w:r w:rsidRPr="00F41B14">
        <w:rPr>
          <w:rFonts w:ascii="Times New Roman" w:hAnsi="Times New Roman"/>
          <w:sz w:val="24"/>
          <w:szCs w:val="24"/>
          <w:lang w:val="en-US"/>
        </w:rPr>
        <w:t xml:space="preserve">Turgel I. D., Chernova O. A., Usoltceva A. A. Resilience, robustness and adaptivity: Large urban Russian Federation regions during the COVID-19 crisis // Area Development and Policy. </w:t>
      </w:r>
      <w:r w:rsidRPr="00F41B14">
        <w:rPr>
          <w:rFonts w:ascii="Times New Roman" w:hAnsi="Times New Roman"/>
          <w:sz w:val="24"/>
          <w:szCs w:val="24"/>
        </w:rPr>
        <w:t>2021. P. 1–23. doi: 10.1080/23792949.2021.1973522.</w:t>
      </w:r>
    </w:p>
    <w:p w14:paraId="7EF56FFB" w14:textId="1D7426E4" w:rsidR="00365F8E" w:rsidRDefault="00365F8E" w:rsidP="00EA3F8A">
      <w:pPr>
        <w:spacing w:after="0" w:line="360" w:lineRule="auto"/>
        <w:ind w:firstLine="709"/>
        <w:jc w:val="both"/>
        <w:rPr>
          <w:rFonts w:ascii="Times New Roman" w:hAnsi="Times New Roman"/>
          <w:sz w:val="24"/>
          <w:szCs w:val="24"/>
        </w:rPr>
      </w:pPr>
    </w:p>
    <w:p w14:paraId="513B8E79" w14:textId="77777777" w:rsidR="00FD3FCC" w:rsidRPr="00FD3FCC" w:rsidRDefault="00FD3FCC" w:rsidP="00EA3F8A">
      <w:pPr>
        <w:spacing w:after="0" w:line="360" w:lineRule="auto"/>
        <w:ind w:firstLine="709"/>
        <w:jc w:val="both"/>
        <w:rPr>
          <w:rFonts w:ascii="Times New Roman" w:hAnsi="Times New Roman"/>
          <w:sz w:val="24"/>
          <w:szCs w:val="24"/>
        </w:rPr>
      </w:pPr>
    </w:p>
    <w:sectPr w:rsidR="00FD3FCC" w:rsidRPr="00FD3FCC" w:rsidSect="00F41B14">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7F7D56" w14:textId="77777777" w:rsidR="00911C40" w:rsidRDefault="00911C40" w:rsidP="00E77D13">
      <w:pPr>
        <w:spacing w:after="0" w:line="240" w:lineRule="auto"/>
      </w:pPr>
      <w:r>
        <w:separator/>
      </w:r>
    </w:p>
  </w:endnote>
  <w:endnote w:type="continuationSeparator" w:id="0">
    <w:p w14:paraId="26136E3A" w14:textId="77777777" w:rsidR="00911C40" w:rsidRDefault="00911C40" w:rsidP="00E77D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rPr>
      <w:id w:val="-2079576926"/>
      <w:docPartObj>
        <w:docPartGallery w:val="Page Numbers (Bottom of Page)"/>
        <w:docPartUnique/>
      </w:docPartObj>
    </w:sdtPr>
    <w:sdtEndPr/>
    <w:sdtContent>
      <w:p w14:paraId="068A483A" w14:textId="17C895FA" w:rsidR="00674ABA" w:rsidRPr="00E77D13" w:rsidRDefault="00674ABA">
        <w:pPr>
          <w:pStyle w:val="a7"/>
          <w:jc w:val="right"/>
          <w:rPr>
            <w:rFonts w:ascii="Times New Roman" w:hAnsi="Times New Roman"/>
          </w:rPr>
        </w:pPr>
        <w:r w:rsidRPr="00E77D13">
          <w:rPr>
            <w:rFonts w:ascii="Times New Roman" w:hAnsi="Times New Roman"/>
          </w:rPr>
          <w:fldChar w:fldCharType="begin"/>
        </w:r>
        <w:r w:rsidRPr="00E77D13">
          <w:rPr>
            <w:rFonts w:ascii="Times New Roman" w:hAnsi="Times New Roman"/>
          </w:rPr>
          <w:instrText>PAGE   \* MERGEFORMAT</w:instrText>
        </w:r>
        <w:r w:rsidRPr="00E77D13">
          <w:rPr>
            <w:rFonts w:ascii="Times New Roman" w:hAnsi="Times New Roman"/>
          </w:rPr>
          <w:fldChar w:fldCharType="separate"/>
        </w:r>
        <w:r w:rsidR="00B260B0">
          <w:rPr>
            <w:rFonts w:ascii="Times New Roman" w:hAnsi="Times New Roman"/>
            <w:noProof/>
          </w:rPr>
          <w:t>2</w:t>
        </w:r>
        <w:r w:rsidRPr="00E77D13">
          <w:rPr>
            <w:rFonts w:ascii="Times New Roman" w:hAnsi="Times New Roman"/>
          </w:rPr>
          <w:fldChar w:fldCharType="end"/>
        </w:r>
      </w:p>
    </w:sdtContent>
  </w:sdt>
  <w:p w14:paraId="02018D39" w14:textId="77777777" w:rsidR="00674ABA" w:rsidRDefault="00674AB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91CF4" w14:textId="77777777" w:rsidR="00911C40" w:rsidRDefault="00911C40" w:rsidP="00E77D13">
      <w:pPr>
        <w:spacing w:after="0" w:line="240" w:lineRule="auto"/>
      </w:pPr>
      <w:r>
        <w:separator/>
      </w:r>
    </w:p>
  </w:footnote>
  <w:footnote w:type="continuationSeparator" w:id="0">
    <w:p w14:paraId="7C92139F" w14:textId="77777777" w:rsidR="00911C40" w:rsidRDefault="00911C40" w:rsidP="00E77D13">
      <w:pPr>
        <w:spacing w:after="0" w:line="240" w:lineRule="auto"/>
      </w:pPr>
      <w:r>
        <w:continuationSeparator/>
      </w:r>
    </w:p>
  </w:footnote>
  <w:footnote w:id="1">
    <w:p w14:paraId="41144945" w14:textId="68215CA0" w:rsidR="00F41B14" w:rsidRPr="00026F6A" w:rsidRDefault="00F41B14">
      <w:pPr>
        <w:pStyle w:val="a9"/>
      </w:pPr>
      <w:r>
        <w:rPr>
          <w:rStyle w:val="ab"/>
        </w:rPr>
        <w:footnoteRef/>
      </w:r>
      <w:r>
        <w:t xml:space="preserve"> </w:t>
      </w:r>
      <w:r w:rsidRPr="00F41B14">
        <w:t>Тимушев Евгений Николаевич</w:t>
      </w:r>
      <w:r>
        <w:t xml:space="preserve">, к.э.н., старший научный сотрудник, </w:t>
      </w:r>
      <w:r w:rsidRPr="00F41B14">
        <w:t>ИСЭ и ЭПС ФИЦ Коми НЦ УрО РАН</w:t>
      </w:r>
      <w:r>
        <w:t xml:space="preserve"> (Сыктывкар, </w:t>
      </w:r>
      <w:r w:rsidRPr="00F41B14">
        <w:t>ул. Коммунистическая, д. 26</w:t>
      </w:r>
      <w:r>
        <w:t xml:space="preserve">); </w:t>
      </w:r>
      <w:r w:rsidRPr="00F41B14">
        <w:t>Центр региональной политики Института прикладных экономических исследований РАН</w:t>
      </w:r>
      <w:r>
        <w:t xml:space="preserve">ХиГС (Москва, </w:t>
      </w:r>
      <w:r w:rsidRPr="00F41B14">
        <w:t>проспект Вернадского, 82-84</w:t>
      </w:r>
      <w:r>
        <w:t xml:space="preserve">). </w:t>
      </w:r>
      <w:r>
        <w:rPr>
          <w:lang w:val="en-US"/>
        </w:rPr>
        <w:t>E</w:t>
      </w:r>
      <w:r w:rsidRPr="00026F6A">
        <w:t>-</w:t>
      </w:r>
      <w:r>
        <w:rPr>
          <w:lang w:val="en-US"/>
        </w:rPr>
        <w:t>mail</w:t>
      </w:r>
      <w:r w:rsidRPr="00026F6A">
        <w:t xml:space="preserve">: </w:t>
      </w:r>
      <w:r w:rsidRPr="00F41B14">
        <w:rPr>
          <w:lang w:val="en-US"/>
        </w:rPr>
        <w:t>evgeny</w:t>
      </w:r>
      <w:r w:rsidRPr="00026F6A">
        <w:t>_</w:t>
      </w:r>
      <w:r w:rsidRPr="00F41B14">
        <w:rPr>
          <w:lang w:val="en-US"/>
        </w:rPr>
        <w:t>timushev</w:t>
      </w:r>
      <w:r w:rsidRPr="00026F6A">
        <w:t>@</w:t>
      </w:r>
      <w:r w:rsidRPr="00F41B14">
        <w:rPr>
          <w:lang w:val="en-US"/>
        </w:rPr>
        <w:t>mail</w:t>
      </w:r>
      <w:r w:rsidRPr="00026F6A">
        <w:t>.</w:t>
      </w:r>
      <w:r w:rsidRPr="00F41B14">
        <w:rPr>
          <w:lang w:val="en-US"/>
        </w:rPr>
        <w:t>ru</w:t>
      </w:r>
    </w:p>
  </w:footnote>
  <w:footnote w:id="2">
    <w:p w14:paraId="6ED95C5F" w14:textId="76B756C1" w:rsidR="003C295C" w:rsidRDefault="003C295C">
      <w:pPr>
        <w:pStyle w:val="a9"/>
      </w:pPr>
      <w:r>
        <w:rPr>
          <w:rStyle w:val="ab"/>
        </w:rPr>
        <w:footnoteRef/>
      </w:r>
      <w:r>
        <w:t xml:space="preserve"> Утверждена </w:t>
      </w:r>
      <w:r w:rsidRPr="003C295C">
        <w:t>Постановление</w:t>
      </w:r>
      <w:r>
        <w:t xml:space="preserve">м </w:t>
      </w:r>
      <w:r w:rsidRPr="003C295C">
        <w:t xml:space="preserve">Правительства </w:t>
      </w:r>
      <w:r w:rsidR="00026F6A" w:rsidRPr="00026F6A">
        <w:t>Российской Федерации</w:t>
      </w:r>
      <w:r w:rsidRPr="003C295C">
        <w:t xml:space="preserve"> от 18.05.2016 N 445 (ред. от 09.04.2022).</w:t>
      </w:r>
    </w:p>
  </w:footnote>
  <w:footnote w:id="3">
    <w:p w14:paraId="0BAF7665" w14:textId="4806F70A" w:rsidR="00002645" w:rsidRDefault="00002645" w:rsidP="00002645">
      <w:pPr>
        <w:pStyle w:val="a9"/>
      </w:pPr>
      <w:r>
        <w:rPr>
          <w:rStyle w:val="ab"/>
        </w:rPr>
        <w:footnoteRef/>
      </w:r>
      <w:r>
        <w:t xml:space="preserve"> </w:t>
      </w:r>
      <w:r w:rsidR="00475296" w:rsidRPr="00475296">
        <w:t>Федеральный закон от 21 декабря 2021 г. № 414-ФЗ «Об общих принципах организации публичной власти в субъектах Российской Федерации»</w:t>
      </w:r>
      <w:r w:rsidR="00475296">
        <w:t>. В</w:t>
      </w:r>
      <w:r w:rsidR="00475296" w:rsidRPr="00475296">
        <w:t>ступил в силу в полном объеме 1 января 2023 г</w:t>
      </w:r>
      <w:r w:rsidR="00475296">
        <w:t>ода.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7A235D"/>
    <w:multiLevelType w:val="hybridMultilevel"/>
    <w:tmpl w:val="80629E48"/>
    <w:lvl w:ilvl="0" w:tplc="787EEB04">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4A4E5C28"/>
    <w:multiLevelType w:val="hybridMultilevel"/>
    <w:tmpl w:val="DEF03BE6"/>
    <w:lvl w:ilvl="0" w:tplc="628C2B34">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004672994">
    <w:abstractNumId w:val="0"/>
  </w:num>
  <w:num w:numId="2" w16cid:durableId="17011274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6" w:nlCheck="1" w:checkStyle="1"/>
  <w:attachedTemplate r:id="rId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44E"/>
    <w:rsid w:val="00000335"/>
    <w:rsid w:val="000012C7"/>
    <w:rsid w:val="00002645"/>
    <w:rsid w:val="000028DA"/>
    <w:rsid w:val="00003576"/>
    <w:rsid w:val="0000799E"/>
    <w:rsid w:val="00013CB3"/>
    <w:rsid w:val="000142E6"/>
    <w:rsid w:val="00014B19"/>
    <w:rsid w:val="000161CA"/>
    <w:rsid w:val="000209D0"/>
    <w:rsid w:val="00020D11"/>
    <w:rsid w:val="00022E2B"/>
    <w:rsid w:val="0002324E"/>
    <w:rsid w:val="00026F6A"/>
    <w:rsid w:val="00027C82"/>
    <w:rsid w:val="00030E46"/>
    <w:rsid w:val="000310C0"/>
    <w:rsid w:val="00036B88"/>
    <w:rsid w:val="00036DA9"/>
    <w:rsid w:val="00037E63"/>
    <w:rsid w:val="000409B6"/>
    <w:rsid w:val="00040D82"/>
    <w:rsid w:val="00041AF2"/>
    <w:rsid w:val="00042A9B"/>
    <w:rsid w:val="0004545D"/>
    <w:rsid w:val="0004785B"/>
    <w:rsid w:val="000502FF"/>
    <w:rsid w:val="000524F8"/>
    <w:rsid w:val="0005364C"/>
    <w:rsid w:val="000545B2"/>
    <w:rsid w:val="00055A11"/>
    <w:rsid w:val="0005731A"/>
    <w:rsid w:val="000609A9"/>
    <w:rsid w:val="00061136"/>
    <w:rsid w:val="00061831"/>
    <w:rsid w:val="00063494"/>
    <w:rsid w:val="00064674"/>
    <w:rsid w:val="00065DE6"/>
    <w:rsid w:val="00066C88"/>
    <w:rsid w:val="00067C33"/>
    <w:rsid w:val="00071D8D"/>
    <w:rsid w:val="0007206E"/>
    <w:rsid w:val="0007207D"/>
    <w:rsid w:val="0007430E"/>
    <w:rsid w:val="000750B9"/>
    <w:rsid w:val="00075258"/>
    <w:rsid w:val="00076935"/>
    <w:rsid w:val="00076FDF"/>
    <w:rsid w:val="000778C1"/>
    <w:rsid w:val="00080DEF"/>
    <w:rsid w:val="0008299C"/>
    <w:rsid w:val="00082AD0"/>
    <w:rsid w:val="00082FF2"/>
    <w:rsid w:val="000839CE"/>
    <w:rsid w:val="00084A6D"/>
    <w:rsid w:val="000851E1"/>
    <w:rsid w:val="00087646"/>
    <w:rsid w:val="0009032B"/>
    <w:rsid w:val="00090AF8"/>
    <w:rsid w:val="00091630"/>
    <w:rsid w:val="00092318"/>
    <w:rsid w:val="000925E9"/>
    <w:rsid w:val="000926A7"/>
    <w:rsid w:val="000939B5"/>
    <w:rsid w:val="00094C29"/>
    <w:rsid w:val="00095382"/>
    <w:rsid w:val="000967F1"/>
    <w:rsid w:val="0009713A"/>
    <w:rsid w:val="00097278"/>
    <w:rsid w:val="00097D6B"/>
    <w:rsid w:val="00097F8A"/>
    <w:rsid w:val="00097FC0"/>
    <w:rsid w:val="000A0974"/>
    <w:rsid w:val="000A14F1"/>
    <w:rsid w:val="000A2ABB"/>
    <w:rsid w:val="000A32CA"/>
    <w:rsid w:val="000A42AE"/>
    <w:rsid w:val="000A76F5"/>
    <w:rsid w:val="000A7DD8"/>
    <w:rsid w:val="000B101C"/>
    <w:rsid w:val="000B159E"/>
    <w:rsid w:val="000B33CA"/>
    <w:rsid w:val="000B64DE"/>
    <w:rsid w:val="000C2D5A"/>
    <w:rsid w:val="000C3AE6"/>
    <w:rsid w:val="000C5143"/>
    <w:rsid w:val="000D09E8"/>
    <w:rsid w:val="000D2848"/>
    <w:rsid w:val="000D3918"/>
    <w:rsid w:val="000D4B51"/>
    <w:rsid w:val="000D594C"/>
    <w:rsid w:val="000E0453"/>
    <w:rsid w:val="000E0B35"/>
    <w:rsid w:val="000E0DF9"/>
    <w:rsid w:val="000E639A"/>
    <w:rsid w:val="000F1329"/>
    <w:rsid w:val="000F1D3E"/>
    <w:rsid w:val="000F2132"/>
    <w:rsid w:val="000F2DDC"/>
    <w:rsid w:val="000F304D"/>
    <w:rsid w:val="000F37A3"/>
    <w:rsid w:val="000F3B0F"/>
    <w:rsid w:val="000F3FFD"/>
    <w:rsid w:val="000F6784"/>
    <w:rsid w:val="000F68F3"/>
    <w:rsid w:val="000F6B18"/>
    <w:rsid w:val="000F6DBC"/>
    <w:rsid w:val="0010017D"/>
    <w:rsid w:val="00102378"/>
    <w:rsid w:val="00104A21"/>
    <w:rsid w:val="00104EEE"/>
    <w:rsid w:val="00106251"/>
    <w:rsid w:val="00106EC0"/>
    <w:rsid w:val="001070A4"/>
    <w:rsid w:val="00111E58"/>
    <w:rsid w:val="00112818"/>
    <w:rsid w:val="00112901"/>
    <w:rsid w:val="00112AFE"/>
    <w:rsid w:val="0011425C"/>
    <w:rsid w:val="0011551F"/>
    <w:rsid w:val="001161DA"/>
    <w:rsid w:val="001207F9"/>
    <w:rsid w:val="00120DCD"/>
    <w:rsid w:val="00123A84"/>
    <w:rsid w:val="0012515E"/>
    <w:rsid w:val="001252D7"/>
    <w:rsid w:val="001255DD"/>
    <w:rsid w:val="0012611B"/>
    <w:rsid w:val="0012683F"/>
    <w:rsid w:val="00126E13"/>
    <w:rsid w:val="00131748"/>
    <w:rsid w:val="00133EDB"/>
    <w:rsid w:val="00134374"/>
    <w:rsid w:val="001358E0"/>
    <w:rsid w:val="00135A50"/>
    <w:rsid w:val="001402AE"/>
    <w:rsid w:val="001407F8"/>
    <w:rsid w:val="0014082D"/>
    <w:rsid w:val="00144083"/>
    <w:rsid w:val="00144BD2"/>
    <w:rsid w:val="00145871"/>
    <w:rsid w:val="001473D6"/>
    <w:rsid w:val="00150661"/>
    <w:rsid w:val="00150A52"/>
    <w:rsid w:val="00152D46"/>
    <w:rsid w:val="001551C3"/>
    <w:rsid w:val="001646DB"/>
    <w:rsid w:val="00165183"/>
    <w:rsid w:val="00167635"/>
    <w:rsid w:val="00167C6D"/>
    <w:rsid w:val="0017153C"/>
    <w:rsid w:val="00171BCE"/>
    <w:rsid w:val="00172135"/>
    <w:rsid w:val="00172B6B"/>
    <w:rsid w:val="00173C59"/>
    <w:rsid w:val="0017506A"/>
    <w:rsid w:val="00176FC1"/>
    <w:rsid w:val="00177E6E"/>
    <w:rsid w:val="00181DEA"/>
    <w:rsid w:val="00184256"/>
    <w:rsid w:val="001849A6"/>
    <w:rsid w:val="00184BAD"/>
    <w:rsid w:val="0018534C"/>
    <w:rsid w:val="001853F4"/>
    <w:rsid w:val="00185791"/>
    <w:rsid w:val="00185D75"/>
    <w:rsid w:val="0018628C"/>
    <w:rsid w:val="00191033"/>
    <w:rsid w:val="0019136E"/>
    <w:rsid w:val="00193A26"/>
    <w:rsid w:val="00194261"/>
    <w:rsid w:val="0019457C"/>
    <w:rsid w:val="0019516D"/>
    <w:rsid w:val="00195F4C"/>
    <w:rsid w:val="00196507"/>
    <w:rsid w:val="001A1707"/>
    <w:rsid w:val="001A221C"/>
    <w:rsid w:val="001A3EEF"/>
    <w:rsid w:val="001A5288"/>
    <w:rsid w:val="001A643F"/>
    <w:rsid w:val="001A73DE"/>
    <w:rsid w:val="001A7496"/>
    <w:rsid w:val="001A7C60"/>
    <w:rsid w:val="001B275F"/>
    <w:rsid w:val="001B44D3"/>
    <w:rsid w:val="001B454B"/>
    <w:rsid w:val="001B48AE"/>
    <w:rsid w:val="001B5FE4"/>
    <w:rsid w:val="001B667C"/>
    <w:rsid w:val="001B6E20"/>
    <w:rsid w:val="001C0526"/>
    <w:rsid w:val="001C054D"/>
    <w:rsid w:val="001C0692"/>
    <w:rsid w:val="001C1705"/>
    <w:rsid w:val="001C1CD9"/>
    <w:rsid w:val="001C21A2"/>
    <w:rsid w:val="001C26E4"/>
    <w:rsid w:val="001C27FF"/>
    <w:rsid w:val="001C2EB1"/>
    <w:rsid w:val="001C3664"/>
    <w:rsid w:val="001C5C69"/>
    <w:rsid w:val="001C612F"/>
    <w:rsid w:val="001C61B7"/>
    <w:rsid w:val="001D3322"/>
    <w:rsid w:val="001D3877"/>
    <w:rsid w:val="001D3BE1"/>
    <w:rsid w:val="001D47BC"/>
    <w:rsid w:val="001D4978"/>
    <w:rsid w:val="001D7F47"/>
    <w:rsid w:val="001E0914"/>
    <w:rsid w:val="001E2404"/>
    <w:rsid w:val="001E240E"/>
    <w:rsid w:val="001E2C56"/>
    <w:rsid w:val="001E2ECB"/>
    <w:rsid w:val="001E6F1C"/>
    <w:rsid w:val="001E76B5"/>
    <w:rsid w:val="001F2950"/>
    <w:rsid w:val="001F5A96"/>
    <w:rsid w:val="001F67FC"/>
    <w:rsid w:val="001F7EC9"/>
    <w:rsid w:val="00200756"/>
    <w:rsid w:val="0020133B"/>
    <w:rsid w:val="00201D41"/>
    <w:rsid w:val="00205D11"/>
    <w:rsid w:val="00206238"/>
    <w:rsid w:val="0021099C"/>
    <w:rsid w:val="00211D7E"/>
    <w:rsid w:val="0021321B"/>
    <w:rsid w:val="00214A97"/>
    <w:rsid w:val="00215408"/>
    <w:rsid w:val="00215742"/>
    <w:rsid w:val="002168EC"/>
    <w:rsid w:val="00216B27"/>
    <w:rsid w:val="002175DB"/>
    <w:rsid w:val="002202C4"/>
    <w:rsid w:val="00220A0B"/>
    <w:rsid w:val="0022242E"/>
    <w:rsid w:val="00223B4D"/>
    <w:rsid w:val="00223B61"/>
    <w:rsid w:val="00223D11"/>
    <w:rsid w:val="00223FED"/>
    <w:rsid w:val="002264B1"/>
    <w:rsid w:val="00226B9B"/>
    <w:rsid w:val="00227E58"/>
    <w:rsid w:val="00230018"/>
    <w:rsid w:val="002310E0"/>
    <w:rsid w:val="002312CA"/>
    <w:rsid w:val="00231ECE"/>
    <w:rsid w:val="002330F3"/>
    <w:rsid w:val="002332F3"/>
    <w:rsid w:val="002344EB"/>
    <w:rsid w:val="00234E87"/>
    <w:rsid w:val="002356B4"/>
    <w:rsid w:val="00237887"/>
    <w:rsid w:val="00240129"/>
    <w:rsid w:val="00240159"/>
    <w:rsid w:val="00240B69"/>
    <w:rsid w:val="002414E0"/>
    <w:rsid w:val="002437F2"/>
    <w:rsid w:val="002444B6"/>
    <w:rsid w:val="00252128"/>
    <w:rsid w:val="00252CF5"/>
    <w:rsid w:val="00252DB5"/>
    <w:rsid w:val="00253170"/>
    <w:rsid w:val="00253216"/>
    <w:rsid w:val="002537E0"/>
    <w:rsid w:val="00253CE8"/>
    <w:rsid w:val="002553EC"/>
    <w:rsid w:val="002564D2"/>
    <w:rsid w:val="00257A20"/>
    <w:rsid w:val="0026085F"/>
    <w:rsid w:val="002615D4"/>
    <w:rsid w:val="0026269D"/>
    <w:rsid w:val="00262ACE"/>
    <w:rsid w:val="002655BF"/>
    <w:rsid w:val="00267246"/>
    <w:rsid w:val="00270BD9"/>
    <w:rsid w:val="0027357F"/>
    <w:rsid w:val="00275E84"/>
    <w:rsid w:val="00277978"/>
    <w:rsid w:val="00277D6F"/>
    <w:rsid w:val="002804E2"/>
    <w:rsid w:val="00280BBA"/>
    <w:rsid w:val="00281BC2"/>
    <w:rsid w:val="0028440D"/>
    <w:rsid w:val="00284DD2"/>
    <w:rsid w:val="00286EC0"/>
    <w:rsid w:val="0028733C"/>
    <w:rsid w:val="002900FD"/>
    <w:rsid w:val="0029086D"/>
    <w:rsid w:val="00290DFD"/>
    <w:rsid w:val="00292129"/>
    <w:rsid w:val="002933BC"/>
    <w:rsid w:val="00294F50"/>
    <w:rsid w:val="00295B88"/>
    <w:rsid w:val="00297D0C"/>
    <w:rsid w:val="002A083C"/>
    <w:rsid w:val="002A0B17"/>
    <w:rsid w:val="002A0F2F"/>
    <w:rsid w:val="002A2EF0"/>
    <w:rsid w:val="002A391C"/>
    <w:rsid w:val="002A3BEE"/>
    <w:rsid w:val="002A444F"/>
    <w:rsid w:val="002A4EC4"/>
    <w:rsid w:val="002A5635"/>
    <w:rsid w:val="002A6EF0"/>
    <w:rsid w:val="002A701E"/>
    <w:rsid w:val="002B035C"/>
    <w:rsid w:val="002B19D3"/>
    <w:rsid w:val="002B2326"/>
    <w:rsid w:val="002B2A70"/>
    <w:rsid w:val="002B2FB2"/>
    <w:rsid w:val="002B3559"/>
    <w:rsid w:val="002B76D9"/>
    <w:rsid w:val="002C057C"/>
    <w:rsid w:val="002C0BFA"/>
    <w:rsid w:val="002C1AF9"/>
    <w:rsid w:val="002C224C"/>
    <w:rsid w:val="002C31ED"/>
    <w:rsid w:val="002C523E"/>
    <w:rsid w:val="002C5376"/>
    <w:rsid w:val="002C5CD4"/>
    <w:rsid w:val="002C617C"/>
    <w:rsid w:val="002C62CE"/>
    <w:rsid w:val="002C6E5F"/>
    <w:rsid w:val="002C6F91"/>
    <w:rsid w:val="002D0755"/>
    <w:rsid w:val="002D0B7F"/>
    <w:rsid w:val="002D24C4"/>
    <w:rsid w:val="002D27C9"/>
    <w:rsid w:val="002D2BA7"/>
    <w:rsid w:val="002D2F33"/>
    <w:rsid w:val="002D5883"/>
    <w:rsid w:val="002D5D04"/>
    <w:rsid w:val="002D66EF"/>
    <w:rsid w:val="002D7B7C"/>
    <w:rsid w:val="002E115A"/>
    <w:rsid w:val="002E1CFF"/>
    <w:rsid w:val="002E26FF"/>
    <w:rsid w:val="002E30AD"/>
    <w:rsid w:val="002E3CEA"/>
    <w:rsid w:val="002E4370"/>
    <w:rsid w:val="002E583A"/>
    <w:rsid w:val="002E6F0E"/>
    <w:rsid w:val="002F174D"/>
    <w:rsid w:val="002F6DD5"/>
    <w:rsid w:val="002F764E"/>
    <w:rsid w:val="00300D03"/>
    <w:rsid w:val="00302413"/>
    <w:rsid w:val="00302B2C"/>
    <w:rsid w:val="00303EF4"/>
    <w:rsid w:val="003041E9"/>
    <w:rsid w:val="00305227"/>
    <w:rsid w:val="0030587F"/>
    <w:rsid w:val="0030676F"/>
    <w:rsid w:val="00306ADB"/>
    <w:rsid w:val="00307C2F"/>
    <w:rsid w:val="00310097"/>
    <w:rsid w:val="0031130D"/>
    <w:rsid w:val="003115BE"/>
    <w:rsid w:val="003117D8"/>
    <w:rsid w:val="00311DC4"/>
    <w:rsid w:val="00312473"/>
    <w:rsid w:val="00312DC3"/>
    <w:rsid w:val="00314343"/>
    <w:rsid w:val="00314357"/>
    <w:rsid w:val="00314394"/>
    <w:rsid w:val="00315CB0"/>
    <w:rsid w:val="00316480"/>
    <w:rsid w:val="00316BA3"/>
    <w:rsid w:val="00316C2C"/>
    <w:rsid w:val="0032041C"/>
    <w:rsid w:val="00320F60"/>
    <w:rsid w:val="003215C4"/>
    <w:rsid w:val="00322E72"/>
    <w:rsid w:val="00323D80"/>
    <w:rsid w:val="00324540"/>
    <w:rsid w:val="00324916"/>
    <w:rsid w:val="003308F6"/>
    <w:rsid w:val="0033197C"/>
    <w:rsid w:val="00331A75"/>
    <w:rsid w:val="00332001"/>
    <w:rsid w:val="00333190"/>
    <w:rsid w:val="00333DA6"/>
    <w:rsid w:val="003347A4"/>
    <w:rsid w:val="0033517F"/>
    <w:rsid w:val="003356FC"/>
    <w:rsid w:val="00335B70"/>
    <w:rsid w:val="0033612E"/>
    <w:rsid w:val="0034043B"/>
    <w:rsid w:val="00340E72"/>
    <w:rsid w:val="00342618"/>
    <w:rsid w:val="00342BC4"/>
    <w:rsid w:val="0034498C"/>
    <w:rsid w:val="00345054"/>
    <w:rsid w:val="00345FCA"/>
    <w:rsid w:val="00347122"/>
    <w:rsid w:val="003478C3"/>
    <w:rsid w:val="00350940"/>
    <w:rsid w:val="003509BD"/>
    <w:rsid w:val="00350BCB"/>
    <w:rsid w:val="00354010"/>
    <w:rsid w:val="0035460D"/>
    <w:rsid w:val="003549A4"/>
    <w:rsid w:val="00354BDD"/>
    <w:rsid w:val="00355710"/>
    <w:rsid w:val="00356AEF"/>
    <w:rsid w:val="00361A9F"/>
    <w:rsid w:val="00362105"/>
    <w:rsid w:val="003630EC"/>
    <w:rsid w:val="00363788"/>
    <w:rsid w:val="00363F18"/>
    <w:rsid w:val="003646D4"/>
    <w:rsid w:val="00365F8E"/>
    <w:rsid w:val="00370973"/>
    <w:rsid w:val="00372016"/>
    <w:rsid w:val="003720F1"/>
    <w:rsid w:val="003731FC"/>
    <w:rsid w:val="0037391D"/>
    <w:rsid w:val="003768C7"/>
    <w:rsid w:val="00376F74"/>
    <w:rsid w:val="0038276F"/>
    <w:rsid w:val="003835D8"/>
    <w:rsid w:val="0038540C"/>
    <w:rsid w:val="00385A69"/>
    <w:rsid w:val="0038660B"/>
    <w:rsid w:val="003879E3"/>
    <w:rsid w:val="003879E5"/>
    <w:rsid w:val="003907F2"/>
    <w:rsid w:val="0039115D"/>
    <w:rsid w:val="00391A9E"/>
    <w:rsid w:val="00391AF5"/>
    <w:rsid w:val="00392CD3"/>
    <w:rsid w:val="0039309A"/>
    <w:rsid w:val="00394C29"/>
    <w:rsid w:val="003952F7"/>
    <w:rsid w:val="00395E41"/>
    <w:rsid w:val="003A08D5"/>
    <w:rsid w:val="003A1AAE"/>
    <w:rsid w:val="003A203E"/>
    <w:rsid w:val="003A22FA"/>
    <w:rsid w:val="003A464C"/>
    <w:rsid w:val="003A61DA"/>
    <w:rsid w:val="003A6735"/>
    <w:rsid w:val="003A6B26"/>
    <w:rsid w:val="003A7CB2"/>
    <w:rsid w:val="003A7DCF"/>
    <w:rsid w:val="003B07C2"/>
    <w:rsid w:val="003B223C"/>
    <w:rsid w:val="003B22E1"/>
    <w:rsid w:val="003B363F"/>
    <w:rsid w:val="003B3669"/>
    <w:rsid w:val="003B4BD0"/>
    <w:rsid w:val="003B5F6C"/>
    <w:rsid w:val="003B6948"/>
    <w:rsid w:val="003B7341"/>
    <w:rsid w:val="003C00FB"/>
    <w:rsid w:val="003C0453"/>
    <w:rsid w:val="003C28FD"/>
    <w:rsid w:val="003C295C"/>
    <w:rsid w:val="003C2F24"/>
    <w:rsid w:val="003C3DB1"/>
    <w:rsid w:val="003C43B3"/>
    <w:rsid w:val="003C70ED"/>
    <w:rsid w:val="003C76F5"/>
    <w:rsid w:val="003D09F1"/>
    <w:rsid w:val="003D28D6"/>
    <w:rsid w:val="003D2A09"/>
    <w:rsid w:val="003D644E"/>
    <w:rsid w:val="003D669E"/>
    <w:rsid w:val="003E0A10"/>
    <w:rsid w:val="003E1394"/>
    <w:rsid w:val="003E2524"/>
    <w:rsid w:val="003E2C8A"/>
    <w:rsid w:val="003E3515"/>
    <w:rsid w:val="003E496C"/>
    <w:rsid w:val="003E513C"/>
    <w:rsid w:val="003E5D07"/>
    <w:rsid w:val="003E6868"/>
    <w:rsid w:val="003E7CA2"/>
    <w:rsid w:val="003F0170"/>
    <w:rsid w:val="003F09C3"/>
    <w:rsid w:val="003F1081"/>
    <w:rsid w:val="003F33BC"/>
    <w:rsid w:val="003F3FED"/>
    <w:rsid w:val="003F4FA7"/>
    <w:rsid w:val="003F57B5"/>
    <w:rsid w:val="003F5F99"/>
    <w:rsid w:val="0040162B"/>
    <w:rsid w:val="00401EB2"/>
    <w:rsid w:val="00401F7C"/>
    <w:rsid w:val="0040333F"/>
    <w:rsid w:val="00404FFC"/>
    <w:rsid w:val="0040507C"/>
    <w:rsid w:val="00405657"/>
    <w:rsid w:val="004063B8"/>
    <w:rsid w:val="004071E6"/>
    <w:rsid w:val="004077D5"/>
    <w:rsid w:val="00410732"/>
    <w:rsid w:val="00412B56"/>
    <w:rsid w:val="004144B7"/>
    <w:rsid w:val="00414574"/>
    <w:rsid w:val="0041470B"/>
    <w:rsid w:val="00416778"/>
    <w:rsid w:val="00416979"/>
    <w:rsid w:val="00417E9C"/>
    <w:rsid w:val="00420162"/>
    <w:rsid w:val="00422C38"/>
    <w:rsid w:val="0042327E"/>
    <w:rsid w:val="00423C48"/>
    <w:rsid w:val="00426A70"/>
    <w:rsid w:val="00430566"/>
    <w:rsid w:val="00430B75"/>
    <w:rsid w:val="00432CAC"/>
    <w:rsid w:val="00432DD8"/>
    <w:rsid w:val="00433280"/>
    <w:rsid w:val="004336CD"/>
    <w:rsid w:val="004359E7"/>
    <w:rsid w:val="00437834"/>
    <w:rsid w:val="004409E1"/>
    <w:rsid w:val="004430E5"/>
    <w:rsid w:val="00443F2D"/>
    <w:rsid w:val="00444976"/>
    <w:rsid w:val="00446741"/>
    <w:rsid w:val="00446FDB"/>
    <w:rsid w:val="004470F7"/>
    <w:rsid w:val="004472B6"/>
    <w:rsid w:val="00447A0D"/>
    <w:rsid w:val="004507CF"/>
    <w:rsid w:val="00450E51"/>
    <w:rsid w:val="004575CC"/>
    <w:rsid w:val="00457D8F"/>
    <w:rsid w:val="00457EE6"/>
    <w:rsid w:val="00461C4A"/>
    <w:rsid w:val="00461C67"/>
    <w:rsid w:val="0046354D"/>
    <w:rsid w:val="004640D3"/>
    <w:rsid w:val="0046440E"/>
    <w:rsid w:val="00464E4A"/>
    <w:rsid w:val="004658F4"/>
    <w:rsid w:val="00466D9D"/>
    <w:rsid w:val="00466F50"/>
    <w:rsid w:val="00471649"/>
    <w:rsid w:val="00472CB5"/>
    <w:rsid w:val="00472F98"/>
    <w:rsid w:val="00475296"/>
    <w:rsid w:val="004806F0"/>
    <w:rsid w:val="00481C7C"/>
    <w:rsid w:val="00482CE0"/>
    <w:rsid w:val="00483FED"/>
    <w:rsid w:val="00486568"/>
    <w:rsid w:val="00486B63"/>
    <w:rsid w:val="00486DD4"/>
    <w:rsid w:val="00486FC0"/>
    <w:rsid w:val="004918F5"/>
    <w:rsid w:val="00493A12"/>
    <w:rsid w:val="00496970"/>
    <w:rsid w:val="00497F29"/>
    <w:rsid w:val="004A02D4"/>
    <w:rsid w:val="004A0CCB"/>
    <w:rsid w:val="004A111D"/>
    <w:rsid w:val="004A2D8A"/>
    <w:rsid w:val="004A3626"/>
    <w:rsid w:val="004A3BC6"/>
    <w:rsid w:val="004A6C97"/>
    <w:rsid w:val="004A79F7"/>
    <w:rsid w:val="004A7CF2"/>
    <w:rsid w:val="004B131D"/>
    <w:rsid w:val="004B1401"/>
    <w:rsid w:val="004B1C13"/>
    <w:rsid w:val="004B5D1F"/>
    <w:rsid w:val="004C0F3B"/>
    <w:rsid w:val="004C1D70"/>
    <w:rsid w:val="004C3793"/>
    <w:rsid w:val="004C427D"/>
    <w:rsid w:val="004C5862"/>
    <w:rsid w:val="004D0324"/>
    <w:rsid w:val="004D1BEC"/>
    <w:rsid w:val="004D2F12"/>
    <w:rsid w:val="004D315C"/>
    <w:rsid w:val="004D3FEE"/>
    <w:rsid w:val="004D4B9B"/>
    <w:rsid w:val="004D4D12"/>
    <w:rsid w:val="004D4E74"/>
    <w:rsid w:val="004D544E"/>
    <w:rsid w:val="004D672D"/>
    <w:rsid w:val="004D723F"/>
    <w:rsid w:val="004E0930"/>
    <w:rsid w:val="004E200F"/>
    <w:rsid w:val="004E2431"/>
    <w:rsid w:val="004E2DB1"/>
    <w:rsid w:val="004E3214"/>
    <w:rsid w:val="004E33AE"/>
    <w:rsid w:val="004E427D"/>
    <w:rsid w:val="004E453A"/>
    <w:rsid w:val="004E5178"/>
    <w:rsid w:val="004E5352"/>
    <w:rsid w:val="004F07CF"/>
    <w:rsid w:val="004F1BB3"/>
    <w:rsid w:val="004F3529"/>
    <w:rsid w:val="004F57F3"/>
    <w:rsid w:val="004F6EE8"/>
    <w:rsid w:val="004F7ABE"/>
    <w:rsid w:val="00500B1F"/>
    <w:rsid w:val="0050409E"/>
    <w:rsid w:val="00504D3B"/>
    <w:rsid w:val="00506C4A"/>
    <w:rsid w:val="00512304"/>
    <w:rsid w:val="0051230E"/>
    <w:rsid w:val="00513577"/>
    <w:rsid w:val="0051381E"/>
    <w:rsid w:val="0051450A"/>
    <w:rsid w:val="0051549F"/>
    <w:rsid w:val="0051599B"/>
    <w:rsid w:val="00515C83"/>
    <w:rsid w:val="00517076"/>
    <w:rsid w:val="00520E33"/>
    <w:rsid w:val="00522E35"/>
    <w:rsid w:val="0052332C"/>
    <w:rsid w:val="0052388F"/>
    <w:rsid w:val="00525038"/>
    <w:rsid w:val="005300B5"/>
    <w:rsid w:val="00530530"/>
    <w:rsid w:val="005325CB"/>
    <w:rsid w:val="0053275B"/>
    <w:rsid w:val="00533E09"/>
    <w:rsid w:val="00533EFD"/>
    <w:rsid w:val="005341C8"/>
    <w:rsid w:val="00536CEB"/>
    <w:rsid w:val="0053763A"/>
    <w:rsid w:val="0054113F"/>
    <w:rsid w:val="0054282D"/>
    <w:rsid w:val="0054450B"/>
    <w:rsid w:val="0054455F"/>
    <w:rsid w:val="00545AD5"/>
    <w:rsid w:val="00546254"/>
    <w:rsid w:val="0054657E"/>
    <w:rsid w:val="00546917"/>
    <w:rsid w:val="00550813"/>
    <w:rsid w:val="00551113"/>
    <w:rsid w:val="00551E76"/>
    <w:rsid w:val="0055305B"/>
    <w:rsid w:val="00553FDA"/>
    <w:rsid w:val="00556A70"/>
    <w:rsid w:val="00556AC7"/>
    <w:rsid w:val="0055773F"/>
    <w:rsid w:val="00560297"/>
    <w:rsid w:val="00561E5F"/>
    <w:rsid w:val="00570380"/>
    <w:rsid w:val="005728F3"/>
    <w:rsid w:val="0057375D"/>
    <w:rsid w:val="00574687"/>
    <w:rsid w:val="00574AF5"/>
    <w:rsid w:val="00574FF2"/>
    <w:rsid w:val="005775FE"/>
    <w:rsid w:val="005802EF"/>
    <w:rsid w:val="0058077E"/>
    <w:rsid w:val="005811C0"/>
    <w:rsid w:val="0058141C"/>
    <w:rsid w:val="005816D2"/>
    <w:rsid w:val="005817EC"/>
    <w:rsid w:val="005818BE"/>
    <w:rsid w:val="00581B23"/>
    <w:rsid w:val="005824F7"/>
    <w:rsid w:val="00582BF7"/>
    <w:rsid w:val="00583793"/>
    <w:rsid w:val="00587244"/>
    <w:rsid w:val="00587A50"/>
    <w:rsid w:val="00591FE6"/>
    <w:rsid w:val="00592760"/>
    <w:rsid w:val="00592886"/>
    <w:rsid w:val="005939A2"/>
    <w:rsid w:val="005A02C3"/>
    <w:rsid w:val="005A3D01"/>
    <w:rsid w:val="005A523C"/>
    <w:rsid w:val="005A6B9B"/>
    <w:rsid w:val="005A72B1"/>
    <w:rsid w:val="005B0706"/>
    <w:rsid w:val="005B250E"/>
    <w:rsid w:val="005B2D23"/>
    <w:rsid w:val="005B3327"/>
    <w:rsid w:val="005B65B4"/>
    <w:rsid w:val="005B7366"/>
    <w:rsid w:val="005B7570"/>
    <w:rsid w:val="005B7A7B"/>
    <w:rsid w:val="005C109D"/>
    <w:rsid w:val="005C1D1B"/>
    <w:rsid w:val="005C2784"/>
    <w:rsid w:val="005C2F4A"/>
    <w:rsid w:val="005C420B"/>
    <w:rsid w:val="005C4BF5"/>
    <w:rsid w:val="005C4E31"/>
    <w:rsid w:val="005C5E5E"/>
    <w:rsid w:val="005C6EA8"/>
    <w:rsid w:val="005C73BC"/>
    <w:rsid w:val="005C7B35"/>
    <w:rsid w:val="005D0881"/>
    <w:rsid w:val="005D24B2"/>
    <w:rsid w:val="005D29E5"/>
    <w:rsid w:val="005D6CE3"/>
    <w:rsid w:val="005E104A"/>
    <w:rsid w:val="005E49C0"/>
    <w:rsid w:val="005E5355"/>
    <w:rsid w:val="005E5849"/>
    <w:rsid w:val="005E5B68"/>
    <w:rsid w:val="005E6B6F"/>
    <w:rsid w:val="005F003C"/>
    <w:rsid w:val="005F061C"/>
    <w:rsid w:val="005F3B06"/>
    <w:rsid w:val="005F6647"/>
    <w:rsid w:val="005F7B55"/>
    <w:rsid w:val="00601AE8"/>
    <w:rsid w:val="00602740"/>
    <w:rsid w:val="00603D02"/>
    <w:rsid w:val="00605633"/>
    <w:rsid w:val="0060754B"/>
    <w:rsid w:val="00607AE0"/>
    <w:rsid w:val="00612BD3"/>
    <w:rsid w:val="00612D41"/>
    <w:rsid w:val="006137DA"/>
    <w:rsid w:val="0062099F"/>
    <w:rsid w:val="00621230"/>
    <w:rsid w:val="00623522"/>
    <w:rsid w:val="006237D5"/>
    <w:rsid w:val="00625CB2"/>
    <w:rsid w:val="00626191"/>
    <w:rsid w:val="00626217"/>
    <w:rsid w:val="00630BA8"/>
    <w:rsid w:val="00631016"/>
    <w:rsid w:val="0063184D"/>
    <w:rsid w:val="00634B3F"/>
    <w:rsid w:val="00634F26"/>
    <w:rsid w:val="00640C32"/>
    <w:rsid w:val="006416D8"/>
    <w:rsid w:val="00641AEB"/>
    <w:rsid w:val="006420E9"/>
    <w:rsid w:val="0064536D"/>
    <w:rsid w:val="00646322"/>
    <w:rsid w:val="00646503"/>
    <w:rsid w:val="00646AC9"/>
    <w:rsid w:val="0064770D"/>
    <w:rsid w:val="0064796D"/>
    <w:rsid w:val="00650E88"/>
    <w:rsid w:val="0065347E"/>
    <w:rsid w:val="006540F9"/>
    <w:rsid w:val="00654CB4"/>
    <w:rsid w:val="006565A6"/>
    <w:rsid w:val="0065661B"/>
    <w:rsid w:val="00661613"/>
    <w:rsid w:val="006638DE"/>
    <w:rsid w:val="00663D31"/>
    <w:rsid w:val="00663DCE"/>
    <w:rsid w:val="00667390"/>
    <w:rsid w:val="00667F31"/>
    <w:rsid w:val="00673A6D"/>
    <w:rsid w:val="00673ED1"/>
    <w:rsid w:val="00674ABA"/>
    <w:rsid w:val="00675B7E"/>
    <w:rsid w:val="00676454"/>
    <w:rsid w:val="006768F8"/>
    <w:rsid w:val="00676C6A"/>
    <w:rsid w:val="006775FF"/>
    <w:rsid w:val="0068039A"/>
    <w:rsid w:val="00680958"/>
    <w:rsid w:val="00680AE8"/>
    <w:rsid w:val="00682201"/>
    <w:rsid w:val="00682EA4"/>
    <w:rsid w:val="00682F8D"/>
    <w:rsid w:val="006843E8"/>
    <w:rsid w:val="00684741"/>
    <w:rsid w:val="006853AE"/>
    <w:rsid w:val="00685BFF"/>
    <w:rsid w:val="00687544"/>
    <w:rsid w:val="00687584"/>
    <w:rsid w:val="00690D2C"/>
    <w:rsid w:val="00690E75"/>
    <w:rsid w:val="00690FFA"/>
    <w:rsid w:val="00692B6F"/>
    <w:rsid w:val="006972EB"/>
    <w:rsid w:val="006A02FD"/>
    <w:rsid w:val="006A165F"/>
    <w:rsid w:val="006A1AB0"/>
    <w:rsid w:val="006A389C"/>
    <w:rsid w:val="006A48A5"/>
    <w:rsid w:val="006A4A5E"/>
    <w:rsid w:val="006A4C95"/>
    <w:rsid w:val="006A5F60"/>
    <w:rsid w:val="006A6F95"/>
    <w:rsid w:val="006B1492"/>
    <w:rsid w:val="006B5904"/>
    <w:rsid w:val="006B7905"/>
    <w:rsid w:val="006C0662"/>
    <w:rsid w:val="006C1A7D"/>
    <w:rsid w:val="006C1BF3"/>
    <w:rsid w:val="006C1F56"/>
    <w:rsid w:val="006C2AE1"/>
    <w:rsid w:val="006C48DE"/>
    <w:rsid w:val="006C5608"/>
    <w:rsid w:val="006C5907"/>
    <w:rsid w:val="006D2A1D"/>
    <w:rsid w:val="006D3108"/>
    <w:rsid w:val="006D3CA5"/>
    <w:rsid w:val="006D3D58"/>
    <w:rsid w:val="006D4EA1"/>
    <w:rsid w:val="006D71D6"/>
    <w:rsid w:val="006D7804"/>
    <w:rsid w:val="006D7825"/>
    <w:rsid w:val="006E10F5"/>
    <w:rsid w:val="006E1281"/>
    <w:rsid w:val="006E1B45"/>
    <w:rsid w:val="006E1E58"/>
    <w:rsid w:val="006E3F94"/>
    <w:rsid w:val="006E4AE3"/>
    <w:rsid w:val="006E536C"/>
    <w:rsid w:val="006E5396"/>
    <w:rsid w:val="006E6C1D"/>
    <w:rsid w:val="006E700A"/>
    <w:rsid w:val="006E70A7"/>
    <w:rsid w:val="006E7B7C"/>
    <w:rsid w:val="006E7FBF"/>
    <w:rsid w:val="006F0C04"/>
    <w:rsid w:val="006F0C26"/>
    <w:rsid w:val="006F28AF"/>
    <w:rsid w:val="006F3079"/>
    <w:rsid w:val="006F5CA1"/>
    <w:rsid w:val="006F6EB4"/>
    <w:rsid w:val="006F7A12"/>
    <w:rsid w:val="006F7BDC"/>
    <w:rsid w:val="0070172F"/>
    <w:rsid w:val="007024B5"/>
    <w:rsid w:val="00703C7D"/>
    <w:rsid w:val="00703D94"/>
    <w:rsid w:val="007051C3"/>
    <w:rsid w:val="00705CCA"/>
    <w:rsid w:val="0070616C"/>
    <w:rsid w:val="00707616"/>
    <w:rsid w:val="00707AF7"/>
    <w:rsid w:val="00711AB9"/>
    <w:rsid w:val="007127F1"/>
    <w:rsid w:val="00713A88"/>
    <w:rsid w:val="0071591E"/>
    <w:rsid w:val="007163BE"/>
    <w:rsid w:val="00720EB3"/>
    <w:rsid w:val="00721012"/>
    <w:rsid w:val="00721130"/>
    <w:rsid w:val="00722002"/>
    <w:rsid w:val="0072303F"/>
    <w:rsid w:val="00724C16"/>
    <w:rsid w:val="00726FAB"/>
    <w:rsid w:val="007279E5"/>
    <w:rsid w:val="00727E09"/>
    <w:rsid w:val="00731B97"/>
    <w:rsid w:val="00731C17"/>
    <w:rsid w:val="0073363A"/>
    <w:rsid w:val="0073370E"/>
    <w:rsid w:val="00734436"/>
    <w:rsid w:val="00734DF0"/>
    <w:rsid w:val="0073577A"/>
    <w:rsid w:val="007362C6"/>
    <w:rsid w:val="007363EF"/>
    <w:rsid w:val="007364DF"/>
    <w:rsid w:val="00736D7D"/>
    <w:rsid w:val="00736FA0"/>
    <w:rsid w:val="00741971"/>
    <w:rsid w:val="00742438"/>
    <w:rsid w:val="007429F7"/>
    <w:rsid w:val="00745A6B"/>
    <w:rsid w:val="00746B58"/>
    <w:rsid w:val="00747324"/>
    <w:rsid w:val="00747CAB"/>
    <w:rsid w:val="00751D42"/>
    <w:rsid w:val="007526CE"/>
    <w:rsid w:val="00752B8C"/>
    <w:rsid w:val="00757326"/>
    <w:rsid w:val="007628F2"/>
    <w:rsid w:val="00764226"/>
    <w:rsid w:val="00764FFF"/>
    <w:rsid w:val="00770E54"/>
    <w:rsid w:val="00773F8C"/>
    <w:rsid w:val="00774C4A"/>
    <w:rsid w:val="00774D01"/>
    <w:rsid w:val="00776459"/>
    <w:rsid w:val="00777766"/>
    <w:rsid w:val="007817D7"/>
    <w:rsid w:val="00781A2D"/>
    <w:rsid w:val="00782FDD"/>
    <w:rsid w:val="00783180"/>
    <w:rsid w:val="00783413"/>
    <w:rsid w:val="007847BA"/>
    <w:rsid w:val="007849D3"/>
    <w:rsid w:val="007902E2"/>
    <w:rsid w:val="00792650"/>
    <w:rsid w:val="00792F8F"/>
    <w:rsid w:val="00794648"/>
    <w:rsid w:val="00795664"/>
    <w:rsid w:val="00796409"/>
    <w:rsid w:val="00796989"/>
    <w:rsid w:val="00797108"/>
    <w:rsid w:val="007A2B98"/>
    <w:rsid w:val="007A5F5D"/>
    <w:rsid w:val="007A7892"/>
    <w:rsid w:val="007B013B"/>
    <w:rsid w:val="007B08E5"/>
    <w:rsid w:val="007B16D8"/>
    <w:rsid w:val="007B3E80"/>
    <w:rsid w:val="007B5938"/>
    <w:rsid w:val="007B6869"/>
    <w:rsid w:val="007B6D03"/>
    <w:rsid w:val="007B7472"/>
    <w:rsid w:val="007B76CB"/>
    <w:rsid w:val="007B7943"/>
    <w:rsid w:val="007C00B6"/>
    <w:rsid w:val="007C0779"/>
    <w:rsid w:val="007C190B"/>
    <w:rsid w:val="007C1EA9"/>
    <w:rsid w:val="007C21F2"/>
    <w:rsid w:val="007C3C18"/>
    <w:rsid w:val="007C6013"/>
    <w:rsid w:val="007C6265"/>
    <w:rsid w:val="007D0FEB"/>
    <w:rsid w:val="007D13E4"/>
    <w:rsid w:val="007D1846"/>
    <w:rsid w:val="007D3772"/>
    <w:rsid w:val="007D45B1"/>
    <w:rsid w:val="007D56C2"/>
    <w:rsid w:val="007D59A9"/>
    <w:rsid w:val="007E2A1B"/>
    <w:rsid w:val="007E43BC"/>
    <w:rsid w:val="007E4717"/>
    <w:rsid w:val="007E4C19"/>
    <w:rsid w:val="007E6A2D"/>
    <w:rsid w:val="007F00E3"/>
    <w:rsid w:val="007F034F"/>
    <w:rsid w:val="007F061F"/>
    <w:rsid w:val="007F19D3"/>
    <w:rsid w:val="007F21C7"/>
    <w:rsid w:val="007F3B89"/>
    <w:rsid w:val="007F48E1"/>
    <w:rsid w:val="007F52A8"/>
    <w:rsid w:val="007F5F98"/>
    <w:rsid w:val="007F62C9"/>
    <w:rsid w:val="007F6703"/>
    <w:rsid w:val="007F70A8"/>
    <w:rsid w:val="007F7511"/>
    <w:rsid w:val="008007E0"/>
    <w:rsid w:val="00803FA4"/>
    <w:rsid w:val="008066F3"/>
    <w:rsid w:val="00806E6A"/>
    <w:rsid w:val="00810085"/>
    <w:rsid w:val="00810268"/>
    <w:rsid w:val="00811DC1"/>
    <w:rsid w:val="008128EE"/>
    <w:rsid w:val="00813C05"/>
    <w:rsid w:val="00817B12"/>
    <w:rsid w:val="00817EFD"/>
    <w:rsid w:val="008207EF"/>
    <w:rsid w:val="00820E6F"/>
    <w:rsid w:val="00821D20"/>
    <w:rsid w:val="00823912"/>
    <w:rsid w:val="00823A9D"/>
    <w:rsid w:val="0082455C"/>
    <w:rsid w:val="00824663"/>
    <w:rsid w:val="00824C22"/>
    <w:rsid w:val="0083110F"/>
    <w:rsid w:val="00832F9C"/>
    <w:rsid w:val="00833FE0"/>
    <w:rsid w:val="00834474"/>
    <w:rsid w:val="00837918"/>
    <w:rsid w:val="008401DC"/>
    <w:rsid w:val="008414CA"/>
    <w:rsid w:val="0084163A"/>
    <w:rsid w:val="00844D17"/>
    <w:rsid w:val="00847A29"/>
    <w:rsid w:val="00851C0D"/>
    <w:rsid w:val="008534EC"/>
    <w:rsid w:val="00853D4F"/>
    <w:rsid w:val="008558BA"/>
    <w:rsid w:val="00857354"/>
    <w:rsid w:val="0085738C"/>
    <w:rsid w:val="00860D58"/>
    <w:rsid w:val="00862529"/>
    <w:rsid w:val="00865F07"/>
    <w:rsid w:val="0086602D"/>
    <w:rsid w:val="008663EF"/>
    <w:rsid w:val="008710CD"/>
    <w:rsid w:val="00871F17"/>
    <w:rsid w:val="0087417C"/>
    <w:rsid w:val="00876B3D"/>
    <w:rsid w:val="00877145"/>
    <w:rsid w:val="008773F8"/>
    <w:rsid w:val="00877C00"/>
    <w:rsid w:val="00882DD6"/>
    <w:rsid w:val="008853FB"/>
    <w:rsid w:val="00885DE9"/>
    <w:rsid w:val="00886758"/>
    <w:rsid w:val="00887312"/>
    <w:rsid w:val="008873FD"/>
    <w:rsid w:val="00887EE9"/>
    <w:rsid w:val="0089048A"/>
    <w:rsid w:val="00892483"/>
    <w:rsid w:val="008953A2"/>
    <w:rsid w:val="008962E8"/>
    <w:rsid w:val="008A136D"/>
    <w:rsid w:val="008A254A"/>
    <w:rsid w:val="008A5014"/>
    <w:rsid w:val="008A5170"/>
    <w:rsid w:val="008A7BE1"/>
    <w:rsid w:val="008B0869"/>
    <w:rsid w:val="008B10D3"/>
    <w:rsid w:val="008B1C5C"/>
    <w:rsid w:val="008B258F"/>
    <w:rsid w:val="008B26E6"/>
    <w:rsid w:val="008B2C45"/>
    <w:rsid w:val="008B2FAD"/>
    <w:rsid w:val="008B4A00"/>
    <w:rsid w:val="008B4D7E"/>
    <w:rsid w:val="008B6AF2"/>
    <w:rsid w:val="008B755A"/>
    <w:rsid w:val="008C033A"/>
    <w:rsid w:val="008C03D6"/>
    <w:rsid w:val="008C2279"/>
    <w:rsid w:val="008C27D9"/>
    <w:rsid w:val="008C2B2E"/>
    <w:rsid w:val="008C3790"/>
    <w:rsid w:val="008C3A2E"/>
    <w:rsid w:val="008C4EBC"/>
    <w:rsid w:val="008C5039"/>
    <w:rsid w:val="008C6991"/>
    <w:rsid w:val="008C6AAA"/>
    <w:rsid w:val="008C757D"/>
    <w:rsid w:val="008C7EC1"/>
    <w:rsid w:val="008D0373"/>
    <w:rsid w:val="008D26CD"/>
    <w:rsid w:val="008D2ADD"/>
    <w:rsid w:val="008D32A0"/>
    <w:rsid w:val="008D33D8"/>
    <w:rsid w:val="008D45EB"/>
    <w:rsid w:val="008D5084"/>
    <w:rsid w:val="008D59EC"/>
    <w:rsid w:val="008D5A99"/>
    <w:rsid w:val="008D5F1E"/>
    <w:rsid w:val="008D64AE"/>
    <w:rsid w:val="008D7FEB"/>
    <w:rsid w:val="008E2E97"/>
    <w:rsid w:val="008E3328"/>
    <w:rsid w:val="008E38CB"/>
    <w:rsid w:val="008E3CAC"/>
    <w:rsid w:val="008E4483"/>
    <w:rsid w:val="008E4AFF"/>
    <w:rsid w:val="008E53E7"/>
    <w:rsid w:val="008E5CE1"/>
    <w:rsid w:val="008F030B"/>
    <w:rsid w:val="008F0951"/>
    <w:rsid w:val="008F0A8B"/>
    <w:rsid w:val="008F30BB"/>
    <w:rsid w:val="008F3389"/>
    <w:rsid w:val="008F3A68"/>
    <w:rsid w:val="008F3DD6"/>
    <w:rsid w:val="008F3F7A"/>
    <w:rsid w:val="008F4CED"/>
    <w:rsid w:val="008F65AC"/>
    <w:rsid w:val="008F689E"/>
    <w:rsid w:val="008F6C8F"/>
    <w:rsid w:val="00900E2B"/>
    <w:rsid w:val="00901C9E"/>
    <w:rsid w:val="00902AD6"/>
    <w:rsid w:val="0090356C"/>
    <w:rsid w:val="00903758"/>
    <w:rsid w:val="00906732"/>
    <w:rsid w:val="00906A81"/>
    <w:rsid w:val="00907248"/>
    <w:rsid w:val="009073CD"/>
    <w:rsid w:val="0090766F"/>
    <w:rsid w:val="00911457"/>
    <w:rsid w:val="00911610"/>
    <w:rsid w:val="00911782"/>
    <w:rsid w:val="00911C40"/>
    <w:rsid w:val="00911E69"/>
    <w:rsid w:val="00912744"/>
    <w:rsid w:val="00914B58"/>
    <w:rsid w:val="00917942"/>
    <w:rsid w:val="00920028"/>
    <w:rsid w:val="00920EEF"/>
    <w:rsid w:val="009212FE"/>
    <w:rsid w:val="009236C1"/>
    <w:rsid w:val="00924D28"/>
    <w:rsid w:val="009254E5"/>
    <w:rsid w:val="00927BFD"/>
    <w:rsid w:val="00927E25"/>
    <w:rsid w:val="00932985"/>
    <w:rsid w:val="009330E8"/>
    <w:rsid w:val="00934470"/>
    <w:rsid w:val="00936210"/>
    <w:rsid w:val="009373C6"/>
    <w:rsid w:val="009400C3"/>
    <w:rsid w:val="00941AB6"/>
    <w:rsid w:val="00942D74"/>
    <w:rsid w:val="00943490"/>
    <w:rsid w:val="00943839"/>
    <w:rsid w:val="00947C34"/>
    <w:rsid w:val="00947FBB"/>
    <w:rsid w:val="009512E2"/>
    <w:rsid w:val="00952868"/>
    <w:rsid w:val="00955B4D"/>
    <w:rsid w:val="009561F2"/>
    <w:rsid w:val="009565FB"/>
    <w:rsid w:val="009576AD"/>
    <w:rsid w:val="00957910"/>
    <w:rsid w:val="00960D3A"/>
    <w:rsid w:val="00961CAB"/>
    <w:rsid w:val="00962252"/>
    <w:rsid w:val="00962C98"/>
    <w:rsid w:val="0096304E"/>
    <w:rsid w:val="00963B1E"/>
    <w:rsid w:val="00964CD0"/>
    <w:rsid w:val="00967C2B"/>
    <w:rsid w:val="00971434"/>
    <w:rsid w:val="0097207C"/>
    <w:rsid w:val="00972448"/>
    <w:rsid w:val="00976CFE"/>
    <w:rsid w:val="00977645"/>
    <w:rsid w:val="009778DD"/>
    <w:rsid w:val="00977A17"/>
    <w:rsid w:val="00977EEF"/>
    <w:rsid w:val="00980025"/>
    <w:rsid w:val="009804D6"/>
    <w:rsid w:val="0098608E"/>
    <w:rsid w:val="00987454"/>
    <w:rsid w:val="0099071C"/>
    <w:rsid w:val="009908E8"/>
    <w:rsid w:val="00992C1C"/>
    <w:rsid w:val="00992DEA"/>
    <w:rsid w:val="00992EF3"/>
    <w:rsid w:val="00995E6D"/>
    <w:rsid w:val="00997323"/>
    <w:rsid w:val="0099745C"/>
    <w:rsid w:val="00997943"/>
    <w:rsid w:val="00997C78"/>
    <w:rsid w:val="00997F9E"/>
    <w:rsid w:val="009A0091"/>
    <w:rsid w:val="009A1D64"/>
    <w:rsid w:val="009A1F2E"/>
    <w:rsid w:val="009A2671"/>
    <w:rsid w:val="009A375E"/>
    <w:rsid w:val="009A5FCA"/>
    <w:rsid w:val="009A6C51"/>
    <w:rsid w:val="009A7966"/>
    <w:rsid w:val="009B135D"/>
    <w:rsid w:val="009B5167"/>
    <w:rsid w:val="009C1E24"/>
    <w:rsid w:val="009C3617"/>
    <w:rsid w:val="009C4057"/>
    <w:rsid w:val="009C5980"/>
    <w:rsid w:val="009C5BF6"/>
    <w:rsid w:val="009D2D45"/>
    <w:rsid w:val="009D327D"/>
    <w:rsid w:val="009D4AF7"/>
    <w:rsid w:val="009D68B1"/>
    <w:rsid w:val="009E02A1"/>
    <w:rsid w:val="009E050E"/>
    <w:rsid w:val="009E16CB"/>
    <w:rsid w:val="009E287E"/>
    <w:rsid w:val="009E6017"/>
    <w:rsid w:val="009E60C4"/>
    <w:rsid w:val="009E68F8"/>
    <w:rsid w:val="009F0182"/>
    <w:rsid w:val="009F16E6"/>
    <w:rsid w:val="00A0169C"/>
    <w:rsid w:val="00A021E7"/>
    <w:rsid w:val="00A03CD9"/>
    <w:rsid w:val="00A04B57"/>
    <w:rsid w:val="00A057C5"/>
    <w:rsid w:val="00A05B27"/>
    <w:rsid w:val="00A06525"/>
    <w:rsid w:val="00A06BA5"/>
    <w:rsid w:val="00A06FAC"/>
    <w:rsid w:val="00A10343"/>
    <w:rsid w:val="00A104C6"/>
    <w:rsid w:val="00A1082F"/>
    <w:rsid w:val="00A1090C"/>
    <w:rsid w:val="00A11219"/>
    <w:rsid w:val="00A113C3"/>
    <w:rsid w:val="00A11A20"/>
    <w:rsid w:val="00A13E57"/>
    <w:rsid w:val="00A143DD"/>
    <w:rsid w:val="00A146A1"/>
    <w:rsid w:val="00A14A43"/>
    <w:rsid w:val="00A159A8"/>
    <w:rsid w:val="00A16EDA"/>
    <w:rsid w:val="00A20BB3"/>
    <w:rsid w:val="00A220C6"/>
    <w:rsid w:val="00A222C8"/>
    <w:rsid w:val="00A25B9C"/>
    <w:rsid w:val="00A261AA"/>
    <w:rsid w:val="00A27A6F"/>
    <w:rsid w:val="00A3020C"/>
    <w:rsid w:val="00A32045"/>
    <w:rsid w:val="00A32EA6"/>
    <w:rsid w:val="00A33AA7"/>
    <w:rsid w:val="00A34961"/>
    <w:rsid w:val="00A35470"/>
    <w:rsid w:val="00A36C3A"/>
    <w:rsid w:val="00A3764E"/>
    <w:rsid w:val="00A42A0F"/>
    <w:rsid w:val="00A42A4D"/>
    <w:rsid w:val="00A44F56"/>
    <w:rsid w:val="00A454D5"/>
    <w:rsid w:val="00A46296"/>
    <w:rsid w:val="00A4774A"/>
    <w:rsid w:val="00A50832"/>
    <w:rsid w:val="00A555D3"/>
    <w:rsid w:val="00A57C62"/>
    <w:rsid w:val="00A6052D"/>
    <w:rsid w:val="00A6063F"/>
    <w:rsid w:val="00A613CB"/>
    <w:rsid w:val="00A61587"/>
    <w:rsid w:val="00A62CD4"/>
    <w:rsid w:val="00A72DB9"/>
    <w:rsid w:val="00A73E11"/>
    <w:rsid w:val="00A74688"/>
    <w:rsid w:val="00A76673"/>
    <w:rsid w:val="00A77BCC"/>
    <w:rsid w:val="00A8099C"/>
    <w:rsid w:val="00A81A9F"/>
    <w:rsid w:val="00A8281D"/>
    <w:rsid w:val="00A83F50"/>
    <w:rsid w:val="00A844DF"/>
    <w:rsid w:val="00A867B4"/>
    <w:rsid w:val="00A87CBF"/>
    <w:rsid w:val="00A87F77"/>
    <w:rsid w:val="00A9119D"/>
    <w:rsid w:val="00A937B8"/>
    <w:rsid w:val="00A93D80"/>
    <w:rsid w:val="00A93F84"/>
    <w:rsid w:val="00A94171"/>
    <w:rsid w:val="00A94357"/>
    <w:rsid w:val="00A947E9"/>
    <w:rsid w:val="00A95627"/>
    <w:rsid w:val="00A962A0"/>
    <w:rsid w:val="00A96497"/>
    <w:rsid w:val="00A96A8E"/>
    <w:rsid w:val="00AA24AD"/>
    <w:rsid w:val="00AA26D0"/>
    <w:rsid w:val="00AA2F7A"/>
    <w:rsid w:val="00AA50C6"/>
    <w:rsid w:val="00AA5429"/>
    <w:rsid w:val="00AB0201"/>
    <w:rsid w:val="00AB3F92"/>
    <w:rsid w:val="00AB4C51"/>
    <w:rsid w:val="00AC0940"/>
    <w:rsid w:val="00AC1584"/>
    <w:rsid w:val="00AC1F36"/>
    <w:rsid w:val="00AC2510"/>
    <w:rsid w:val="00AC5156"/>
    <w:rsid w:val="00AC5E1D"/>
    <w:rsid w:val="00AD0099"/>
    <w:rsid w:val="00AD0C5D"/>
    <w:rsid w:val="00AD0DFA"/>
    <w:rsid w:val="00AD4EDA"/>
    <w:rsid w:val="00AD5DA9"/>
    <w:rsid w:val="00AD7515"/>
    <w:rsid w:val="00AD7BFB"/>
    <w:rsid w:val="00AD7DAB"/>
    <w:rsid w:val="00AE04C0"/>
    <w:rsid w:val="00AE0884"/>
    <w:rsid w:val="00AE0C65"/>
    <w:rsid w:val="00AE21E8"/>
    <w:rsid w:val="00AE272C"/>
    <w:rsid w:val="00AE3053"/>
    <w:rsid w:val="00AE5027"/>
    <w:rsid w:val="00AE6418"/>
    <w:rsid w:val="00AE67A9"/>
    <w:rsid w:val="00AE7151"/>
    <w:rsid w:val="00AF0D7D"/>
    <w:rsid w:val="00AF17F5"/>
    <w:rsid w:val="00AF2BA3"/>
    <w:rsid w:val="00AF35D3"/>
    <w:rsid w:val="00AF3C08"/>
    <w:rsid w:val="00AF579A"/>
    <w:rsid w:val="00B01ABB"/>
    <w:rsid w:val="00B01AE8"/>
    <w:rsid w:val="00B02226"/>
    <w:rsid w:val="00B02A3B"/>
    <w:rsid w:val="00B044D6"/>
    <w:rsid w:val="00B053B6"/>
    <w:rsid w:val="00B06823"/>
    <w:rsid w:val="00B075F2"/>
    <w:rsid w:val="00B105C2"/>
    <w:rsid w:val="00B10A70"/>
    <w:rsid w:val="00B1119F"/>
    <w:rsid w:val="00B12214"/>
    <w:rsid w:val="00B124AA"/>
    <w:rsid w:val="00B12DE4"/>
    <w:rsid w:val="00B13673"/>
    <w:rsid w:val="00B14867"/>
    <w:rsid w:val="00B156E7"/>
    <w:rsid w:val="00B16A57"/>
    <w:rsid w:val="00B2090A"/>
    <w:rsid w:val="00B215EE"/>
    <w:rsid w:val="00B21C39"/>
    <w:rsid w:val="00B21CBF"/>
    <w:rsid w:val="00B21F86"/>
    <w:rsid w:val="00B222BC"/>
    <w:rsid w:val="00B2264F"/>
    <w:rsid w:val="00B23A72"/>
    <w:rsid w:val="00B255BE"/>
    <w:rsid w:val="00B260B0"/>
    <w:rsid w:val="00B27BF9"/>
    <w:rsid w:val="00B30BA6"/>
    <w:rsid w:val="00B320B8"/>
    <w:rsid w:val="00B3317E"/>
    <w:rsid w:val="00B3338B"/>
    <w:rsid w:val="00B34455"/>
    <w:rsid w:val="00B34482"/>
    <w:rsid w:val="00B34B01"/>
    <w:rsid w:val="00B34C6D"/>
    <w:rsid w:val="00B35A62"/>
    <w:rsid w:val="00B35C84"/>
    <w:rsid w:val="00B36895"/>
    <w:rsid w:val="00B36BF4"/>
    <w:rsid w:val="00B40C8D"/>
    <w:rsid w:val="00B42495"/>
    <w:rsid w:val="00B43829"/>
    <w:rsid w:val="00B4437C"/>
    <w:rsid w:val="00B475D4"/>
    <w:rsid w:val="00B47760"/>
    <w:rsid w:val="00B4785D"/>
    <w:rsid w:val="00B51228"/>
    <w:rsid w:val="00B53817"/>
    <w:rsid w:val="00B54FD3"/>
    <w:rsid w:val="00B55116"/>
    <w:rsid w:val="00B55C3C"/>
    <w:rsid w:val="00B57D0F"/>
    <w:rsid w:val="00B57EB4"/>
    <w:rsid w:val="00B60366"/>
    <w:rsid w:val="00B608A6"/>
    <w:rsid w:val="00B62A62"/>
    <w:rsid w:val="00B63899"/>
    <w:rsid w:val="00B63C06"/>
    <w:rsid w:val="00B642AD"/>
    <w:rsid w:val="00B67891"/>
    <w:rsid w:val="00B712FD"/>
    <w:rsid w:val="00B71C65"/>
    <w:rsid w:val="00B71C7D"/>
    <w:rsid w:val="00B75315"/>
    <w:rsid w:val="00B76455"/>
    <w:rsid w:val="00B77F42"/>
    <w:rsid w:val="00B81BD9"/>
    <w:rsid w:val="00B823AD"/>
    <w:rsid w:val="00B82950"/>
    <w:rsid w:val="00B83C08"/>
    <w:rsid w:val="00B83E84"/>
    <w:rsid w:val="00B83EB0"/>
    <w:rsid w:val="00B84E79"/>
    <w:rsid w:val="00B8613A"/>
    <w:rsid w:val="00B904D4"/>
    <w:rsid w:val="00B90920"/>
    <w:rsid w:val="00B91E35"/>
    <w:rsid w:val="00B94A22"/>
    <w:rsid w:val="00B95626"/>
    <w:rsid w:val="00B960C1"/>
    <w:rsid w:val="00B96673"/>
    <w:rsid w:val="00B967F2"/>
    <w:rsid w:val="00BA06F2"/>
    <w:rsid w:val="00BA0E2C"/>
    <w:rsid w:val="00BA1554"/>
    <w:rsid w:val="00BA259F"/>
    <w:rsid w:val="00BA39CB"/>
    <w:rsid w:val="00BA50B0"/>
    <w:rsid w:val="00BA53EA"/>
    <w:rsid w:val="00BA544D"/>
    <w:rsid w:val="00BA5D66"/>
    <w:rsid w:val="00BB1A28"/>
    <w:rsid w:val="00BB4F1D"/>
    <w:rsid w:val="00BB7CCA"/>
    <w:rsid w:val="00BC38A8"/>
    <w:rsid w:val="00BC44A2"/>
    <w:rsid w:val="00BD0281"/>
    <w:rsid w:val="00BD0A58"/>
    <w:rsid w:val="00BD2C59"/>
    <w:rsid w:val="00BD5D76"/>
    <w:rsid w:val="00BD6898"/>
    <w:rsid w:val="00BD6A83"/>
    <w:rsid w:val="00BD74CA"/>
    <w:rsid w:val="00BD7B33"/>
    <w:rsid w:val="00BE1451"/>
    <w:rsid w:val="00BE16A7"/>
    <w:rsid w:val="00BE1F9C"/>
    <w:rsid w:val="00BE74DC"/>
    <w:rsid w:val="00BE7C10"/>
    <w:rsid w:val="00BE7E3A"/>
    <w:rsid w:val="00BF004A"/>
    <w:rsid w:val="00BF021A"/>
    <w:rsid w:val="00BF025A"/>
    <w:rsid w:val="00BF1BF3"/>
    <w:rsid w:val="00BF4755"/>
    <w:rsid w:val="00BF5CBF"/>
    <w:rsid w:val="00BF5E96"/>
    <w:rsid w:val="00BF61C8"/>
    <w:rsid w:val="00BF6370"/>
    <w:rsid w:val="00C00E6A"/>
    <w:rsid w:val="00C033A7"/>
    <w:rsid w:val="00C03DD4"/>
    <w:rsid w:val="00C04424"/>
    <w:rsid w:val="00C04D67"/>
    <w:rsid w:val="00C06E38"/>
    <w:rsid w:val="00C11AAE"/>
    <w:rsid w:val="00C120ED"/>
    <w:rsid w:val="00C15732"/>
    <w:rsid w:val="00C15DAF"/>
    <w:rsid w:val="00C160CE"/>
    <w:rsid w:val="00C222FB"/>
    <w:rsid w:val="00C233C1"/>
    <w:rsid w:val="00C24671"/>
    <w:rsid w:val="00C247F3"/>
    <w:rsid w:val="00C3040B"/>
    <w:rsid w:val="00C320F5"/>
    <w:rsid w:val="00C327E6"/>
    <w:rsid w:val="00C35AB3"/>
    <w:rsid w:val="00C40C97"/>
    <w:rsid w:val="00C41442"/>
    <w:rsid w:val="00C43CD0"/>
    <w:rsid w:val="00C4491D"/>
    <w:rsid w:val="00C45CF4"/>
    <w:rsid w:val="00C4611E"/>
    <w:rsid w:val="00C5144A"/>
    <w:rsid w:val="00C53064"/>
    <w:rsid w:val="00C53AF0"/>
    <w:rsid w:val="00C542FC"/>
    <w:rsid w:val="00C5513F"/>
    <w:rsid w:val="00C56152"/>
    <w:rsid w:val="00C5639C"/>
    <w:rsid w:val="00C573A5"/>
    <w:rsid w:val="00C61A05"/>
    <w:rsid w:val="00C62A3D"/>
    <w:rsid w:val="00C65E5C"/>
    <w:rsid w:val="00C66F79"/>
    <w:rsid w:val="00C67932"/>
    <w:rsid w:val="00C70A72"/>
    <w:rsid w:val="00C71497"/>
    <w:rsid w:val="00C71D96"/>
    <w:rsid w:val="00C71F24"/>
    <w:rsid w:val="00C72132"/>
    <w:rsid w:val="00C742FA"/>
    <w:rsid w:val="00C7484A"/>
    <w:rsid w:val="00C74985"/>
    <w:rsid w:val="00C75A85"/>
    <w:rsid w:val="00C761A8"/>
    <w:rsid w:val="00C76AFE"/>
    <w:rsid w:val="00C778A6"/>
    <w:rsid w:val="00C77CE2"/>
    <w:rsid w:val="00C80D3D"/>
    <w:rsid w:val="00C81257"/>
    <w:rsid w:val="00C81672"/>
    <w:rsid w:val="00C81876"/>
    <w:rsid w:val="00C8300B"/>
    <w:rsid w:val="00C84212"/>
    <w:rsid w:val="00C86422"/>
    <w:rsid w:val="00C87447"/>
    <w:rsid w:val="00C875E9"/>
    <w:rsid w:val="00C87986"/>
    <w:rsid w:val="00C87EF6"/>
    <w:rsid w:val="00C90E46"/>
    <w:rsid w:val="00C93A07"/>
    <w:rsid w:val="00C93C9B"/>
    <w:rsid w:val="00C957C4"/>
    <w:rsid w:val="00C95840"/>
    <w:rsid w:val="00C95C57"/>
    <w:rsid w:val="00C965B9"/>
    <w:rsid w:val="00C965D7"/>
    <w:rsid w:val="00CA1DD9"/>
    <w:rsid w:val="00CA489A"/>
    <w:rsid w:val="00CA50B9"/>
    <w:rsid w:val="00CA5CBF"/>
    <w:rsid w:val="00CA7538"/>
    <w:rsid w:val="00CA7728"/>
    <w:rsid w:val="00CB0A0E"/>
    <w:rsid w:val="00CB133B"/>
    <w:rsid w:val="00CB17FA"/>
    <w:rsid w:val="00CB2BBF"/>
    <w:rsid w:val="00CB3167"/>
    <w:rsid w:val="00CB791B"/>
    <w:rsid w:val="00CB7D25"/>
    <w:rsid w:val="00CC1ED7"/>
    <w:rsid w:val="00CC3883"/>
    <w:rsid w:val="00CC3AB0"/>
    <w:rsid w:val="00CC3D5B"/>
    <w:rsid w:val="00CC453F"/>
    <w:rsid w:val="00CC4692"/>
    <w:rsid w:val="00CC6ABA"/>
    <w:rsid w:val="00CD0B52"/>
    <w:rsid w:val="00CD0B82"/>
    <w:rsid w:val="00CD25F3"/>
    <w:rsid w:val="00CD279A"/>
    <w:rsid w:val="00CD5A3F"/>
    <w:rsid w:val="00CD6472"/>
    <w:rsid w:val="00CD6BF2"/>
    <w:rsid w:val="00CD7183"/>
    <w:rsid w:val="00CD7830"/>
    <w:rsid w:val="00CD7946"/>
    <w:rsid w:val="00CE0CC9"/>
    <w:rsid w:val="00CE0EA0"/>
    <w:rsid w:val="00CE153F"/>
    <w:rsid w:val="00CE18AB"/>
    <w:rsid w:val="00CE18FF"/>
    <w:rsid w:val="00CE45C8"/>
    <w:rsid w:val="00CE4F8E"/>
    <w:rsid w:val="00CE66D3"/>
    <w:rsid w:val="00CE7359"/>
    <w:rsid w:val="00CF230E"/>
    <w:rsid w:val="00CF2993"/>
    <w:rsid w:val="00CF2F3B"/>
    <w:rsid w:val="00CF3691"/>
    <w:rsid w:val="00CF487E"/>
    <w:rsid w:val="00CF48F4"/>
    <w:rsid w:val="00CF4EDB"/>
    <w:rsid w:val="00CF5B56"/>
    <w:rsid w:val="00CF5C1A"/>
    <w:rsid w:val="00CF5F57"/>
    <w:rsid w:val="00CF719A"/>
    <w:rsid w:val="00CF7B38"/>
    <w:rsid w:val="00D029B8"/>
    <w:rsid w:val="00D02D9C"/>
    <w:rsid w:val="00D03016"/>
    <w:rsid w:val="00D03D14"/>
    <w:rsid w:val="00D04201"/>
    <w:rsid w:val="00D06113"/>
    <w:rsid w:val="00D077E5"/>
    <w:rsid w:val="00D07CFB"/>
    <w:rsid w:val="00D07FD2"/>
    <w:rsid w:val="00D10936"/>
    <w:rsid w:val="00D129EF"/>
    <w:rsid w:val="00D139C3"/>
    <w:rsid w:val="00D13EE0"/>
    <w:rsid w:val="00D200ED"/>
    <w:rsid w:val="00D21A68"/>
    <w:rsid w:val="00D23A8E"/>
    <w:rsid w:val="00D245C7"/>
    <w:rsid w:val="00D263AD"/>
    <w:rsid w:val="00D26445"/>
    <w:rsid w:val="00D265F2"/>
    <w:rsid w:val="00D303BF"/>
    <w:rsid w:val="00D31ECD"/>
    <w:rsid w:val="00D3252D"/>
    <w:rsid w:val="00D32853"/>
    <w:rsid w:val="00D34475"/>
    <w:rsid w:val="00D34608"/>
    <w:rsid w:val="00D346A3"/>
    <w:rsid w:val="00D34AE9"/>
    <w:rsid w:val="00D40598"/>
    <w:rsid w:val="00D40BE4"/>
    <w:rsid w:val="00D42B5F"/>
    <w:rsid w:val="00D42D21"/>
    <w:rsid w:val="00D42FE5"/>
    <w:rsid w:val="00D43AA5"/>
    <w:rsid w:val="00D440A3"/>
    <w:rsid w:val="00D4461A"/>
    <w:rsid w:val="00D45E99"/>
    <w:rsid w:val="00D47EF0"/>
    <w:rsid w:val="00D50BF2"/>
    <w:rsid w:val="00D5253E"/>
    <w:rsid w:val="00D52AD4"/>
    <w:rsid w:val="00D5305B"/>
    <w:rsid w:val="00D5544B"/>
    <w:rsid w:val="00D60F9F"/>
    <w:rsid w:val="00D61959"/>
    <w:rsid w:val="00D62B6A"/>
    <w:rsid w:val="00D64A55"/>
    <w:rsid w:val="00D6717E"/>
    <w:rsid w:val="00D67B21"/>
    <w:rsid w:val="00D67B86"/>
    <w:rsid w:val="00D71178"/>
    <w:rsid w:val="00D73813"/>
    <w:rsid w:val="00D7410C"/>
    <w:rsid w:val="00D7546F"/>
    <w:rsid w:val="00D7583B"/>
    <w:rsid w:val="00D76CD3"/>
    <w:rsid w:val="00D7776A"/>
    <w:rsid w:val="00D80415"/>
    <w:rsid w:val="00D8075E"/>
    <w:rsid w:val="00D80D73"/>
    <w:rsid w:val="00D8199E"/>
    <w:rsid w:val="00D83567"/>
    <w:rsid w:val="00D843E4"/>
    <w:rsid w:val="00D846F6"/>
    <w:rsid w:val="00D84969"/>
    <w:rsid w:val="00D8737B"/>
    <w:rsid w:val="00D91BA3"/>
    <w:rsid w:val="00D93E43"/>
    <w:rsid w:val="00D9406D"/>
    <w:rsid w:val="00D95956"/>
    <w:rsid w:val="00D95E1A"/>
    <w:rsid w:val="00D96592"/>
    <w:rsid w:val="00DA283F"/>
    <w:rsid w:val="00DA378B"/>
    <w:rsid w:val="00DA41B2"/>
    <w:rsid w:val="00DA4F32"/>
    <w:rsid w:val="00DA5449"/>
    <w:rsid w:val="00DA55A6"/>
    <w:rsid w:val="00DA589C"/>
    <w:rsid w:val="00DB0285"/>
    <w:rsid w:val="00DB11F0"/>
    <w:rsid w:val="00DB1994"/>
    <w:rsid w:val="00DB1D42"/>
    <w:rsid w:val="00DB33D4"/>
    <w:rsid w:val="00DB3743"/>
    <w:rsid w:val="00DB46D0"/>
    <w:rsid w:val="00DB5B7E"/>
    <w:rsid w:val="00DC030C"/>
    <w:rsid w:val="00DC0D2D"/>
    <w:rsid w:val="00DC1D0D"/>
    <w:rsid w:val="00DC1F40"/>
    <w:rsid w:val="00DC272E"/>
    <w:rsid w:val="00DC287A"/>
    <w:rsid w:val="00DC2CB5"/>
    <w:rsid w:val="00DC5860"/>
    <w:rsid w:val="00DC6C79"/>
    <w:rsid w:val="00DC6F7D"/>
    <w:rsid w:val="00DD0107"/>
    <w:rsid w:val="00DD0651"/>
    <w:rsid w:val="00DD292F"/>
    <w:rsid w:val="00DD3409"/>
    <w:rsid w:val="00DD39CB"/>
    <w:rsid w:val="00DD695D"/>
    <w:rsid w:val="00DE058B"/>
    <w:rsid w:val="00DE1C1E"/>
    <w:rsid w:val="00DE2373"/>
    <w:rsid w:val="00DE27D1"/>
    <w:rsid w:val="00DE2930"/>
    <w:rsid w:val="00DE2BC3"/>
    <w:rsid w:val="00DE301A"/>
    <w:rsid w:val="00DE3D4B"/>
    <w:rsid w:val="00DE3F03"/>
    <w:rsid w:val="00DE40E9"/>
    <w:rsid w:val="00DE62DB"/>
    <w:rsid w:val="00DE7E2B"/>
    <w:rsid w:val="00DF00C6"/>
    <w:rsid w:val="00DF26B2"/>
    <w:rsid w:val="00DF2A63"/>
    <w:rsid w:val="00DF45DB"/>
    <w:rsid w:val="00DF77C1"/>
    <w:rsid w:val="00E00FA0"/>
    <w:rsid w:val="00E012ED"/>
    <w:rsid w:val="00E01365"/>
    <w:rsid w:val="00E0167D"/>
    <w:rsid w:val="00E02D82"/>
    <w:rsid w:val="00E038A8"/>
    <w:rsid w:val="00E03AB7"/>
    <w:rsid w:val="00E055F5"/>
    <w:rsid w:val="00E135E7"/>
    <w:rsid w:val="00E14CB5"/>
    <w:rsid w:val="00E1688A"/>
    <w:rsid w:val="00E179FE"/>
    <w:rsid w:val="00E215F4"/>
    <w:rsid w:val="00E22332"/>
    <w:rsid w:val="00E252DD"/>
    <w:rsid w:val="00E27F62"/>
    <w:rsid w:val="00E27F89"/>
    <w:rsid w:val="00E31137"/>
    <w:rsid w:val="00E324FB"/>
    <w:rsid w:val="00E32F06"/>
    <w:rsid w:val="00E3530A"/>
    <w:rsid w:val="00E35B04"/>
    <w:rsid w:val="00E36BD1"/>
    <w:rsid w:val="00E36D1F"/>
    <w:rsid w:val="00E375B3"/>
    <w:rsid w:val="00E37DE1"/>
    <w:rsid w:val="00E400B0"/>
    <w:rsid w:val="00E42190"/>
    <w:rsid w:val="00E4743B"/>
    <w:rsid w:val="00E47789"/>
    <w:rsid w:val="00E51893"/>
    <w:rsid w:val="00E51A6C"/>
    <w:rsid w:val="00E52323"/>
    <w:rsid w:val="00E52472"/>
    <w:rsid w:val="00E5282C"/>
    <w:rsid w:val="00E52CFF"/>
    <w:rsid w:val="00E52E0E"/>
    <w:rsid w:val="00E5575B"/>
    <w:rsid w:val="00E55A08"/>
    <w:rsid w:val="00E569CE"/>
    <w:rsid w:val="00E57004"/>
    <w:rsid w:val="00E57687"/>
    <w:rsid w:val="00E61BE3"/>
    <w:rsid w:val="00E62427"/>
    <w:rsid w:val="00E62C2D"/>
    <w:rsid w:val="00E62DB8"/>
    <w:rsid w:val="00E62E60"/>
    <w:rsid w:val="00E66619"/>
    <w:rsid w:val="00E67B05"/>
    <w:rsid w:val="00E67D49"/>
    <w:rsid w:val="00E72931"/>
    <w:rsid w:val="00E76879"/>
    <w:rsid w:val="00E77D13"/>
    <w:rsid w:val="00E77D8D"/>
    <w:rsid w:val="00E80CC8"/>
    <w:rsid w:val="00E81853"/>
    <w:rsid w:val="00E82233"/>
    <w:rsid w:val="00E83337"/>
    <w:rsid w:val="00E83CE6"/>
    <w:rsid w:val="00E84157"/>
    <w:rsid w:val="00E8445C"/>
    <w:rsid w:val="00E8529B"/>
    <w:rsid w:val="00E855ED"/>
    <w:rsid w:val="00E8614D"/>
    <w:rsid w:val="00E872DB"/>
    <w:rsid w:val="00E9024F"/>
    <w:rsid w:val="00E918F0"/>
    <w:rsid w:val="00E925E0"/>
    <w:rsid w:val="00E92CD6"/>
    <w:rsid w:val="00E96E89"/>
    <w:rsid w:val="00E97A4D"/>
    <w:rsid w:val="00EA0CBE"/>
    <w:rsid w:val="00EA1583"/>
    <w:rsid w:val="00EA36B2"/>
    <w:rsid w:val="00EA3C90"/>
    <w:rsid w:val="00EA3F8A"/>
    <w:rsid w:val="00EA41B2"/>
    <w:rsid w:val="00EA5D60"/>
    <w:rsid w:val="00EA72FE"/>
    <w:rsid w:val="00EA740E"/>
    <w:rsid w:val="00EA7A4A"/>
    <w:rsid w:val="00EB067D"/>
    <w:rsid w:val="00EB0C7F"/>
    <w:rsid w:val="00EB17BC"/>
    <w:rsid w:val="00EB2C64"/>
    <w:rsid w:val="00EB36DD"/>
    <w:rsid w:val="00EB405F"/>
    <w:rsid w:val="00EB493B"/>
    <w:rsid w:val="00EB57F5"/>
    <w:rsid w:val="00EB5C83"/>
    <w:rsid w:val="00EB60B9"/>
    <w:rsid w:val="00EB6609"/>
    <w:rsid w:val="00EB7D26"/>
    <w:rsid w:val="00EC0B08"/>
    <w:rsid w:val="00EC1BCF"/>
    <w:rsid w:val="00EC5193"/>
    <w:rsid w:val="00EC66E2"/>
    <w:rsid w:val="00EC677E"/>
    <w:rsid w:val="00ED203A"/>
    <w:rsid w:val="00ED297D"/>
    <w:rsid w:val="00ED44DA"/>
    <w:rsid w:val="00ED5DAA"/>
    <w:rsid w:val="00ED652F"/>
    <w:rsid w:val="00ED699F"/>
    <w:rsid w:val="00ED72B0"/>
    <w:rsid w:val="00ED7585"/>
    <w:rsid w:val="00ED7CD7"/>
    <w:rsid w:val="00EE4C36"/>
    <w:rsid w:val="00EF0E88"/>
    <w:rsid w:val="00EF1424"/>
    <w:rsid w:val="00EF1C4B"/>
    <w:rsid w:val="00EF4E83"/>
    <w:rsid w:val="00EF79CE"/>
    <w:rsid w:val="00F015E9"/>
    <w:rsid w:val="00F02799"/>
    <w:rsid w:val="00F0342B"/>
    <w:rsid w:val="00F0350D"/>
    <w:rsid w:val="00F03CC7"/>
    <w:rsid w:val="00F045AC"/>
    <w:rsid w:val="00F06223"/>
    <w:rsid w:val="00F06E8C"/>
    <w:rsid w:val="00F06F4C"/>
    <w:rsid w:val="00F1076C"/>
    <w:rsid w:val="00F10E00"/>
    <w:rsid w:val="00F1283A"/>
    <w:rsid w:val="00F13141"/>
    <w:rsid w:val="00F13F42"/>
    <w:rsid w:val="00F16CE7"/>
    <w:rsid w:val="00F16F68"/>
    <w:rsid w:val="00F224BA"/>
    <w:rsid w:val="00F23832"/>
    <w:rsid w:val="00F241AA"/>
    <w:rsid w:val="00F246D1"/>
    <w:rsid w:val="00F2601D"/>
    <w:rsid w:val="00F269B9"/>
    <w:rsid w:val="00F26D6A"/>
    <w:rsid w:val="00F3115C"/>
    <w:rsid w:val="00F31685"/>
    <w:rsid w:val="00F318F8"/>
    <w:rsid w:val="00F33B07"/>
    <w:rsid w:val="00F3400F"/>
    <w:rsid w:val="00F35A49"/>
    <w:rsid w:val="00F368B4"/>
    <w:rsid w:val="00F371B3"/>
    <w:rsid w:val="00F3757C"/>
    <w:rsid w:val="00F40C41"/>
    <w:rsid w:val="00F41AD6"/>
    <w:rsid w:val="00F41B14"/>
    <w:rsid w:val="00F41D74"/>
    <w:rsid w:val="00F41E99"/>
    <w:rsid w:val="00F444BA"/>
    <w:rsid w:val="00F45440"/>
    <w:rsid w:val="00F45E70"/>
    <w:rsid w:val="00F47BED"/>
    <w:rsid w:val="00F50814"/>
    <w:rsid w:val="00F517D8"/>
    <w:rsid w:val="00F533EE"/>
    <w:rsid w:val="00F54C4E"/>
    <w:rsid w:val="00F55E2B"/>
    <w:rsid w:val="00F55E83"/>
    <w:rsid w:val="00F56CF8"/>
    <w:rsid w:val="00F604F5"/>
    <w:rsid w:val="00F60D8B"/>
    <w:rsid w:val="00F61338"/>
    <w:rsid w:val="00F6154D"/>
    <w:rsid w:val="00F6264D"/>
    <w:rsid w:val="00F626FF"/>
    <w:rsid w:val="00F63156"/>
    <w:rsid w:val="00F63512"/>
    <w:rsid w:val="00F64FA3"/>
    <w:rsid w:val="00F6618B"/>
    <w:rsid w:val="00F67C5A"/>
    <w:rsid w:val="00F71779"/>
    <w:rsid w:val="00F71827"/>
    <w:rsid w:val="00F71D9E"/>
    <w:rsid w:val="00F722B6"/>
    <w:rsid w:val="00F7262B"/>
    <w:rsid w:val="00F77584"/>
    <w:rsid w:val="00F80E2F"/>
    <w:rsid w:val="00F81148"/>
    <w:rsid w:val="00F81368"/>
    <w:rsid w:val="00F81EF8"/>
    <w:rsid w:val="00F83B8E"/>
    <w:rsid w:val="00F83E34"/>
    <w:rsid w:val="00F83FA6"/>
    <w:rsid w:val="00F841E0"/>
    <w:rsid w:val="00F862E9"/>
    <w:rsid w:val="00F86530"/>
    <w:rsid w:val="00F877AC"/>
    <w:rsid w:val="00F90D57"/>
    <w:rsid w:val="00F9108E"/>
    <w:rsid w:val="00F91750"/>
    <w:rsid w:val="00F93FC6"/>
    <w:rsid w:val="00F940BB"/>
    <w:rsid w:val="00F94161"/>
    <w:rsid w:val="00F95C34"/>
    <w:rsid w:val="00F97CF4"/>
    <w:rsid w:val="00FA1E54"/>
    <w:rsid w:val="00FA2039"/>
    <w:rsid w:val="00FA3372"/>
    <w:rsid w:val="00FA3F91"/>
    <w:rsid w:val="00FA5838"/>
    <w:rsid w:val="00FA6C65"/>
    <w:rsid w:val="00FA7468"/>
    <w:rsid w:val="00FB1661"/>
    <w:rsid w:val="00FB18A2"/>
    <w:rsid w:val="00FB23F7"/>
    <w:rsid w:val="00FB4941"/>
    <w:rsid w:val="00FB582C"/>
    <w:rsid w:val="00FB5D88"/>
    <w:rsid w:val="00FB6D62"/>
    <w:rsid w:val="00FB7689"/>
    <w:rsid w:val="00FB771E"/>
    <w:rsid w:val="00FB7C25"/>
    <w:rsid w:val="00FC10F5"/>
    <w:rsid w:val="00FC116B"/>
    <w:rsid w:val="00FC2D56"/>
    <w:rsid w:val="00FC2EC5"/>
    <w:rsid w:val="00FC2F1E"/>
    <w:rsid w:val="00FC331E"/>
    <w:rsid w:val="00FC604E"/>
    <w:rsid w:val="00FC6F84"/>
    <w:rsid w:val="00FC7AE9"/>
    <w:rsid w:val="00FD0F3F"/>
    <w:rsid w:val="00FD2B61"/>
    <w:rsid w:val="00FD37F1"/>
    <w:rsid w:val="00FD3FCC"/>
    <w:rsid w:val="00FD5CB6"/>
    <w:rsid w:val="00FD7991"/>
    <w:rsid w:val="00FE0371"/>
    <w:rsid w:val="00FE03D3"/>
    <w:rsid w:val="00FE0CEF"/>
    <w:rsid w:val="00FE0F57"/>
    <w:rsid w:val="00FE110E"/>
    <w:rsid w:val="00FE22D6"/>
    <w:rsid w:val="00FE26B1"/>
    <w:rsid w:val="00FE3243"/>
    <w:rsid w:val="00FE466F"/>
    <w:rsid w:val="00FE47ED"/>
    <w:rsid w:val="00FE5570"/>
    <w:rsid w:val="00FE75C9"/>
    <w:rsid w:val="00FF0AAA"/>
    <w:rsid w:val="00FF3485"/>
    <w:rsid w:val="00FF5414"/>
    <w:rsid w:val="00FF77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B8148"/>
  <w15:chartTrackingRefBased/>
  <w15:docId w15:val="{3482B810-6CC9-46A0-B7AA-260051907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644E"/>
    <w:pPr>
      <w:spacing w:after="160" w:line="259" w:lineRule="auto"/>
    </w:pPr>
    <w:rPr>
      <w:sz w:val="22"/>
      <w:szCs w:val="22"/>
      <w:lang w:eastAsia="en-US"/>
    </w:rPr>
  </w:style>
  <w:style w:type="paragraph" w:styleId="1">
    <w:name w:val="heading 1"/>
    <w:aliases w:val="Традиционны"/>
    <w:basedOn w:val="a"/>
    <w:next w:val="a"/>
    <w:link w:val="10"/>
    <w:uiPriority w:val="9"/>
    <w:qFormat/>
    <w:rsid w:val="005341C8"/>
    <w:pPr>
      <w:keepNext/>
      <w:spacing w:after="0" w:line="360" w:lineRule="auto"/>
      <w:outlineLvl w:val="0"/>
    </w:pPr>
    <w:rPr>
      <w:rFonts w:ascii="Times New Roman" w:eastAsia="Times New Roman" w:hAnsi="Times New Roman"/>
      <w:bCs/>
      <w:kern w:val="32"/>
      <w:sz w:val="24"/>
      <w:szCs w:val="24"/>
    </w:rPr>
  </w:style>
  <w:style w:type="paragraph" w:styleId="2">
    <w:name w:val="heading 2"/>
    <w:basedOn w:val="a"/>
    <w:next w:val="a"/>
    <w:link w:val="20"/>
    <w:uiPriority w:val="9"/>
    <w:semiHidden/>
    <w:unhideWhenUsed/>
    <w:qFormat/>
    <w:rsid w:val="00817EF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Головной 2!"/>
    <w:basedOn w:val="1"/>
    <w:link w:val="22"/>
    <w:qFormat/>
    <w:rsid w:val="000750B9"/>
    <w:pPr>
      <w:jc w:val="center"/>
    </w:pPr>
  </w:style>
  <w:style w:type="character" w:customStyle="1" w:styleId="22">
    <w:name w:val="Головной 2! Знак"/>
    <w:link w:val="21"/>
    <w:rsid w:val="000750B9"/>
    <w:rPr>
      <w:rFonts w:ascii="Times New Roman" w:eastAsia="Times New Roman" w:hAnsi="Times New Roman" w:cs="Times New Roman"/>
      <w:b w:val="0"/>
      <w:bCs/>
      <w:kern w:val="32"/>
      <w:sz w:val="24"/>
      <w:szCs w:val="24"/>
      <w:lang w:eastAsia="en-US"/>
    </w:rPr>
  </w:style>
  <w:style w:type="character" w:customStyle="1" w:styleId="10">
    <w:name w:val="Заголовок 1 Знак"/>
    <w:aliases w:val="Традиционны Знак"/>
    <w:link w:val="1"/>
    <w:uiPriority w:val="9"/>
    <w:rsid w:val="005341C8"/>
    <w:rPr>
      <w:rFonts w:ascii="Times New Roman" w:eastAsia="Times New Roman" w:hAnsi="Times New Roman"/>
      <w:bCs/>
      <w:kern w:val="32"/>
      <w:sz w:val="24"/>
      <w:szCs w:val="24"/>
      <w:lang w:eastAsia="en-US"/>
    </w:rPr>
  </w:style>
  <w:style w:type="paragraph" w:customStyle="1" w:styleId="111">
    <w:name w:val="Стиль111"/>
    <w:basedOn w:val="1"/>
    <w:link w:val="1110"/>
    <w:qFormat/>
    <w:rsid w:val="009073CD"/>
    <w:rPr>
      <w:rFonts w:ascii="Calibri Light" w:hAnsi="Calibri Light"/>
      <w:color w:val="5B9BD5"/>
    </w:rPr>
  </w:style>
  <w:style w:type="character" w:customStyle="1" w:styleId="1110">
    <w:name w:val="Стиль111 Знак"/>
    <w:link w:val="111"/>
    <w:rsid w:val="009073CD"/>
    <w:rPr>
      <w:rFonts w:ascii="Calibri Light" w:eastAsia="Times New Roman" w:hAnsi="Calibri Light" w:cs="Times New Roman"/>
      <w:b w:val="0"/>
      <w:bCs/>
      <w:color w:val="5B9BD5"/>
      <w:kern w:val="32"/>
      <w:sz w:val="32"/>
      <w:szCs w:val="32"/>
      <w:lang w:eastAsia="en-US"/>
    </w:rPr>
  </w:style>
  <w:style w:type="paragraph" w:customStyle="1" w:styleId="a3">
    <w:name w:val="КЛАССика"/>
    <w:basedOn w:val="2"/>
    <w:link w:val="a4"/>
    <w:qFormat/>
    <w:rsid w:val="00817EFD"/>
    <w:pPr>
      <w:keepLines w:val="0"/>
      <w:spacing w:before="0" w:line="360" w:lineRule="auto"/>
      <w:jc w:val="center"/>
    </w:pPr>
    <w:rPr>
      <w:rFonts w:ascii="Times New Roman" w:hAnsi="Times New Roman" w:cs="Arial"/>
      <w:color w:val="auto"/>
      <w:sz w:val="28"/>
      <w:szCs w:val="28"/>
      <w:lang w:eastAsia="ru-RU"/>
    </w:rPr>
  </w:style>
  <w:style w:type="character" w:customStyle="1" w:styleId="a4">
    <w:name w:val="КЛАССика Знак"/>
    <w:link w:val="a3"/>
    <w:rsid w:val="00817EFD"/>
    <w:rPr>
      <w:rFonts w:ascii="Times New Roman" w:eastAsia="Times New Roman" w:hAnsi="Times New Roman" w:cs="Arial"/>
      <w:sz w:val="28"/>
      <w:szCs w:val="28"/>
    </w:rPr>
  </w:style>
  <w:style w:type="character" w:customStyle="1" w:styleId="20">
    <w:name w:val="Заголовок 2 Знак"/>
    <w:link w:val="2"/>
    <w:uiPriority w:val="9"/>
    <w:semiHidden/>
    <w:rsid w:val="00817EFD"/>
    <w:rPr>
      <w:rFonts w:ascii="Calibri Light" w:eastAsia="Times New Roman" w:hAnsi="Calibri Light" w:cs="Times New Roman"/>
      <w:color w:val="2E74B5"/>
      <w:sz w:val="26"/>
      <w:szCs w:val="26"/>
      <w:lang w:eastAsia="en-US"/>
    </w:rPr>
  </w:style>
  <w:style w:type="paragraph" w:customStyle="1" w:styleId="10-4-17">
    <w:name w:val="10-4-17!"/>
    <w:basedOn w:val="1"/>
    <w:link w:val="10-4-170"/>
    <w:qFormat/>
    <w:rsid w:val="0039309A"/>
    <w:pPr>
      <w:jc w:val="center"/>
    </w:pPr>
  </w:style>
  <w:style w:type="character" w:customStyle="1" w:styleId="10-4-170">
    <w:name w:val="10-4-17! Знак"/>
    <w:link w:val="10-4-17"/>
    <w:rsid w:val="0039309A"/>
    <w:rPr>
      <w:rFonts w:ascii="Times New Roman" w:eastAsia="Times New Roman" w:hAnsi="Times New Roman"/>
      <w:bCs/>
      <w:kern w:val="32"/>
      <w:sz w:val="24"/>
      <w:szCs w:val="24"/>
      <w:lang w:eastAsia="en-US"/>
    </w:rPr>
  </w:style>
  <w:style w:type="paragraph" w:customStyle="1" w:styleId="AriaL">
    <w:name w:val="AriaL"/>
    <w:basedOn w:val="1"/>
    <w:link w:val="AriaL0"/>
    <w:autoRedefine/>
    <w:qFormat/>
    <w:rsid w:val="00C160CE"/>
    <w:pPr>
      <w:jc w:val="center"/>
    </w:pPr>
    <w:rPr>
      <w:rFonts w:ascii="Arial" w:hAnsi="Arial"/>
      <w:b/>
      <w:sz w:val="28"/>
    </w:rPr>
  </w:style>
  <w:style w:type="character" w:customStyle="1" w:styleId="AriaL0">
    <w:name w:val="AriaL Знак"/>
    <w:link w:val="AriaL"/>
    <w:rsid w:val="00C160CE"/>
    <w:rPr>
      <w:rFonts w:ascii="Arial" w:eastAsia="Times New Roman" w:hAnsi="Arial"/>
      <w:b/>
      <w:bCs/>
      <w:kern w:val="32"/>
      <w:sz w:val="28"/>
      <w:szCs w:val="24"/>
      <w:lang w:eastAsia="en-US"/>
    </w:rPr>
  </w:style>
  <w:style w:type="paragraph" w:styleId="a5">
    <w:name w:val="header"/>
    <w:basedOn w:val="a"/>
    <w:link w:val="a6"/>
    <w:uiPriority w:val="99"/>
    <w:unhideWhenUsed/>
    <w:rsid w:val="00E77D1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77D13"/>
    <w:rPr>
      <w:sz w:val="22"/>
      <w:szCs w:val="22"/>
      <w:lang w:eastAsia="en-US"/>
    </w:rPr>
  </w:style>
  <w:style w:type="paragraph" w:styleId="a7">
    <w:name w:val="footer"/>
    <w:basedOn w:val="a"/>
    <w:link w:val="a8"/>
    <w:uiPriority w:val="99"/>
    <w:unhideWhenUsed/>
    <w:rsid w:val="00E77D1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77D13"/>
    <w:rPr>
      <w:sz w:val="22"/>
      <w:szCs w:val="22"/>
      <w:lang w:eastAsia="en-US"/>
    </w:rPr>
  </w:style>
  <w:style w:type="paragraph" w:styleId="a9">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a"/>
    <w:uiPriority w:val="99"/>
    <w:unhideWhenUsed/>
    <w:rsid w:val="0046440E"/>
    <w:pPr>
      <w:spacing w:after="0" w:line="240" w:lineRule="auto"/>
    </w:pPr>
    <w:rPr>
      <w:sz w:val="20"/>
      <w:szCs w:val="20"/>
    </w:rPr>
  </w:style>
  <w:style w:type="character" w:customStyle="1" w:styleId="aa">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9"/>
    <w:uiPriority w:val="99"/>
    <w:rsid w:val="0046440E"/>
    <w:rPr>
      <w:lang w:eastAsia="en-US"/>
    </w:rPr>
  </w:style>
  <w:style w:type="character" w:styleId="ab">
    <w:name w:val="footnote reference"/>
    <w:basedOn w:val="a0"/>
    <w:uiPriority w:val="99"/>
    <w:unhideWhenUsed/>
    <w:rsid w:val="0046440E"/>
    <w:rPr>
      <w:vertAlign w:val="superscript"/>
    </w:rPr>
  </w:style>
  <w:style w:type="table" w:styleId="ac">
    <w:name w:val="Table Grid"/>
    <w:basedOn w:val="a1"/>
    <w:uiPriority w:val="39"/>
    <w:rsid w:val="00DE7E2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764226"/>
    <w:rPr>
      <w:color w:val="0563C1" w:themeColor="hyperlink"/>
      <w:u w:val="single"/>
    </w:rPr>
  </w:style>
  <w:style w:type="paragraph" w:styleId="ae">
    <w:name w:val="List Paragraph"/>
    <w:basedOn w:val="a"/>
    <w:uiPriority w:val="34"/>
    <w:qFormat/>
    <w:rsid w:val="008C7EC1"/>
    <w:pPr>
      <w:ind w:left="720"/>
      <w:contextualSpacing/>
    </w:pPr>
  </w:style>
  <w:style w:type="table" w:customStyle="1" w:styleId="135">
    <w:name w:val="Сетка таблицы135"/>
    <w:basedOn w:val="a1"/>
    <w:next w:val="ac"/>
    <w:uiPriority w:val="39"/>
    <w:rsid w:val="00E9024F"/>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667F31"/>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667F31"/>
    <w:rPr>
      <w:rFonts w:ascii="Segoe UI" w:hAnsi="Segoe UI" w:cs="Segoe UI"/>
      <w:sz w:val="18"/>
      <w:szCs w:val="18"/>
      <w:lang w:eastAsia="en-US"/>
    </w:rPr>
  </w:style>
  <w:style w:type="paragraph" w:styleId="af1">
    <w:name w:val="Revision"/>
    <w:hidden/>
    <w:uiPriority w:val="99"/>
    <w:semiHidden/>
    <w:rsid w:val="000142E6"/>
    <w:rPr>
      <w:sz w:val="22"/>
      <w:szCs w:val="22"/>
      <w:lang w:eastAsia="en-US"/>
    </w:rPr>
  </w:style>
  <w:style w:type="character" w:customStyle="1" w:styleId="11">
    <w:name w:val="Неразрешенное упоминание1"/>
    <w:basedOn w:val="a0"/>
    <w:uiPriority w:val="99"/>
    <w:semiHidden/>
    <w:unhideWhenUsed/>
    <w:rsid w:val="003308F6"/>
    <w:rPr>
      <w:color w:val="605E5C"/>
      <w:shd w:val="clear" w:color="auto" w:fill="E1DFDD"/>
    </w:rPr>
  </w:style>
  <w:style w:type="character" w:styleId="af2">
    <w:name w:val="Placeholder Text"/>
    <w:basedOn w:val="a0"/>
    <w:uiPriority w:val="99"/>
    <w:semiHidden/>
    <w:rsid w:val="00C965D7"/>
    <w:rPr>
      <w:color w:val="808080"/>
    </w:rPr>
  </w:style>
  <w:style w:type="table" w:customStyle="1" w:styleId="1357">
    <w:name w:val="Сетка таблицы1357"/>
    <w:basedOn w:val="a1"/>
    <w:next w:val="ac"/>
    <w:uiPriority w:val="39"/>
    <w:rsid w:val="00734DF0"/>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418117">
      <w:bodyDiv w:val="1"/>
      <w:marLeft w:val="0"/>
      <w:marRight w:val="0"/>
      <w:marTop w:val="0"/>
      <w:marBottom w:val="0"/>
      <w:divBdr>
        <w:top w:val="none" w:sz="0" w:space="0" w:color="auto"/>
        <w:left w:val="none" w:sz="0" w:space="0" w:color="auto"/>
        <w:bottom w:val="none" w:sz="0" w:space="0" w:color="auto"/>
        <w:right w:val="none" w:sz="0" w:space="0" w:color="auto"/>
      </w:divBdr>
    </w:div>
    <w:div w:id="701710105">
      <w:bodyDiv w:val="1"/>
      <w:marLeft w:val="0"/>
      <w:marRight w:val="0"/>
      <w:marTop w:val="0"/>
      <w:marBottom w:val="0"/>
      <w:divBdr>
        <w:top w:val="none" w:sz="0" w:space="0" w:color="auto"/>
        <w:left w:val="none" w:sz="0" w:space="0" w:color="auto"/>
        <w:bottom w:val="none" w:sz="0" w:space="0" w:color="auto"/>
        <w:right w:val="none" w:sz="0" w:space="0" w:color="auto"/>
      </w:divBdr>
    </w:div>
    <w:div w:id="802507585">
      <w:bodyDiv w:val="1"/>
      <w:marLeft w:val="0"/>
      <w:marRight w:val="0"/>
      <w:marTop w:val="0"/>
      <w:marBottom w:val="0"/>
      <w:divBdr>
        <w:top w:val="none" w:sz="0" w:space="0" w:color="auto"/>
        <w:left w:val="none" w:sz="0" w:space="0" w:color="auto"/>
        <w:bottom w:val="none" w:sz="0" w:space="0" w:color="auto"/>
        <w:right w:val="none" w:sz="0" w:space="0" w:color="auto"/>
      </w:divBdr>
    </w:div>
    <w:div w:id="1416436716">
      <w:bodyDiv w:val="1"/>
      <w:marLeft w:val="0"/>
      <w:marRight w:val="0"/>
      <w:marTop w:val="0"/>
      <w:marBottom w:val="0"/>
      <w:divBdr>
        <w:top w:val="none" w:sz="0" w:space="0" w:color="auto"/>
        <w:left w:val="none" w:sz="0" w:space="0" w:color="auto"/>
        <w:bottom w:val="none" w:sz="0" w:space="0" w:color="auto"/>
        <w:right w:val="none" w:sz="0" w:space="0" w:color="auto"/>
      </w:divBdr>
    </w:div>
    <w:div w:id="1550259652">
      <w:bodyDiv w:val="1"/>
      <w:marLeft w:val="0"/>
      <w:marRight w:val="0"/>
      <w:marTop w:val="0"/>
      <w:marBottom w:val="0"/>
      <w:divBdr>
        <w:top w:val="none" w:sz="0" w:space="0" w:color="auto"/>
        <w:left w:val="none" w:sz="0" w:space="0" w:color="auto"/>
        <w:bottom w:val="none" w:sz="0" w:space="0" w:color="auto"/>
        <w:right w:val="none" w:sz="0" w:space="0" w:color="auto"/>
      </w:divBdr>
    </w:div>
    <w:div w:id="1596018592">
      <w:bodyDiv w:val="1"/>
      <w:marLeft w:val="0"/>
      <w:marRight w:val="0"/>
      <w:marTop w:val="0"/>
      <w:marBottom w:val="0"/>
      <w:divBdr>
        <w:top w:val="none" w:sz="0" w:space="0" w:color="auto"/>
        <w:left w:val="none" w:sz="0" w:space="0" w:color="auto"/>
        <w:bottom w:val="none" w:sz="0" w:space="0" w:color="auto"/>
        <w:right w:val="none" w:sz="0" w:space="0" w:color="auto"/>
      </w:divBdr>
    </w:div>
    <w:div w:id="1668945119">
      <w:bodyDiv w:val="1"/>
      <w:marLeft w:val="0"/>
      <w:marRight w:val="0"/>
      <w:marTop w:val="0"/>
      <w:marBottom w:val="0"/>
      <w:divBdr>
        <w:top w:val="none" w:sz="0" w:space="0" w:color="auto"/>
        <w:left w:val="none" w:sz="0" w:space="0" w:color="auto"/>
        <w:bottom w:val="none" w:sz="0" w:space="0" w:color="auto"/>
        <w:right w:val="none" w:sz="0" w:space="0" w:color="auto"/>
      </w:divBdr>
    </w:div>
    <w:div w:id="1895891538">
      <w:bodyDiv w:val="1"/>
      <w:marLeft w:val="0"/>
      <w:marRight w:val="0"/>
      <w:marTop w:val="0"/>
      <w:marBottom w:val="0"/>
      <w:divBdr>
        <w:top w:val="none" w:sz="0" w:space="0" w:color="auto"/>
        <w:left w:val="none" w:sz="0" w:space="0" w:color="auto"/>
        <w:bottom w:val="none" w:sz="0" w:space="0" w:color="auto"/>
        <w:right w:val="none" w:sz="0" w:space="0" w:color="auto"/>
      </w:divBdr>
    </w:div>
    <w:div w:id="2011247785">
      <w:bodyDiv w:val="1"/>
      <w:marLeft w:val="0"/>
      <w:marRight w:val="0"/>
      <w:marTop w:val="0"/>
      <w:marBottom w:val="0"/>
      <w:divBdr>
        <w:top w:val="none" w:sz="0" w:space="0" w:color="auto"/>
        <w:left w:val="none" w:sz="0" w:space="0" w:color="auto"/>
        <w:bottom w:val="none" w:sz="0" w:space="0" w:color="auto"/>
        <w:right w:val="none" w:sz="0" w:space="0" w:color="auto"/>
      </w:divBdr>
    </w:div>
    <w:div w:id="212985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053;&#1072;&#1089;&#1090;&#1088;&#1072;&#1080;&#1074;&#1072;&#1077;&#1084;&#1099;&#1077;%20&#1096;&#1072;&#1073;&#1083;&#1086;&#1085;&#1099;%20Office\Doc3.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1.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8.1267335748198333E-2"/>
          <c:y val="5.0925925925925923E-2"/>
          <c:w val="0.74465861038203562"/>
          <c:h val="0.81028465191851018"/>
        </c:manualLayout>
      </c:layout>
      <c:barChart>
        <c:barDir val="col"/>
        <c:grouping val="stacked"/>
        <c:varyColors val="0"/>
        <c:ser>
          <c:idx val="0"/>
          <c:order val="0"/>
          <c:tx>
            <c:strRef>
              <c:f>Лист1!$B$1</c:f>
              <c:strCache>
                <c:ptCount val="1"/>
                <c:pt idx="0">
                  <c:v>есть нормативы</c:v>
                </c:pt>
              </c:strCache>
            </c:strRef>
          </c:tx>
          <c:spPr>
            <a:solidFill>
              <a:schemeClr val="bg1">
                <a:lumMod val="65000"/>
              </a:schemeClr>
            </a:solidFill>
            <a:ln>
              <a:noFill/>
            </a:ln>
            <a:effectLst/>
          </c:spPr>
          <c:invertIfNegative val="0"/>
          <c:dLbls>
            <c:dLbl>
              <c:idx val="0"/>
              <c:tx>
                <c:rich>
                  <a:bodyPr/>
                  <a:lstStyle/>
                  <a:p>
                    <a:fld id="{88738A8D-D5A4-4090-B667-94CC66360029}" type="CELLRANGE">
                      <a:rPr lang="en-US"/>
                      <a:pPr/>
                      <a:t>[ДИАПАЗОН ЯЧЕЕК]</a:t>
                    </a:fld>
                    <a:r>
                      <a:rPr lang="en-US" baseline="0"/>
                      <a:t>; </a:t>
                    </a:r>
                    <a:fld id="{7AD21737-BC47-4F62-B918-98DEB396B792}"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4A40-4C9A-9A7E-6C15CF84E0E2}"/>
                </c:ext>
              </c:extLst>
            </c:dLbl>
            <c:dLbl>
              <c:idx val="1"/>
              <c:tx>
                <c:rich>
                  <a:bodyPr/>
                  <a:lstStyle/>
                  <a:p>
                    <a:fld id="{457CBE02-2F27-4180-A435-0323EFE67D37}" type="CELLRANGE">
                      <a:rPr lang="en-US"/>
                      <a:pPr/>
                      <a:t>[ДИАПАЗОН ЯЧЕЕК]</a:t>
                    </a:fld>
                    <a:r>
                      <a:rPr lang="en-US" baseline="0"/>
                      <a:t>; </a:t>
                    </a:r>
                    <a:fld id="{FA6F2E85-DAE1-499F-9297-8078748FB8B4}"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4A40-4C9A-9A7E-6C15CF84E0E2}"/>
                </c:ext>
              </c:extLst>
            </c:dLbl>
            <c:dLbl>
              <c:idx val="2"/>
              <c:tx>
                <c:rich>
                  <a:bodyPr/>
                  <a:lstStyle/>
                  <a:p>
                    <a:fld id="{D593C428-0E99-460E-A0C6-C8F0F5993C24}" type="CELLRANGE">
                      <a:rPr lang="en-US"/>
                      <a:pPr/>
                      <a:t>[ДИАПАЗОН ЯЧЕЕК]</a:t>
                    </a:fld>
                    <a:r>
                      <a:rPr lang="en-US" baseline="0"/>
                      <a:t>; </a:t>
                    </a:r>
                    <a:fld id="{ABEED452-4D67-4EBA-8EAF-4CC3FC67E45E}"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4A40-4C9A-9A7E-6C15CF84E0E2}"/>
                </c:ext>
              </c:extLst>
            </c:dLbl>
            <c:dLbl>
              <c:idx val="3"/>
              <c:tx>
                <c:rich>
                  <a:bodyPr/>
                  <a:lstStyle/>
                  <a:p>
                    <a:fld id="{B0B8D3CD-DDD8-4D20-8482-6AAC32DF8223}" type="CELLRANGE">
                      <a:rPr lang="en-US"/>
                      <a:pPr/>
                      <a:t>[ДИАПАЗОН ЯЧЕЕК]</a:t>
                    </a:fld>
                    <a:r>
                      <a:rPr lang="en-US" baseline="0"/>
                      <a:t>; </a:t>
                    </a:r>
                    <a:fld id="{550C8453-B179-4B84-B415-3961AE611326}"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4A40-4C9A-9A7E-6C15CF84E0E2}"/>
                </c:ext>
              </c:extLst>
            </c:dLbl>
            <c:dLbl>
              <c:idx val="4"/>
              <c:tx>
                <c:rich>
                  <a:bodyPr/>
                  <a:lstStyle/>
                  <a:p>
                    <a:fld id="{EB41478A-2B89-4920-A65D-429A835A2132}" type="CELLRANGE">
                      <a:rPr lang="en-US"/>
                      <a:pPr/>
                      <a:t>[ДИАПАЗОН ЯЧЕЕК]</a:t>
                    </a:fld>
                    <a:r>
                      <a:rPr lang="en-US" baseline="0"/>
                      <a:t>; </a:t>
                    </a:r>
                    <a:fld id="{A2A4F722-978A-4DFB-B39E-AB46DF53FDFF}"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4A40-4C9A-9A7E-6C15CF84E0E2}"/>
                </c:ext>
              </c:extLst>
            </c:dLbl>
            <c:dLbl>
              <c:idx val="5"/>
              <c:tx>
                <c:rich>
                  <a:bodyPr/>
                  <a:lstStyle/>
                  <a:p>
                    <a:fld id="{87ABDC53-B63A-4B98-BF2E-19A4C1E6C110}" type="CELLRANGE">
                      <a:rPr lang="en-US"/>
                      <a:pPr/>
                      <a:t>[ДИАПАЗОН ЯЧЕЕК]</a:t>
                    </a:fld>
                    <a:r>
                      <a:rPr lang="en-US" baseline="0"/>
                      <a:t>; </a:t>
                    </a:r>
                    <a:fld id="{A0FE6418-14F7-45B8-B5AC-DC34B7EEF390}"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4A40-4C9A-9A7E-6C15CF84E0E2}"/>
                </c:ext>
              </c:extLst>
            </c:dLbl>
            <c:dLbl>
              <c:idx val="6"/>
              <c:tx>
                <c:rich>
                  <a:bodyPr/>
                  <a:lstStyle/>
                  <a:p>
                    <a:fld id="{DB666288-91F9-4752-A102-50EA41254DFC}" type="CELLRANGE">
                      <a:rPr lang="en-US"/>
                      <a:pPr/>
                      <a:t>[ДИАПАЗОН ЯЧЕЕК]</a:t>
                    </a:fld>
                    <a:r>
                      <a:rPr lang="en-US" baseline="0"/>
                      <a:t>; </a:t>
                    </a:r>
                    <a:fld id="{A0C5F9EB-ADBA-4B29-93D2-9DD6566807CD}"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4A40-4C9A-9A7E-6C15CF84E0E2}"/>
                </c:ext>
              </c:extLst>
            </c:dLbl>
            <c:dLbl>
              <c:idx val="7"/>
              <c:tx>
                <c:rich>
                  <a:bodyPr/>
                  <a:lstStyle/>
                  <a:p>
                    <a:fld id="{CFAE0840-A556-451F-B096-BBF56A63EFC8}" type="CELLRANGE">
                      <a:rPr lang="en-US"/>
                      <a:pPr/>
                      <a:t>[ДИАПАЗОН ЯЧЕЕК]</a:t>
                    </a:fld>
                    <a:r>
                      <a:rPr lang="en-US" baseline="0"/>
                      <a:t>; </a:t>
                    </a:r>
                    <a:fld id="{FEA82044-DCDD-4AE4-B103-4FF818BD3B54}"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4A40-4C9A-9A7E-6C15CF84E0E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Лист1!$B$2:$B$9</c:f>
              <c:numCache>
                <c:formatCode>General</c:formatCode>
                <c:ptCount val="8"/>
                <c:pt idx="0">
                  <c:v>14</c:v>
                </c:pt>
                <c:pt idx="1">
                  <c:v>8</c:v>
                </c:pt>
                <c:pt idx="2">
                  <c:v>4</c:v>
                </c:pt>
                <c:pt idx="3">
                  <c:v>4</c:v>
                </c:pt>
                <c:pt idx="4">
                  <c:v>10</c:v>
                </c:pt>
                <c:pt idx="5">
                  <c:v>5</c:v>
                </c:pt>
                <c:pt idx="6">
                  <c:v>8</c:v>
                </c:pt>
                <c:pt idx="7">
                  <c:v>9</c:v>
                </c:pt>
              </c:numCache>
            </c:numRef>
          </c:val>
          <c:extLst>
            <c:ext xmlns:c15="http://schemas.microsoft.com/office/drawing/2012/chart" uri="{02D57815-91ED-43cb-92C2-25804820EDAC}">
              <c15:datalabelsRange>
                <c15:f>Лист1!$H$2:$H$9</c15:f>
                <c15:dlblRangeCache>
                  <c:ptCount val="8"/>
                  <c:pt idx="0">
                    <c:v>78%</c:v>
                  </c:pt>
                  <c:pt idx="1">
                    <c:v>73%</c:v>
                  </c:pt>
                  <c:pt idx="2">
                    <c:v>40%</c:v>
                  </c:pt>
                  <c:pt idx="3">
                    <c:v>57%</c:v>
                  </c:pt>
                  <c:pt idx="4">
                    <c:v>71%</c:v>
                  </c:pt>
                  <c:pt idx="5">
                    <c:v>83%</c:v>
                  </c:pt>
                  <c:pt idx="6">
                    <c:v>80%</c:v>
                  </c:pt>
                  <c:pt idx="7">
                    <c:v>82%</c:v>
                  </c:pt>
                </c15:dlblRangeCache>
              </c15:datalabelsRange>
            </c:ext>
            <c:ext xmlns:c16="http://schemas.microsoft.com/office/drawing/2014/chart" uri="{C3380CC4-5D6E-409C-BE32-E72D297353CC}">
              <c16:uniqueId val="{00000008-4A40-4C9A-9A7E-6C15CF84E0E2}"/>
            </c:ext>
          </c:extLst>
        </c:ser>
        <c:ser>
          <c:idx val="1"/>
          <c:order val="1"/>
          <c:tx>
            <c:strRef>
              <c:f>Лист1!$C$1</c:f>
              <c:strCache>
                <c:ptCount val="1"/>
                <c:pt idx="0">
                  <c:v>нет нормативов</c:v>
                </c:pt>
              </c:strCache>
            </c:strRef>
          </c:tx>
          <c:spPr>
            <a:solidFill>
              <a:schemeClr val="bg1">
                <a:lumMod val="95000"/>
              </a:schemeClr>
            </a:solidFill>
            <a:ln>
              <a:noFill/>
            </a:ln>
            <a:effectLst/>
          </c:spPr>
          <c:invertIfNegative val="0"/>
          <c:dLbls>
            <c:dLbl>
              <c:idx val="0"/>
              <c:tx>
                <c:rich>
                  <a:bodyPr/>
                  <a:lstStyle/>
                  <a:p>
                    <a:fld id="{569A7FC6-F58C-4B31-95C6-E0A073697463}" type="CELLRANGE">
                      <a:rPr lang="en-US"/>
                      <a:pPr/>
                      <a:t>[ДИАПАЗОН ЯЧЕЕК]</a:t>
                    </a:fld>
                    <a:r>
                      <a:rPr lang="en-US" baseline="0"/>
                      <a:t>; </a:t>
                    </a:r>
                    <a:fld id="{E7299CCC-D99B-49A2-A012-747B23A66A48}"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4A40-4C9A-9A7E-6C15CF84E0E2}"/>
                </c:ext>
              </c:extLst>
            </c:dLbl>
            <c:dLbl>
              <c:idx val="1"/>
              <c:tx>
                <c:rich>
                  <a:bodyPr/>
                  <a:lstStyle/>
                  <a:p>
                    <a:fld id="{CA4BD023-A8A3-4BB2-A464-DAE00E0D9481}" type="CELLRANGE">
                      <a:rPr lang="en-US"/>
                      <a:pPr/>
                      <a:t>[ДИАПАЗОН ЯЧЕЕК]</a:t>
                    </a:fld>
                    <a:r>
                      <a:rPr lang="en-US" baseline="0"/>
                      <a:t>; </a:t>
                    </a:r>
                    <a:fld id="{3ABC4993-A3C4-4AD7-B356-9E0FCCC10F47}"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4A40-4C9A-9A7E-6C15CF84E0E2}"/>
                </c:ext>
              </c:extLst>
            </c:dLbl>
            <c:dLbl>
              <c:idx val="2"/>
              <c:tx>
                <c:rich>
                  <a:bodyPr/>
                  <a:lstStyle/>
                  <a:p>
                    <a:fld id="{77B04598-A3DB-42C5-9713-E570B48EBAC2}" type="CELLRANGE">
                      <a:rPr lang="en-US"/>
                      <a:pPr/>
                      <a:t>[ДИАПАЗОН ЯЧЕЕК]</a:t>
                    </a:fld>
                    <a:r>
                      <a:rPr lang="en-US" baseline="0"/>
                      <a:t>; </a:t>
                    </a:r>
                    <a:fld id="{1C12433D-C671-4A13-B94D-83A8F81C428C}"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4A40-4C9A-9A7E-6C15CF84E0E2}"/>
                </c:ext>
              </c:extLst>
            </c:dLbl>
            <c:dLbl>
              <c:idx val="3"/>
              <c:tx>
                <c:rich>
                  <a:bodyPr/>
                  <a:lstStyle/>
                  <a:p>
                    <a:fld id="{B5F95962-278E-46F8-8DB0-6FFA078AF3EA}" type="CELLRANGE">
                      <a:rPr lang="en-US"/>
                      <a:pPr/>
                      <a:t>[ДИАПАЗОН ЯЧЕЕК]</a:t>
                    </a:fld>
                    <a:r>
                      <a:rPr lang="en-US" baseline="0"/>
                      <a:t>; </a:t>
                    </a:r>
                    <a:fld id="{582681AB-1F03-4FA1-AD65-EAA6B6BFD05D}"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4A40-4C9A-9A7E-6C15CF84E0E2}"/>
                </c:ext>
              </c:extLst>
            </c:dLbl>
            <c:dLbl>
              <c:idx val="4"/>
              <c:tx>
                <c:rich>
                  <a:bodyPr/>
                  <a:lstStyle/>
                  <a:p>
                    <a:fld id="{1F2706AA-9C55-4441-A26D-17931A0DFE05}" type="CELLRANGE">
                      <a:rPr lang="en-US"/>
                      <a:pPr/>
                      <a:t>[ДИАПАЗОН ЯЧЕЕК]</a:t>
                    </a:fld>
                    <a:r>
                      <a:rPr lang="en-US" baseline="0"/>
                      <a:t>; </a:t>
                    </a:r>
                    <a:fld id="{3AF239BC-7A5A-47A2-AE48-B03B1F5E0EEF}"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4A40-4C9A-9A7E-6C15CF84E0E2}"/>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A40-4C9A-9A7E-6C15CF84E0E2}"/>
                </c:ext>
              </c:extLst>
            </c:dLbl>
            <c:dLbl>
              <c:idx val="6"/>
              <c:tx>
                <c:rich>
                  <a:bodyPr/>
                  <a:lstStyle/>
                  <a:p>
                    <a:fld id="{E8E3D83A-4389-4896-94E8-A50F7749A74A}" type="CELLRANGE">
                      <a:rPr lang="en-US"/>
                      <a:pPr/>
                      <a:t>[ДИАПАЗОН ЯЧЕЕК]</a:t>
                    </a:fld>
                    <a:r>
                      <a:rPr lang="en-US" baseline="0"/>
                      <a:t>; </a:t>
                    </a:r>
                    <a:fld id="{0E721946-BEC8-4506-A9AE-97524970955E}"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4A40-4C9A-9A7E-6C15CF84E0E2}"/>
                </c:ext>
              </c:extLst>
            </c:dLbl>
            <c:dLbl>
              <c:idx val="7"/>
              <c:tx>
                <c:rich>
                  <a:bodyPr/>
                  <a:lstStyle/>
                  <a:p>
                    <a:fld id="{55EF32A3-0F95-475E-9A5A-4C7C090690D3}" type="CELLRANGE">
                      <a:rPr lang="en-US"/>
                      <a:pPr/>
                      <a:t>[ДИАПАЗОН ЯЧЕЕК]</a:t>
                    </a:fld>
                    <a:r>
                      <a:rPr lang="en-US" baseline="0"/>
                      <a:t>; </a:t>
                    </a:r>
                    <a:fld id="{3075D9B8-3105-4055-A6CE-59A384B476DC}" type="VALUE">
                      <a:rPr lang="en-US" baseline="0"/>
                      <a:pPr/>
                      <a:t>[ЗНАЧЕНИЕ]</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4A40-4C9A-9A7E-6C15CF84E0E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Лист1!$C$2:$C$9</c:f>
              <c:numCache>
                <c:formatCode>General</c:formatCode>
                <c:ptCount val="8"/>
                <c:pt idx="0">
                  <c:v>4</c:v>
                </c:pt>
                <c:pt idx="1">
                  <c:v>3</c:v>
                </c:pt>
                <c:pt idx="2">
                  <c:v>6</c:v>
                </c:pt>
                <c:pt idx="3">
                  <c:v>3</c:v>
                </c:pt>
                <c:pt idx="4">
                  <c:v>4</c:v>
                </c:pt>
                <c:pt idx="5">
                  <c:v>1</c:v>
                </c:pt>
                <c:pt idx="6">
                  <c:v>2</c:v>
                </c:pt>
                <c:pt idx="7">
                  <c:v>2</c:v>
                </c:pt>
              </c:numCache>
            </c:numRef>
          </c:val>
          <c:extLst>
            <c:ext xmlns:c15="http://schemas.microsoft.com/office/drawing/2012/chart" uri="{02D57815-91ED-43cb-92C2-25804820EDAC}">
              <c15:datalabelsRange>
                <c15:f>Лист1!$I$2:$I$9</c15:f>
                <c15:dlblRangeCache>
                  <c:ptCount val="8"/>
                  <c:pt idx="0">
                    <c:v>22%</c:v>
                  </c:pt>
                  <c:pt idx="1">
                    <c:v>27%</c:v>
                  </c:pt>
                  <c:pt idx="2">
                    <c:v>60%</c:v>
                  </c:pt>
                  <c:pt idx="3">
                    <c:v>43%</c:v>
                  </c:pt>
                  <c:pt idx="4">
                    <c:v>29%</c:v>
                  </c:pt>
                  <c:pt idx="5">
                    <c:v>17%</c:v>
                  </c:pt>
                  <c:pt idx="6">
                    <c:v>20%</c:v>
                  </c:pt>
                  <c:pt idx="7">
                    <c:v>18%</c:v>
                  </c:pt>
                </c15:dlblRangeCache>
              </c15:datalabelsRange>
            </c:ext>
            <c:ext xmlns:c16="http://schemas.microsoft.com/office/drawing/2014/chart" uri="{C3380CC4-5D6E-409C-BE32-E72D297353CC}">
              <c16:uniqueId val="{00000011-4A40-4C9A-9A7E-6C15CF84E0E2}"/>
            </c:ext>
          </c:extLst>
        </c:ser>
        <c:dLbls>
          <c:showLegendKey val="0"/>
          <c:showVal val="0"/>
          <c:showCatName val="0"/>
          <c:showSerName val="0"/>
          <c:showPercent val="0"/>
          <c:showBubbleSize val="0"/>
        </c:dLbls>
        <c:gapWidth val="17"/>
        <c:overlap val="100"/>
        <c:axId val="419695104"/>
        <c:axId val="513808576"/>
      </c:barChart>
      <c:lineChart>
        <c:grouping val="standard"/>
        <c:varyColors val="0"/>
        <c:ser>
          <c:idx val="2"/>
          <c:order val="2"/>
          <c:tx>
            <c:strRef>
              <c:f>Лист1!$D$1</c:f>
              <c:strCache>
                <c:ptCount val="1"/>
                <c:pt idx="0">
                  <c:v>Столбец2</c:v>
                </c:pt>
              </c:strCache>
            </c:strRef>
          </c:tx>
          <c:spPr>
            <a:ln w="19050" cap="rnd" cmpd="sng" algn="ctr">
              <a:no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Лист1!$D$2:$D$9</c:f>
              <c:numCache>
                <c:formatCode>General</c:formatCode>
                <c:ptCount val="8"/>
                <c:pt idx="0">
                  <c:v>18</c:v>
                </c:pt>
                <c:pt idx="1">
                  <c:v>11</c:v>
                </c:pt>
                <c:pt idx="2">
                  <c:v>10</c:v>
                </c:pt>
                <c:pt idx="3">
                  <c:v>7</c:v>
                </c:pt>
                <c:pt idx="4">
                  <c:v>14</c:v>
                </c:pt>
                <c:pt idx="5">
                  <c:v>6</c:v>
                </c:pt>
                <c:pt idx="6">
                  <c:v>10</c:v>
                </c:pt>
                <c:pt idx="7">
                  <c:v>11</c:v>
                </c:pt>
              </c:numCache>
            </c:numRef>
          </c:val>
          <c:smooth val="0"/>
          <c:extLst>
            <c:ext xmlns:c16="http://schemas.microsoft.com/office/drawing/2014/chart" uri="{C3380CC4-5D6E-409C-BE32-E72D297353CC}">
              <c16:uniqueId val="{0000001A-4A40-4C9A-9A7E-6C15CF84E0E2}"/>
            </c:ext>
          </c:extLst>
        </c:ser>
        <c:dLbls>
          <c:showLegendKey val="0"/>
          <c:showVal val="0"/>
          <c:showCatName val="0"/>
          <c:showSerName val="0"/>
          <c:showPercent val="0"/>
          <c:showBubbleSize val="0"/>
        </c:dLbls>
        <c:marker val="1"/>
        <c:smooth val="0"/>
        <c:axId val="419695104"/>
        <c:axId val="513808576"/>
      </c:lineChart>
      <c:catAx>
        <c:axId val="41969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3808576"/>
        <c:crosses val="autoZero"/>
        <c:auto val="1"/>
        <c:lblAlgn val="ctr"/>
        <c:lblOffset val="100"/>
        <c:noMultiLvlLbl val="0"/>
      </c:catAx>
      <c:valAx>
        <c:axId val="513808576"/>
        <c:scaling>
          <c:orientation val="minMax"/>
        </c:scaling>
        <c:delete val="0"/>
        <c:axPos val="l"/>
        <c:numFmt formatCode="General" sourceLinked="0"/>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19695104"/>
        <c:crosses val="autoZero"/>
        <c:crossBetween val="between"/>
      </c:valAx>
      <c:spPr>
        <a:noFill/>
        <a:ln>
          <a:noFill/>
        </a:ln>
        <a:effectLst/>
      </c:spPr>
    </c:plotArea>
    <c:legend>
      <c:legendPos val="r"/>
      <c:legendEntry>
        <c:idx val="2"/>
        <c:delete val="1"/>
      </c:legendEntry>
      <c:layout>
        <c:manualLayout>
          <c:xMode val="edge"/>
          <c:yMode val="edge"/>
          <c:x val="0.79963546223388748"/>
          <c:y val="0.29379296337957761"/>
          <c:w val="0.19342009332166812"/>
          <c:h val="0.1346362954630671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chart>
  <c:spPr>
    <a:solidFill>
      <a:schemeClr val="bg1"/>
    </a:solidFill>
    <a:ln w="9525" cap="flat" cmpd="sng" algn="ctr">
      <a:solidFill>
        <a:schemeClr val="tx1">
          <a:lumMod val="15000"/>
          <a:lumOff val="85000"/>
        </a:schemeClr>
      </a:solidFill>
      <a:prstDash val="solid"/>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8.1267335748198333E-2"/>
          <c:y val="5.0925925925925923E-2"/>
          <c:w val="0.74465861038203562"/>
          <c:h val="0.81028465191851018"/>
        </c:manualLayout>
      </c:layout>
      <c:barChart>
        <c:barDir val="col"/>
        <c:grouping val="percentStacked"/>
        <c:varyColors val="0"/>
        <c:ser>
          <c:idx val="0"/>
          <c:order val="0"/>
          <c:tx>
            <c:strRef>
              <c:f>Лист1!$B$1</c:f>
              <c:strCache>
                <c:ptCount val="1"/>
                <c:pt idx="0">
                  <c:v>"x&lt;10"</c:v>
                </c:pt>
              </c:strCache>
            </c:strRef>
          </c:tx>
          <c:spPr>
            <a:solidFill>
              <a:schemeClr val="tx1">
                <a:lumMod val="75000"/>
                <a:lumOff val="25000"/>
              </a:schemeClr>
            </a:solidFill>
            <a:ln>
              <a:noFill/>
            </a:ln>
            <a:effectLst/>
          </c:spPr>
          <c:invertIfNegative val="0"/>
          <c:dLbls>
            <c:dLbl>
              <c:idx val="0"/>
              <c:tx>
                <c:rich>
                  <a:bodyPr/>
                  <a:lstStyle/>
                  <a:p>
                    <a:fld id="{CAFAA1EE-AB3F-4F19-8B24-E34112E82725}" type="CELLRANGE">
                      <a:rPr lang="en-US"/>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8-3D0C-4A10-A426-37C20432BD91}"/>
                </c:ext>
              </c:extLst>
            </c:dLbl>
            <c:dLbl>
              <c:idx val="1"/>
              <c:tx>
                <c:rich>
                  <a:bodyPr/>
                  <a:lstStyle/>
                  <a:p>
                    <a:fld id="{45B12985-76E2-4CF0-B708-6FFF7C0D3112}"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3D0C-4A10-A426-37C20432BD91}"/>
                </c:ext>
              </c:extLst>
            </c:dLbl>
            <c:dLbl>
              <c:idx val="2"/>
              <c:tx>
                <c:rich>
                  <a:bodyPr/>
                  <a:lstStyle/>
                  <a:p>
                    <a:fld id="{0EEEA5A3-7C2D-4A1A-BF82-09A6CA4360B3}"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3D0C-4A10-A426-37C20432BD91}"/>
                </c:ext>
              </c:extLst>
            </c:dLbl>
            <c:dLbl>
              <c:idx val="3"/>
              <c:delete val="1"/>
              <c:extLst>
                <c:ext xmlns:c15="http://schemas.microsoft.com/office/drawing/2012/chart" uri="{CE6537A1-D6FC-4f65-9D91-7224C49458BB}"/>
                <c:ext xmlns:c16="http://schemas.microsoft.com/office/drawing/2014/chart" uri="{C3380CC4-5D6E-409C-BE32-E72D297353CC}">
                  <c16:uniqueId val="{0000000B-3D0C-4A10-A426-37C20432BD91}"/>
                </c:ext>
              </c:extLst>
            </c:dLbl>
            <c:dLbl>
              <c:idx val="4"/>
              <c:tx>
                <c:rich>
                  <a:bodyPr/>
                  <a:lstStyle/>
                  <a:p>
                    <a:fld id="{5D48D70F-AC07-473E-B357-A31453866A00}"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3D0C-4A10-A426-37C20432BD91}"/>
                </c:ext>
              </c:extLst>
            </c:dLbl>
            <c:dLbl>
              <c:idx val="5"/>
              <c:tx>
                <c:rich>
                  <a:bodyPr/>
                  <a:lstStyle/>
                  <a:p>
                    <a:fld id="{3DD13A83-CAC7-490C-81F1-BC80B666BB51}"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3D0C-4A10-A426-37C20432BD91}"/>
                </c:ext>
              </c:extLst>
            </c:dLbl>
            <c:dLbl>
              <c:idx val="6"/>
              <c:tx>
                <c:rich>
                  <a:bodyPr/>
                  <a:lstStyle/>
                  <a:p>
                    <a:fld id="{D903D63D-C94A-4900-9B25-4C55373AE385}"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3D0C-4A10-A426-37C20432BD91}"/>
                </c:ext>
              </c:extLst>
            </c:dLbl>
            <c:dLbl>
              <c:idx val="7"/>
              <c:tx>
                <c:rich>
                  <a:bodyPr/>
                  <a:lstStyle/>
                  <a:p>
                    <a:fld id="{C064BF6B-F4FE-432A-AAC3-0D1D9EFC4872}"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3D0C-4A10-A426-37C20432BD9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Лист1!$B$2:$B$9</c:f>
              <c:numCache>
                <c:formatCode>General</c:formatCode>
                <c:ptCount val="8"/>
                <c:pt idx="0">
                  <c:v>2</c:v>
                </c:pt>
                <c:pt idx="1">
                  <c:v>1</c:v>
                </c:pt>
                <c:pt idx="2">
                  <c:v>1</c:v>
                </c:pt>
                <c:pt idx="3">
                  <c:v>0</c:v>
                </c:pt>
                <c:pt idx="4">
                  <c:v>3</c:v>
                </c:pt>
                <c:pt idx="5">
                  <c:v>1</c:v>
                </c:pt>
                <c:pt idx="6">
                  <c:v>1</c:v>
                </c:pt>
                <c:pt idx="7">
                  <c:v>2</c:v>
                </c:pt>
              </c:numCache>
            </c:numRef>
          </c:val>
          <c:extLst>
            <c:ext xmlns:c15="http://schemas.microsoft.com/office/drawing/2012/chart" uri="{02D57815-91ED-43cb-92C2-25804820EDAC}">
              <c15:datalabelsRange>
                <c15:f>Лист1!$J$2:$J$9</c15:f>
                <c15:dlblRangeCache>
                  <c:ptCount val="8"/>
                  <c:pt idx="0">
                    <c:v>14%</c:v>
                  </c:pt>
                  <c:pt idx="1">
                    <c:v>13%</c:v>
                  </c:pt>
                  <c:pt idx="2">
                    <c:v>25%</c:v>
                  </c:pt>
                  <c:pt idx="3">
                    <c:v>0%</c:v>
                  </c:pt>
                  <c:pt idx="4">
                    <c:v>30%</c:v>
                  </c:pt>
                  <c:pt idx="5">
                    <c:v>20%</c:v>
                  </c:pt>
                  <c:pt idx="6">
                    <c:v>13%</c:v>
                  </c:pt>
                  <c:pt idx="7">
                    <c:v>22%</c:v>
                  </c:pt>
                </c15:dlblRangeCache>
              </c15:datalabelsRange>
            </c:ext>
            <c:ext xmlns:c16="http://schemas.microsoft.com/office/drawing/2014/chart" uri="{C3380CC4-5D6E-409C-BE32-E72D297353CC}">
              <c16:uniqueId val="{00000000-8F46-46E7-B4E3-56E0052E4291}"/>
            </c:ext>
          </c:extLst>
        </c:ser>
        <c:ser>
          <c:idx val="1"/>
          <c:order val="1"/>
          <c:tx>
            <c:strRef>
              <c:f>Лист1!$C$1</c:f>
              <c:strCache>
                <c:ptCount val="1"/>
                <c:pt idx="0">
                  <c:v>"10&lt;=x&lt;15"</c:v>
                </c:pt>
              </c:strCache>
            </c:strRef>
          </c:tx>
          <c:spPr>
            <a:solidFill>
              <a:schemeClr val="bg1">
                <a:lumMod val="50000"/>
              </a:schemeClr>
            </a:solidFill>
            <a:ln>
              <a:noFill/>
            </a:ln>
            <a:effectLst/>
          </c:spPr>
          <c:invertIfNegative val="0"/>
          <c:dLbls>
            <c:dLbl>
              <c:idx val="0"/>
              <c:tx>
                <c:rich>
                  <a:bodyPr/>
                  <a:lstStyle/>
                  <a:p>
                    <a:fld id="{FE5696F6-5554-490E-A838-6A35E17C3A57}" type="CELLRANGE">
                      <a:rPr lang="en-US"/>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0-3D0C-4A10-A426-37C20432BD91}"/>
                </c:ext>
              </c:extLst>
            </c:dLbl>
            <c:dLbl>
              <c:idx val="1"/>
              <c:tx>
                <c:rich>
                  <a:bodyPr/>
                  <a:lstStyle/>
                  <a:p>
                    <a:fld id="{CA1392B2-5D00-471D-801E-AC310D0C9611}"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3D0C-4A10-A426-37C20432BD91}"/>
                </c:ext>
              </c:extLst>
            </c:dLbl>
            <c:dLbl>
              <c:idx val="2"/>
              <c:tx>
                <c:rich>
                  <a:bodyPr/>
                  <a:lstStyle/>
                  <a:p>
                    <a:fld id="{18508B6C-1D27-4AD8-BCB0-0FB6147E2D5A}"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2-3D0C-4A10-A426-37C20432BD91}"/>
                </c:ext>
              </c:extLst>
            </c:dLbl>
            <c:dLbl>
              <c:idx val="3"/>
              <c:tx>
                <c:rich>
                  <a:bodyPr/>
                  <a:lstStyle/>
                  <a:p>
                    <a:fld id="{CFC6C0A2-060F-418C-A015-2235F5E09C4F}"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3D0C-4A10-A426-37C20432BD91}"/>
                </c:ext>
              </c:extLst>
            </c:dLbl>
            <c:dLbl>
              <c:idx val="4"/>
              <c:tx>
                <c:rich>
                  <a:bodyPr/>
                  <a:lstStyle/>
                  <a:p>
                    <a:fld id="{5E75AD5C-9C94-4085-8775-D0349279423A}"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4-3D0C-4A10-A426-37C20432BD91}"/>
                </c:ext>
              </c:extLst>
            </c:dLbl>
            <c:dLbl>
              <c:idx val="5"/>
              <c:delete val="1"/>
              <c:extLst>
                <c:ext xmlns:c15="http://schemas.microsoft.com/office/drawing/2012/chart" uri="{CE6537A1-D6FC-4f65-9D91-7224C49458BB}"/>
                <c:ext xmlns:c16="http://schemas.microsoft.com/office/drawing/2014/chart" uri="{C3380CC4-5D6E-409C-BE32-E72D297353CC}">
                  <c16:uniqueId val="{00000015-3D0C-4A10-A426-37C20432BD91}"/>
                </c:ext>
              </c:extLst>
            </c:dLbl>
            <c:dLbl>
              <c:idx val="6"/>
              <c:tx>
                <c:rich>
                  <a:bodyPr/>
                  <a:lstStyle/>
                  <a:p>
                    <a:fld id="{B56CB92E-62F5-4509-8E7C-AD3257492D81}"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6-3D0C-4A10-A426-37C20432BD91}"/>
                </c:ext>
              </c:extLst>
            </c:dLbl>
            <c:dLbl>
              <c:idx val="7"/>
              <c:tx>
                <c:rich>
                  <a:bodyPr/>
                  <a:lstStyle/>
                  <a:p>
                    <a:fld id="{3D5A5146-B610-491B-9C46-01457BAE0538}"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3D0C-4A10-A426-37C20432BD9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Лист1!$C$2:$C$9</c:f>
              <c:numCache>
                <c:formatCode>General</c:formatCode>
                <c:ptCount val="8"/>
                <c:pt idx="0">
                  <c:v>1</c:v>
                </c:pt>
                <c:pt idx="1">
                  <c:v>4</c:v>
                </c:pt>
                <c:pt idx="2">
                  <c:v>2</c:v>
                </c:pt>
                <c:pt idx="3">
                  <c:v>1</c:v>
                </c:pt>
                <c:pt idx="4">
                  <c:v>1</c:v>
                </c:pt>
                <c:pt idx="5">
                  <c:v>0</c:v>
                </c:pt>
                <c:pt idx="6">
                  <c:v>1</c:v>
                </c:pt>
                <c:pt idx="7">
                  <c:v>1</c:v>
                </c:pt>
              </c:numCache>
            </c:numRef>
          </c:val>
          <c:extLst>
            <c:ext xmlns:c15="http://schemas.microsoft.com/office/drawing/2012/chart" uri="{02D57815-91ED-43cb-92C2-25804820EDAC}">
              <c15:datalabelsRange>
                <c15:f>Лист1!$K$2:$K$9</c15:f>
                <c15:dlblRangeCache>
                  <c:ptCount val="8"/>
                  <c:pt idx="0">
                    <c:v>7%</c:v>
                  </c:pt>
                  <c:pt idx="1">
                    <c:v>50%</c:v>
                  </c:pt>
                  <c:pt idx="2">
                    <c:v>50%</c:v>
                  </c:pt>
                  <c:pt idx="3">
                    <c:v>25%</c:v>
                  </c:pt>
                  <c:pt idx="4">
                    <c:v>10%</c:v>
                  </c:pt>
                  <c:pt idx="5">
                    <c:v>0%</c:v>
                  </c:pt>
                  <c:pt idx="6">
                    <c:v>13%</c:v>
                  </c:pt>
                  <c:pt idx="7">
                    <c:v>11%</c:v>
                  </c:pt>
                </c15:dlblRangeCache>
              </c15:datalabelsRange>
            </c:ext>
            <c:ext xmlns:c16="http://schemas.microsoft.com/office/drawing/2014/chart" uri="{C3380CC4-5D6E-409C-BE32-E72D297353CC}">
              <c16:uniqueId val="{00000001-8F46-46E7-B4E3-56E0052E4291}"/>
            </c:ext>
          </c:extLst>
        </c:ser>
        <c:ser>
          <c:idx val="2"/>
          <c:order val="2"/>
          <c:tx>
            <c:strRef>
              <c:f>Лист1!$D$1</c:f>
              <c:strCache>
                <c:ptCount val="1"/>
                <c:pt idx="0">
                  <c:v>"15&lt;=x&lt;20"</c:v>
                </c:pt>
              </c:strCache>
            </c:strRef>
          </c:tx>
          <c:spPr>
            <a:solidFill>
              <a:schemeClr val="bg1">
                <a:lumMod val="85000"/>
              </a:schemeClr>
            </a:solidFill>
            <a:ln>
              <a:noFill/>
            </a:ln>
            <a:effectLst/>
          </c:spPr>
          <c:invertIfNegative val="0"/>
          <c:dLbls>
            <c:dLbl>
              <c:idx val="0"/>
              <c:tx>
                <c:rich>
                  <a:bodyPr/>
                  <a:lstStyle/>
                  <a:p>
                    <a:fld id="{4979A7DA-245B-4A40-8FF1-417B0D09F474}" type="CELLRANGE">
                      <a:rPr lang="en-US"/>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8-3D0C-4A10-A426-37C20432BD91}"/>
                </c:ext>
              </c:extLst>
            </c:dLbl>
            <c:dLbl>
              <c:idx val="1"/>
              <c:tx>
                <c:rich>
                  <a:bodyPr/>
                  <a:lstStyle/>
                  <a:p>
                    <a:fld id="{F751F209-2D89-42E6-B2A3-A6EED1CCEC52}"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3D0C-4A10-A426-37C20432BD91}"/>
                </c:ext>
              </c:extLst>
            </c:dLbl>
            <c:dLbl>
              <c:idx val="2"/>
              <c:delete val="1"/>
              <c:extLst>
                <c:ext xmlns:c15="http://schemas.microsoft.com/office/drawing/2012/chart" uri="{CE6537A1-D6FC-4f65-9D91-7224C49458BB}"/>
                <c:ext xmlns:c16="http://schemas.microsoft.com/office/drawing/2014/chart" uri="{C3380CC4-5D6E-409C-BE32-E72D297353CC}">
                  <c16:uniqueId val="{0000001A-3D0C-4A10-A426-37C20432BD91}"/>
                </c:ext>
              </c:extLst>
            </c:dLbl>
            <c:dLbl>
              <c:idx val="3"/>
              <c:delete val="1"/>
              <c:extLst>
                <c:ext xmlns:c15="http://schemas.microsoft.com/office/drawing/2012/chart" uri="{CE6537A1-D6FC-4f65-9D91-7224C49458BB}"/>
                <c:ext xmlns:c16="http://schemas.microsoft.com/office/drawing/2014/chart" uri="{C3380CC4-5D6E-409C-BE32-E72D297353CC}">
                  <c16:uniqueId val="{0000001B-3D0C-4A10-A426-37C20432BD91}"/>
                </c:ext>
              </c:extLst>
            </c:dLbl>
            <c:dLbl>
              <c:idx val="4"/>
              <c:tx>
                <c:rich>
                  <a:bodyPr/>
                  <a:lstStyle/>
                  <a:p>
                    <a:fld id="{D65A1C1F-5B44-45F8-BFFC-0B33B2D0947B}"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C-3D0C-4A10-A426-37C20432BD91}"/>
                </c:ext>
              </c:extLst>
            </c:dLbl>
            <c:dLbl>
              <c:idx val="5"/>
              <c:tx>
                <c:rich>
                  <a:bodyPr/>
                  <a:lstStyle/>
                  <a:p>
                    <a:fld id="{3143B0B4-F3DF-4874-8BFE-31FBB56A1FE4}"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D-3D0C-4A10-A426-37C20432BD91}"/>
                </c:ext>
              </c:extLst>
            </c:dLbl>
            <c:dLbl>
              <c:idx val="6"/>
              <c:tx>
                <c:rich>
                  <a:bodyPr/>
                  <a:lstStyle/>
                  <a:p>
                    <a:fld id="{192CD553-5DE9-4B4E-9D4B-C0775B48C37D}"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E-3D0C-4A10-A426-37C20432BD91}"/>
                </c:ext>
              </c:extLst>
            </c:dLbl>
            <c:dLbl>
              <c:idx val="7"/>
              <c:tx>
                <c:rich>
                  <a:bodyPr/>
                  <a:lstStyle/>
                  <a:p>
                    <a:fld id="{4C8B7830-BCDD-40AE-95B6-9C6E8B1FF76A}"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3D0C-4A10-A426-37C20432BD9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Лист1!$D$2:$D$9</c:f>
              <c:numCache>
                <c:formatCode>General</c:formatCode>
                <c:ptCount val="8"/>
                <c:pt idx="0">
                  <c:v>6</c:v>
                </c:pt>
                <c:pt idx="1">
                  <c:v>2</c:v>
                </c:pt>
                <c:pt idx="2">
                  <c:v>0</c:v>
                </c:pt>
                <c:pt idx="3">
                  <c:v>0</c:v>
                </c:pt>
                <c:pt idx="4">
                  <c:v>4</c:v>
                </c:pt>
                <c:pt idx="5">
                  <c:v>2</c:v>
                </c:pt>
                <c:pt idx="6">
                  <c:v>3</c:v>
                </c:pt>
                <c:pt idx="7">
                  <c:v>3</c:v>
                </c:pt>
              </c:numCache>
            </c:numRef>
          </c:val>
          <c:extLst>
            <c:ext xmlns:c15="http://schemas.microsoft.com/office/drawing/2012/chart" uri="{02D57815-91ED-43cb-92C2-25804820EDAC}">
              <c15:datalabelsRange>
                <c15:f>Лист1!$L$2:$L$9</c15:f>
                <c15:dlblRangeCache>
                  <c:ptCount val="8"/>
                  <c:pt idx="0">
                    <c:v>43%</c:v>
                  </c:pt>
                  <c:pt idx="1">
                    <c:v>25%</c:v>
                  </c:pt>
                  <c:pt idx="2">
                    <c:v>0%</c:v>
                  </c:pt>
                  <c:pt idx="3">
                    <c:v>0%</c:v>
                  </c:pt>
                  <c:pt idx="4">
                    <c:v>40%</c:v>
                  </c:pt>
                  <c:pt idx="5">
                    <c:v>40%</c:v>
                  </c:pt>
                  <c:pt idx="6">
                    <c:v>38%</c:v>
                  </c:pt>
                  <c:pt idx="7">
                    <c:v>33%</c:v>
                  </c:pt>
                </c15:dlblRangeCache>
              </c15:datalabelsRange>
            </c:ext>
            <c:ext xmlns:c16="http://schemas.microsoft.com/office/drawing/2014/chart" uri="{C3380CC4-5D6E-409C-BE32-E72D297353CC}">
              <c16:uniqueId val="{00000002-8F46-46E7-B4E3-56E0052E4291}"/>
            </c:ext>
          </c:extLst>
        </c:ser>
        <c:ser>
          <c:idx val="3"/>
          <c:order val="3"/>
          <c:tx>
            <c:strRef>
              <c:f>Лист1!$E$1</c:f>
              <c:strCache>
                <c:ptCount val="1"/>
                <c:pt idx="0">
                  <c:v>"x&gt;=20"</c:v>
                </c:pt>
              </c:strCache>
            </c:strRef>
          </c:tx>
          <c:spPr>
            <a:solidFill>
              <a:schemeClr val="bg1">
                <a:lumMod val="95000"/>
              </a:schemeClr>
            </a:solidFill>
            <a:ln>
              <a:noFill/>
            </a:ln>
            <a:effectLst/>
          </c:spPr>
          <c:invertIfNegative val="0"/>
          <c:dLbls>
            <c:dLbl>
              <c:idx val="0"/>
              <c:tx>
                <c:rich>
                  <a:bodyPr/>
                  <a:lstStyle/>
                  <a:p>
                    <a:fld id="{E232693C-3FE7-4346-BCA2-0822EF74A6C9}" type="CELLRANGE">
                      <a:rPr lang="en-US"/>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0-3D0C-4A10-A426-37C20432BD91}"/>
                </c:ext>
              </c:extLst>
            </c:dLbl>
            <c:dLbl>
              <c:idx val="1"/>
              <c:tx>
                <c:rich>
                  <a:bodyPr/>
                  <a:lstStyle/>
                  <a:p>
                    <a:fld id="{018D9DE6-6937-4E43-91A7-C889D9EDEDFA}"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1-3D0C-4A10-A426-37C20432BD91}"/>
                </c:ext>
              </c:extLst>
            </c:dLbl>
            <c:dLbl>
              <c:idx val="2"/>
              <c:tx>
                <c:rich>
                  <a:bodyPr/>
                  <a:lstStyle/>
                  <a:p>
                    <a:fld id="{B130389D-496C-4832-A27C-0EAEF9E55BB7}"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2-3D0C-4A10-A426-37C20432BD91}"/>
                </c:ext>
              </c:extLst>
            </c:dLbl>
            <c:dLbl>
              <c:idx val="3"/>
              <c:tx>
                <c:rich>
                  <a:bodyPr/>
                  <a:lstStyle/>
                  <a:p>
                    <a:fld id="{416174DA-0BA2-43E8-A2C4-A6C723A909F3}"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3-3D0C-4A10-A426-37C20432BD91}"/>
                </c:ext>
              </c:extLst>
            </c:dLbl>
            <c:dLbl>
              <c:idx val="4"/>
              <c:tx>
                <c:rich>
                  <a:bodyPr/>
                  <a:lstStyle/>
                  <a:p>
                    <a:fld id="{370FF886-D37F-42F1-AC1D-E718B9E85F4F}"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4-3D0C-4A10-A426-37C20432BD91}"/>
                </c:ext>
              </c:extLst>
            </c:dLbl>
            <c:dLbl>
              <c:idx val="5"/>
              <c:tx>
                <c:rich>
                  <a:bodyPr/>
                  <a:lstStyle/>
                  <a:p>
                    <a:fld id="{F5C18DB8-16DC-4AE0-AA6D-C18AFC998B3E}"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3D0C-4A10-A426-37C20432BD91}"/>
                </c:ext>
              </c:extLst>
            </c:dLbl>
            <c:dLbl>
              <c:idx val="6"/>
              <c:tx>
                <c:rich>
                  <a:bodyPr/>
                  <a:lstStyle/>
                  <a:p>
                    <a:fld id="{930ADAE3-429A-47BB-BFEF-56B9E394F127}"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6-3D0C-4A10-A426-37C20432BD91}"/>
                </c:ext>
              </c:extLst>
            </c:dLbl>
            <c:dLbl>
              <c:idx val="7"/>
              <c:tx>
                <c:rich>
                  <a:bodyPr/>
                  <a:lstStyle/>
                  <a:p>
                    <a:fld id="{C5143AB0-85B0-4172-9CDD-33AEFBC1D293}"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7-3D0C-4A10-A426-37C20432BD9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Лист1!$A$2:$A$9</c:f>
              <c:strCache>
                <c:ptCount val="8"/>
                <c:pt idx="0">
                  <c:v>ЦФО</c:v>
                </c:pt>
                <c:pt idx="1">
                  <c:v>СЗФО</c:v>
                </c:pt>
                <c:pt idx="2">
                  <c:v>ЮФО</c:v>
                </c:pt>
                <c:pt idx="3">
                  <c:v>СКФО</c:v>
                </c:pt>
                <c:pt idx="4">
                  <c:v>ПФО</c:v>
                </c:pt>
                <c:pt idx="5">
                  <c:v>УФО</c:v>
                </c:pt>
                <c:pt idx="6">
                  <c:v>СФО</c:v>
                </c:pt>
                <c:pt idx="7">
                  <c:v>ДВФО</c:v>
                </c:pt>
              </c:strCache>
            </c:strRef>
          </c:cat>
          <c:val>
            <c:numRef>
              <c:f>Лист1!$E$2:$E$9</c:f>
              <c:numCache>
                <c:formatCode>General</c:formatCode>
                <c:ptCount val="8"/>
                <c:pt idx="0">
                  <c:v>5</c:v>
                </c:pt>
                <c:pt idx="1">
                  <c:v>1</c:v>
                </c:pt>
                <c:pt idx="2">
                  <c:v>1</c:v>
                </c:pt>
                <c:pt idx="3">
                  <c:v>3</c:v>
                </c:pt>
                <c:pt idx="4">
                  <c:v>2</c:v>
                </c:pt>
                <c:pt idx="5">
                  <c:v>2</c:v>
                </c:pt>
                <c:pt idx="6">
                  <c:v>3</c:v>
                </c:pt>
                <c:pt idx="7">
                  <c:v>3</c:v>
                </c:pt>
              </c:numCache>
            </c:numRef>
          </c:val>
          <c:extLst>
            <c:ext xmlns:c15="http://schemas.microsoft.com/office/drawing/2012/chart" uri="{02D57815-91ED-43cb-92C2-25804820EDAC}">
              <c15:datalabelsRange>
                <c15:f>Лист1!$M$2:$M$9</c15:f>
                <c15:dlblRangeCache>
                  <c:ptCount val="8"/>
                  <c:pt idx="0">
                    <c:v>36%</c:v>
                  </c:pt>
                  <c:pt idx="1">
                    <c:v>13%</c:v>
                  </c:pt>
                  <c:pt idx="2">
                    <c:v>25%</c:v>
                  </c:pt>
                  <c:pt idx="3">
                    <c:v>75%</c:v>
                  </c:pt>
                  <c:pt idx="4">
                    <c:v>20%</c:v>
                  </c:pt>
                  <c:pt idx="5">
                    <c:v>40%</c:v>
                  </c:pt>
                  <c:pt idx="6">
                    <c:v>38%</c:v>
                  </c:pt>
                  <c:pt idx="7">
                    <c:v>33%</c:v>
                  </c:pt>
                </c15:dlblRangeCache>
              </c15:datalabelsRange>
            </c:ext>
            <c:ext xmlns:c16="http://schemas.microsoft.com/office/drawing/2014/chart" uri="{C3380CC4-5D6E-409C-BE32-E72D297353CC}">
              <c16:uniqueId val="{00000006-3D0C-4A10-A426-37C20432BD91}"/>
            </c:ext>
          </c:extLst>
        </c:ser>
        <c:dLbls>
          <c:showLegendKey val="0"/>
          <c:showVal val="0"/>
          <c:showCatName val="0"/>
          <c:showSerName val="0"/>
          <c:showPercent val="0"/>
          <c:showBubbleSize val="0"/>
        </c:dLbls>
        <c:gapWidth val="17"/>
        <c:overlap val="100"/>
        <c:axId val="419695104"/>
        <c:axId val="513808576"/>
      </c:barChart>
      <c:lineChart>
        <c:grouping val="standard"/>
        <c:varyColors val="0"/>
        <c:dLbls>
          <c:showLegendKey val="0"/>
          <c:showVal val="0"/>
          <c:showCatName val="0"/>
          <c:showSerName val="0"/>
          <c:showPercent val="0"/>
          <c:showBubbleSize val="0"/>
        </c:dLbls>
        <c:marker val="1"/>
        <c:smooth val="0"/>
        <c:axId val="419695104"/>
        <c:axId val="513808576"/>
        <c:extLst>
          <c:ext xmlns:c15="http://schemas.microsoft.com/office/drawing/2012/chart" uri="{02D57815-91ED-43cb-92C2-25804820EDAC}">
            <c15:filteredLineSeries>
              <c15:ser>
                <c:idx val="4"/>
                <c:order val="4"/>
                <c:tx>
                  <c:strRef>
                    <c:extLst>
                      <c:ext uri="{02D57815-91ED-43cb-92C2-25804820EDAC}">
                        <c15:formulaRef>
                          <c15:sqref>Лист1!$F$1</c15:sqref>
                        </c15:formulaRef>
                      </c:ext>
                    </c:extLst>
                    <c:strCache>
                      <c:ptCount val="1"/>
                      <c:pt idx="0">
                        <c:v>Столбец2</c:v>
                      </c:pt>
                    </c:strCache>
                  </c:strRef>
                </c:tx>
                <c:spPr>
                  <a:ln w="19050" cap="rnd" cmpd="sng" algn="ctr">
                    <a:no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uri="{CE6537A1-D6FC-4f65-9D91-7224C49458BB}">
                      <c15:showLeaderLines val="1"/>
                      <c15:leaderLines>
                        <c:spPr>
                          <a:ln w="6350" cap="flat" cmpd="sng" algn="ctr">
                            <a:solidFill>
                              <a:schemeClr val="tx1"/>
                            </a:solidFill>
                            <a:prstDash val="solid"/>
                            <a:round/>
                          </a:ln>
                          <a:effectLst/>
                        </c:spPr>
                      </c15:leaderLines>
                    </c:ext>
                  </c:extLst>
                </c:dLbls>
                <c:cat>
                  <c:strRef>
                    <c:extLst>
                      <c:ext uri="{02D57815-91ED-43cb-92C2-25804820EDAC}">
                        <c15:formulaRef>
                          <c15:sqref>Лист1!$A$2:$A$9</c15:sqref>
                        </c15:formulaRef>
                      </c:ext>
                    </c:extLst>
                    <c:strCache>
                      <c:ptCount val="8"/>
                      <c:pt idx="0">
                        <c:v>ЦФО</c:v>
                      </c:pt>
                      <c:pt idx="1">
                        <c:v>СЗФО</c:v>
                      </c:pt>
                      <c:pt idx="2">
                        <c:v>ЮФО</c:v>
                      </c:pt>
                      <c:pt idx="3">
                        <c:v>СКФО</c:v>
                      </c:pt>
                      <c:pt idx="4">
                        <c:v>ПФО</c:v>
                      </c:pt>
                      <c:pt idx="5">
                        <c:v>УФО</c:v>
                      </c:pt>
                      <c:pt idx="6">
                        <c:v>СФО</c:v>
                      </c:pt>
                      <c:pt idx="7">
                        <c:v>ДВФО</c:v>
                      </c:pt>
                    </c:strCache>
                  </c:strRef>
                </c:cat>
                <c:val>
                  <c:numRef>
                    <c:extLst>
                      <c:ext uri="{02D57815-91ED-43cb-92C2-25804820EDAC}">
                        <c15:formulaRef>
                          <c15:sqref>Лист1!$F$2:$F$9</c15:sqref>
                        </c15:formulaRef>
                      </c:ext>
                    </c:extLst>
                    <c:numCache>
                      <c:formatCode>General</c:formatCode>
                      <c:ptCount val="8"/>
                      <c:pt idx="0">
                        <c:v>14</c:v>
                      </c:pt>
                      <c:pt idx="1">
                        <c:v>8</c:v>
                      </c:pt>
                      <c:pt idx="2">
                        <c:v>4</c:v>
                      </c:pt>
                      <c:pt idx="3">
                        <c:v>4</c:v>
                      </c:pt>
                      <c:pt idx="4">
                        <c:v>10</c:v>
                      </c:pt>
                      <c:pt idx="5">
                        <c:v>5</c:v>
                      </c:pt>
                      <c:pt idx="6">
                        <c:v>8</c:v>
                      </c:pt>
                      <c:pt idx="7">
                        <c:v>9</c:v>
                      </c:pt>
                    </c:numCache>
                  </c:numRef>
                </c:val>
                <c:smooth val="0"/>
                <c:extLst>
                  <c:ext xmlns:c16="http://schemas.microsoft.com/office/drawing/2014/chart" uri="{C3380CC4-5D6E-409C-BE32-E72D297353CC}">
                    <c16:uniqueId val="{00000007-3D0C-4A10-A426-37C20432BD91}"/>
                  </c:ext>
                </c:extLst>
              </c15:ser>
            </c15:filteredLineSeries>
          </c:ext>
        </c:extLst>
      </c:lineChart>
      <c:catAx>
        <c:axId val="41969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3808576"/>
        <c:crosses val="autoZero"/>
        <c:auto val="1"/>
        <c:lblAlgn val="ctr"/>
        <c:lblOffset val="100"/>
        <c:noMultiLvlLbl val="0"/>
      </c:catAx>
      <c:valAx>
        <c:axId val="513808576"/>
        <c:scaling>
          <c:orientation val="minMax"/>
        </c:scaling>
        <c:delete val="1"/>
        <c:axPos val="l"/>
        <c:numFmt formatCode="0%" sourceLinked="0"/>
        <c:majorTickMark val="none"/>
        <c:minorTickMark val="none"/>
        <c:tickLblPos val="nextTo"/>
        <c:crossAx val="4196951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chart>
  <c:spPr>
    <a:solidFill>
      <a:schemeClr val="bg1"/>
    </a:solidFill>
    <a:ln w="9525" cap="flat" cmpd="sng" algn="ctr">
      <a:solidFill>
        <a:schemeClr val="tx1">
          <a:lumMod val="15000"/>
          <a:lumOff val="85000"/>
        </a:schemeClr>
      </a:solidFill>
      <a:prstDash val="solid"/>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553113152522602"/>
          <c:y val="4.7330202908049269E-2"/>
          <c:w val="0.76668525809273835"/>
          <c:h val="0.77998812648418947"/>
        </c:manualLayout>
      </c:layout>
      <c:scatterChart>
        <c:scatterStyle val="lineMarker"/>
        <c:varyColors val="0"/>
        <c:ser>
          <c:idx val="1"/>
          <c:order val="0"/>
          <c:tx>
            <c:strRef>
              <c:f>Лист1!$B$1</c:f>
              <c:strCache>
                <c:ptCount val="1"/>
                <c:pt idx="0">
                  <c:v>Ряд 2</c:v>
                </c:pt>
              </c:strCache>
            </c:strRef>
          </c:tx>
          <c:spPr>
            <a:ln w="25400" cap="rnd">
              <a:noFill/>
              <a:round/>
            </a:ln>
            <a:effectLst/>
          </c:spPr>
          <c:marker>
            <c:symbol val="circle"/>
            <c:size val="5"/>
            <c:spPr>
              <a:solidFill>
                <a:schemeClr val="accent3">
                  <a:tint val="77000"/>
                </a:schemeClr>
              </a:solidFill>
              <a:ln w="3175">
                <a:solidFill>
                  <a:sysClr val="windowText" lastClr="000000"/>
                </a:solidFill>
              </a:ln>
              <a:effectLst/>
            </c:spPr>
          </c:marker>
          <c:dLbls>
            <c:dLbl>
              <c:idx val="0"/>
              <c:tx>
                <c:rich>
                  <a:bodyPr/>
                  <a:lstStyle/>
                  <a:p>
                    <a:fld id="{049AAD2D-BD99-41F9-AA62-CC12137999C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AF4F-473C-97C2-4CCF93A0FDF9}"/>
                </c:ext>
              </c:extLst>
            </c:dLbl>
            <c:dLbl>
              <c:idx val="1"/>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01-AF4F-473C-97C2-4CCF93A0FDF9}"/>
                </c:ext>
              </c:extLst>
            </c:dLbl>
            <c:dLbl>
              <c:idx val="2"/>
              <c:tx>
                <c:rich>
                  <a:bodyPr/>
                  <a:lstStyle/>
                  <a:p>
                    <a:fld id="{4C1A5BDE-F688-4D51-B0BE-66B25D81818E}"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2-AF4F-473C-97C2-4CCF93A0FDF9}"/>
                </c:ext>
              </c:extLst>
            </c:dLbl>
            <c:dLbl>
              <c:idx val="3"/>
              <c:tx>
                <c:rich>
                  <a:bodyPr/>
                  <a:lstStyle/>
                  <a:p>
                    <a:fld id="{7E823DA8-DE9F-4FD0-A6D9-DC2B248F1FBD}"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AF4F-473C-97C2-4CCF93A0FDF9}"/>
                </c:ext>
              </c:extLst>
            </c:dLbl>
            <c:dLbl>
              <c:idx val="4"/>
              <c:tx>
                <c:rich>
                  <a:bodyPr/>
                  <a:lstStyle/>
                  <a:p>
                    <a:fld id="{6120A0CA-6147-4D16-8EF9-64D5A1D8ECF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4-AF4F-473C-97C2-4CCF93A0FDF9}"/>
                </c:ext>
              </c:extLst>
            </c:dLbl>
            <c:dLbl>
              <c:idx val="5"/>
              <c:tx>
                <c:rich>
                  <a:bodyPr/>
                  <a:lstStyle/>
                  <a:p>
                    <a:fld id="{2251DF98-C049-4151-B516-692929130069}"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AF4F-473C-97C2-4CCF93A0FDF9}"/>
                </c:ext>
              </c:extLst>
            </c:dLbl>
            <c:dLbl>
              <c:idx val="6"/>
              <c:tx>
                <c:rich>
                  <a:bodyPr/>
                  <a:lstStyle/>
                  <a:p>
                    <a:fld id="{AB199808-90DE-4361-96E8-169C6735C0CD}"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6-AF4F-473C-97C2-4CCF93A0FDF9}"/>
                </c:ext>
              </c:extLst>
            </c:dLbl>
            <c:dLbl>
              <c:idx val="7"/>
              <c:tx>
                <c:rich>
                  <a:bodyPr/>
                  <a:lstStyle/>
                  <a:p>
                    <a:fld id="{2B40C2CA-E633-4AA2-8165-994BECD7A8FD}"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AF4F-473C-97C2-4CCF93A0FDF9}"/>
                </c:ext>
              </c:extLst>
            </c:dLbl>
            <c:dLbl>
              <c:idx val="8"/>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08-AF4F-473C-97C2-4CCF93A0FDF9}"/>
                </c:ext>
              </c:extLst>
            </c:dLbl>
            <c:dLbl>
              <c:idx val="9"/>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09-AF4F-473C-97C2-4CCF93A0FDF9}"/>
                </c:ext>
              </c:extLst>
            </c:dLbl>
            <c:dLbl>
              <c:idx val="10"/>
              <c:tx>
                <c:rich>
                  <a:bodyPr/>
                  <a:lstStyle/>
                  <a:p>
                    <a:fld id="{37231EAC-93BE-4931-A3A8-43BEF433E543}"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A-AF4F-473C-97C2-4CCF93A0FDF9}"/>
                </c:ext>
              </c:extLst>
            </c:dLbl>
            <c:dLbl>
              <c:idx val="11"/>
              <c:tx>
                <c:rich>
                  <a:bodyPr/>
                  <a:lstStyle/>
                  <a:p>
                    <a:fld id="{7EEAF78B-5697-4C54-AE1F-5E8B40CF2E3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B-AF4F-473C-97C2-4CCF93A0FDF9}"/>
                </c:ext>
              </c:extLst>
            </c:dLbl>
            <c:dLbl>
              <c:idx val="12"/>
              <c:tx>
                <c:rich>
                  <a:bodyPr/>
                  <a:lstStyle/>
                  <a:p>
                    <a:fld id="{7E61E23F-34D0-4B9B-A653-FEC1C3576F5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C-AF4F-473C-97C2-4CCF93A0FDF9}"/>
                </c:ext>
              </c:extLst>
            </c:dLbl>
            <c:dLbl>
              <c:idx val="13"/>
              <c:tx>
                <c:rich>
                  <a:bodyPr/>
                  <a:lstStyle/>
                  <a:p>
                    <a:fld id="{B136345F-4A6B-4F33-9D0F-0907EC18797D}"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D-AF4F-473C-97C2-4CCF93A0FDF9}"/>
                </c:ext>
              </c:extLst>
            </c:dLbl>
            <c:dLbl>
              <c:idx val="14"/>
              <c:tx>
                <c:rich>
                  <a:bodyPr/>
                  <a:lstStyle/>
                  <a:p>
                    <a:fld id="{A63075A0-789D-4C45-A4A9-727E872AFFEF}"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E-AF4F-473C-97C2-4CCF93A0FDF9}"/>
                </c:ext>
              </c:extLst>
            </c:dLbl>
            <c:dLbl>
              <c:idx val="15"/>
              <c:tx>
                <c:rich>
                  <a:bodyPr/>
                  <a:lstStyle/>
                  <a:p>
                    <a:fld id="{21EF551D-53D7-4F9F-A7A9-02C0144A0C0E}"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F-AF4F-473C-97C2-4CCF93A0FDF9}"/>
                </c:ext>
              </c:extLst>
            </c:dLbl>
            <c:dLbl>
              <c:idx val="16"/>
              <c:tx>
                <c:rich>
                  <a:bodyPr/>
                  <a:lstStyle/>
                  <a:p>
                    <a:fld id="{4BEA92F5-61D8-4EF7-B4B6-28BA82E2A4B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0-AF4F-473C-97C2-4CCF93A0FDF9}"/>
                </c:ext>
              </c:extLst>
            </c:dLbl>
            <c:dLbl>
              <c:idx val="17"/>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11-AF4F-473C-97C2-4CCF93A0FDF9}"/>
                </c:ext>
              </c:extLst>
            </c:dLbl>
            <c:dLbl>
              <c:idx val="18"/>
              <c:tx>
                <c:rich>
                  <a:bodyPr/>
                  <a:lstStyle/>
                  <a:p>
                    <a:fld id="{182B0269-3EFA-4270-B643-5AC88B97D4B4}"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2-AF4F-473C-97C2-4CCF93A0FDF9}"/>
                </c:ext>
              </c:extLst>
            </c:dLbl>
            <c:dLbl>
              <c:idx val="19"/>
              <c:tx>
                <c:rich>
                  <a:bodyPr/>
                  <a:lstStyle/>
                  <a:p>
                    <a:fld id="{53DC339B-923C-4C1E-A574-3C99638EB5E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3-AF4F-473C-97C2-4CCF93A0FDF9}"/>
                </c:ext>
              </c:extLst>
            </c:dLbl>
            <c:dLbl>
              <c:idx val="20"/>
              <c:tx>
                <c:rich>
                  <a:bodyPr/>
                  <a:lstStyle/>
                  <a:p>
                    <a:fld id="{27B7F499-29DE-4783-96FA-CC50019F14EF}"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4-AF4F-473C-97C2-4CCF93A0FDF9}"/>
                </c:ext>
              </c:extLst>
            </c:dLbl>
            <c:dLbl>
              <c:idx val="21"/>
              <c:tx>
                <c:rich>
                  <a:bodyPr/>
                  <a:lstStyle/>
                  <a:p>
                    <a:fld id="{72AB0CF7-4E6E-4410-8506-48E45BFA7863}"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5-AF4F-473C-97C2-4CCF93A0FDF9}"/>
                </c:ext>
              </c:extLst>
            </c:dLbl>
            <c:dLbl>
              <c:idx val="22"/>
              <c:tx>
                <c:rich>
                  <a:bodyPr/>
                  <a:lstStyle/>
                  <a:p>
                    <a:fld id="{056D249F-B9E2-4F55-805F-B5C3F07911A4}"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6-AF4F-473C-97C2-4CCF93A0FDF9}"/>
                </c:ext>
              </c:extLst>
            </c:dLbl>
            <c:dLbl>
              <c:idx val="23"/>
              <c:tx>
                <c:rich>
                  <a:bodyPr/>
                  <a:lstStyle/>
                  <a:p>
                    <a:fld id="{BB65BABE-0EB1-4EA6-A1E5-9D8634C72398}"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7-AF4F-473C-97C2-4CCF93A0FDF9}"/>
                </c:ext>
              </c:extLst>
            </c:dLbl>
            <c:dLbl>
              <c:idx val="24"/>
              <c:tx>
                <c:rich>
                  <a:bodyPr/>
                  <a:lstStyle/>
                  <a:p>
                    <a:fld id="{C9547DEF-185C-4A34-BCD9-AF2F048606D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8-AF4F-473C-97C2-4CCF93A0FDF9}"/>
                </c:ext>
              </c:extLst>
            </c:dLbl>
            <c:dLbl>
              <c:idx val="25"/>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19-AF4F-473C-97C2-4CCF93A0FDF9}"/>
                </c:ext>
              </c:extLst>
            </c:dLbl>
            <c:dLbl>
              <c:idx val="26"/>
              <c:tx>
                <c:rich>
                  <a:bodyPr/>
                  <a:lstStyle/>
                  <a:p>
                    <a:fld id="{3E6C99F8-C6A1-49B7-9497-B17A46AE65B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A-AF4F-473C-97C2-4CCF93A0FDF9}"/>
                </c:ext>
              </c:extLst>
            </c:dLbl>
            <c:dLbl>
              <c:idx val="27"/>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1B-AF4F-473C-97C2-4CCF93A0FDF9}"/>
                </c:ext>
              </c:extLst>
            </c:dLbl>
            <c:dLbl>
              <c:idx val="28"/>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1C-AF4F-473C-97C2-4CCF93A0FDF9}"/>
                </c:ext>
              </c:extLst>
            </c:dLbl>
            <c:dLbl>
              <c:idx val="29"/>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1D-AF4F-473C-97C2-4CCF93A0FDF9}"/>
                </c:ext>
              </c:extLst>
            </c:dLbl>
            <c:dLbl>
              <c:idx val="30"/>
              <c:tx>
                <c:rich>
                  <a:bodyPr/>
                  <a:lstStyle/>
                  <a:p>
                    <a:fld id="{0F6781A7-34D6-4A80-BA16-0A69DF339072}"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E-AF4F-473C-97C2-4CCF93A0FDF9}"/>
                </c:ext>
              </c:extLst>
            </c:dLbl>
            <c:dLbl>
              <c:idx val="31"/>
              <c:tx>
                <c:rich>
                  <a:bodyPr/>
                  <a:lstStyle/>
                  <a:p>
                    <a:fld id="{0D5EFBEC-EA40-4E3B-8980-3D84DB2DE1C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F-AF4F-473C-97C2-4CCF93A0FDF9}"/>
                </c:ext>
              </c:extLst>
            </c:dLbl>
            <c:dLbl>
              <c:idx val="32"/>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0-AF4F-473C-97C2-4CCF93A0FDF9}"/>
                </c:ext>
              </c:extLst>
            </c:dLbl>
            <c:dLbl>
              <c:idx val="33"/>
              <c:tx>
                <c:rich>
                  <a:bodyPr/>
                  <a:lstStyle/>
                  <a:p>
                    <a:fld id="{AD3B4070-825D-4105-BE8C-59BA7D6DE2F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1-AF4F-473C-97C2-4CCF93A0FDF9}"/>
                </c:ext>
              </c:extLst>
            </c:dLbl>
            <c:dLbl>
              <c:idx val="34"/>
              <c:tx>
                <c:rich>
                  <a:bodyPr/>
                  <a:lstStyle/>
                  <a:p>
                    <a:fld id="{7396C852-D99C-43AE-8395-92F2CCD08A5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2-AF4F-473C-97C2-4CCF93A0FDF9}"/>
                </c:ext>
              </c:extLst>
            </c:dLbl>
            <c:dLbl>
              <c:idx val="35"/>
              <c:tx>
                <c:rich>
                  <a:bodyPr/>
                  <a:lstStyle/>
                  <a:p>
                    <a:fld id="{D69C4C30-3D51-4455-AFA0-AD6F681A113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3-AF4F-473C-97C2-4CCF93A0FDF9}"/>
                </c:ext>
              </c:extLst>
            </c:dLbl>
            <c:dLbl>
              <c:idx val="36"/>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4-AF4F-473C-97C2-4CCF93A0FDF9}"/>
                </c:ext>
              </c:extLst>
            </c:dLbl>
            <c:dLbl>
              <c:idx val="37"/>
              <c:tx>
                <c:rich>
                  <a:bodyPr/>
                  <a:lstStyle/>
                  <a:p>
                    <a:fld id="{55AF24F7-C7AF-4CB2-A319-6541F8708D48}"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5-AF4F-473C-97C2-4CCF93A0FDF9}"/>
                </c:ext>
              </c:extLst>
            </c:dLbl>
            <c:dLbl>
              <c:idx val="38"/>
              <c:tx>
                <c:rich>
                  <a:bodyPr/>
                  <a:lstStyle/>
                  <a:p>
                    <a:fld id="{0064BCC2-7AD0-43CC-8F60-1743186C6E81}"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6-AF4F-473C-97C2-4CCF93A0FDF9}"/>
                </c:ext>
              </c:extLst>
            </c:dLbl>
            <c:dLbl>
              <c:idx val="39"/>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7-AF4F-473C-97C2-4CCF93A0FDF9}"/>
                </c:ext>
              </c:extLst>
            </c:dLbl>
            <c:dLbl>
              <c:idx val="40"/>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8-AF4F-473C-97C2-4CCF93A0FDF9}"/>
                </c:ext>
              </c:extLst>
            </c:dLbl>
            <c:dLbl>
              <c:idx val="41"/>
              <c:tx>
                <c:rich>
                  <a:bodyPr/>
                  <a:lstStyle/>
                  <a:p>
                    <a:fld id="{8E14ADEF-04A0-46D5-B750-F9073A30A37A}"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9-AF4F-473C-97C2-4CCF93A0FDF9}"/>
                </c:ext>
              </c:extLst>
            </c:dLbl>
            <c:dLbl>
              <c:idx val="42"/>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A-AF4F-473C-97C2-4CCF93A0FDF9}"/>
                </c:ext>
              </c:extLst>
            </c:dLbl>
            <c:dLbl>
              <c:idx val="43"/>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B-AF4F-473C-97C2-4CCF93A0FDF9}"/>
                </c:ext>
              </c:extLst>
            </c:dLbl>
            <c:dLbl>
              <c:idx val="44"/>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C-AF4F-473C-97C2-4CCF93A0FDF9}"/>
                </c:ext>
              </c:extLst>
            </c:dLbl>
            <c:dLbl>
              <c:idx val="45"/>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2D-AF4F-473C-97C2-4CCF93A0FDF9}"/>
                </c:ext>
              </c:extLst>
            </c:dLbl>
            <c:dLbl>
              <c:idx val="46"/>
              <c:tx>
                <c:rich>
                  <a:bodyPr/>
                  <a:lstStyle/>
                  <a:p>
                    <a:fld id="{4B0FC792-3660-4780-83BC-0F2A1B8C4DB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E-AF4F-473C-97C2-4CCF93A0FDF9}"/>
                </c:ext>
              </c:extLst>
            </c:dLbl>
            <c:dLbl>
              <c:idx val="47"/>
              <c:tx>
                <c:rich>
                  <a:bodyPr/>
                  <a:lstStyle/>
                  <a:p>
                    <a:fld id="{A76ED5AF-3FFD-4C32-A171-8CA9CC54561F}"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2F-AF4F-473C-97C2-4CCF93A0FDF9}"/>
                </c:ext>
              </c:extLst>
            </c:dLbl>
            <c:dLbl>
              <c:idx val="48"/>
              <c:tx>
                <c:rich>
                  <a:bodyPr/>
                  <a:lstStyle/>
                  <a:p>
                    <a:fld id="{4A950216-2388-4672-A963-9C49EA782481}"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0-AF4F-473C-97C2-4CCF93A0FDF9}"/>
                </c:ext>
              </c:extLst>
            </c:dLbl>
            <c:dLbl>
              <c:idx val="49"/>
              <c:tx>
                <c:rich>
                  <a:bodyPr/>
                  <a:lstStyle/>
                  <a:p>
                    <a:fld id="{B91108B7-9E59-4255-8158-F77679AE570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1-AF4F-473C-97C2-4CCF93A0FDF9}"/>
                </c:ext>
              </c:extLst>
            </c:dLbl>
            <c:dLbl>
              <c:idx val="50"/>
              <c:tx>
                <c:rich>
                  <a:bodyPr/>
                  <a:lstStyle/>
                  <a:p>
                    <a:fld id="{0DEEE35D-C262-4A01-B14E-4D10E86020E7}"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2-AF4F-473C-97C2-4CCF93A0FDF9}"/>
                </c:ext>
              </c:extLst>
            </c:dLbl>
            <c:dLbl>
              <c:idx val="51"/>
              <c:tx>
                <c:rich>
                  <a:bodyPr/>
                  <a:lstStyle/>
                  <a:p>
                    <a:fld id="{61BE1214-09F2-4DAD-BD22-2F7BD62A558C}"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3-AF4F-473C-97C2-4CCF93A0FDF9}"/>
                </c:ext>
              </c:extLst>
            </c:dLbl>
            <c:dLbl>
              <c:idx val="52"/>
              <c:tx>
                <c:rich>
                  <a:bodyPr/>
                  <a:lstStyle/>
                  <a:p>
                    <a:fld id="{657F55FE-0C36-48E1-A11D-B5B8B0B71F19}"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4-AF4F-473C-97C2-4CCF93A0FDF9}"/>
                </c:ext>
              </c:extLst>
            </c:dLbl>
            <c:dLbl>
              <c:idx val="53"/>
              <c:tx>
                <c:rich>
                  <a:bodyPr/>
                  <a:lstStyle/>
                  <a:p>
                    <a:fld id="{8C4F16D0-B263-4601-BDEC-B166F1932DF9}"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5-AF4F-473C-97C2-4CCF93A0FDF9}"/>
                </c:ext>
              </c:extLst>
            </c:dLbl>
            <c:dLbl>
              <c:idx val="54"/>
              <c:tx>
                <c:rich>
                  <a:bodyPr/>
                  <a:lstStyle/>
                  <a:p>
                    <a:fld id="{5F1F9EB4-8511-45BF-B1C1-A5617A67B55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6-AF4F-473C-97C2-4CCF93A0FDF9}"/>
                </c:ext>
              </c:extLst>
            </c:dLbl>
            <c:dLbl>
              <c:idx val="55"/>
              <c:tx>
                <c:rich>
                  <a:bodyPr/>
                  <a:lstStyle/>
                  <a:p>
                    <a:fld id="{6D4F2564-B1F7-4D25-9A5A-31EC1CFDFD2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7-AF4F-473C-97C2-4CCF93A0FDF9}"/>
                </c:ext>
              </c:extLst>
            </c:dLbl>
            <c:dLbl>
              <c:idx val="56"/>
              <c:tx>
                <c:rich>
                  <a:bodyPr/>
                  <a:lstStyle/>
                  <a:p>
                    <a:fld id="{81400A5D-E68D-4EF6-B6E2-97E635C3BD3E}"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8-AF4F-473C-97C2-4CCF93A0FDF9}"/>
                </c:ext>
              </c:extLst>
            </c:dLbl>
            <c:dLbl>
              <c:idx val="57"/>
              <c:tx>
                <c:rich>
                  <a:bodyPr/>
                  <a:lstStyle/>
                  <a:p>
                    <a:fld id="{2FFABDE1-C1CC-460C-9F49-C6265092CB2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9-AF4F-473C-97C2-4CCF93A0FDF9}"/>
                </c:ext>
              </c:extLst>
            </c:dLbl>
            <c:dLbl>
              <c:idx val="58"/>
              <c:tx>
                <c:rich>
                  <a:bodyPr/>
                  <a:lstStyle/>
                  <a:p>
                    <a:fld id="{FEEACAC2-8FE5-44A6-910A-04510A6AB514}"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A-AF4F-473C-97C2-4CCF93A0FDF9}"/>
                </c:ext>
              </c:extLst>
            </c:dLbl>
            <c:dLbl>
              <c:idx val="59"/>
              <c:tx>
                <c:rich>
                  <a:bodyPr/>
                  <a:lstStyle/>
                  <a:p>
                    <a:fld id="{B45FB6FB-DC3D-4A09-8DF8-7AD2CB1CE61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B-AF4F-473C-97C2-4CCF93A0FDF9}"/>
                </c:ext>
              </c:extLst>
            </c:dLbl>
            <c:dLbl>
              <c:idx val="60"/>
              <c:tx>
                <c:rich>
                  <a:bodyPr/>
                  <a:lstStyle/>
                  <a:p>
                    <a:fld id="{B52C052F-9057-48E5-9434-DF36F70B5E07}"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C-AF4F-473C-97C2-4CCF93A0FDF9}"/>
                </c:ext>
              </c:extLst>
            </c:dLbl>
            <c:dLbl>
              <c:idx val="61"/>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3D-AF4F-473C-97C2-4CCF93A0FDF9}"/>
                </c:ext>
              </c:extLst>
            </c:dLbl>
            <c:dLbl>
              <c:idx val="62"/>
              <c:tx>
                <c:rich>
                  <a:bodyPr/>
                  <a:lstStyle/>
                  <a:p>
                    <a:fld id="{FB905F6B-F2FA-4968-8F13-77E016EF6E84}"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E-AF4F-473C-97C2-4CCF93A0FDF9}"/>
                </c:ext>
              </c:extLst>
            </c:dLbl>
            <c:dLbl>
              <c:idx val="63"/>
              <c:tx>
                <c:rich>
                  <a:bodyPr/>
                  <a:lstStyle/>
                  <a:p>
                    <a:fld id="{DEE231DB-F3C7-44D4-9D7D-CEDBD697245F}"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3F-AF4F-473C-97C2-4CCF93A0FDF9}"/>
                </c:ext>
              </c:extLst>
            </c:dLbl>
            <c:dLbl>
              <c:idx val="64"/>
              <c:tx>
                <c:rich>
                  <a:bodyPr/>
                  <a:lstStyle/>
                  <a:p>
                    <a:fld id="{F45B6425-2DEE-4A94-9CB7-C3B30E7E2D0B}"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0-AF4F-473C-97C2-4CCF93A0FDF9}"/>
                </c:ext>
              </c:extLst>
            </c:dLbl>
            <c:dLbl>
              <c:idx val="65"/>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41-AF4F-473C-97C2-4CCF93A0FDF9}"/>
                </c:ext>
              </c:extLst>
            </c:dLbl>
            <c:dLbl>
              <c:idx val="66"/>
              <c:tx>
                <c:rich>
                  <a:bodyPr/>
                  <a:lstStyle/>
                  <a:p>
                    <a:fld id="{EC995606-7A24-44FD-B79C-0F289BB243BA}"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2-AF4F-473C-97C2-4CCF93A0FDF9}"/>
                </c:ext>
              </c:extLst>
            </c:dLbl>
            <c:dLbl>
              <c:idx val="67"/>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43-AF4F-473C-97C2-4CCF93A0FDF9}"/>
                </c:ext>
              </c:extLst>
            </c:dLbl>
            <c:dLbl>
              <c:idx val="68"/>
              <c:tx>
                <c:rich>
                  <a:bodyPr/>
                  <a:lstStyle/>
                  <a:p>
                    <a:fld id="{7F909BD9-87D5-4958-A8A8-90E4B4577CC6}"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4-AF4F-473C-97C2-4CCF93A0FDF9}"/>
                </c:ext>
              </c:extLst>
            </c:dLbl>
            <c:dLbl>
              <c:idx val="69"/>
              <c:tx>
                <c:rich>
                  <a:bodyPr/>
                  <a:lstStyle/>
                  <a:p>
                    <a:fld id="{CEE21D22-FEEA-42A4-B704-564894909FB8}"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5-AF4F-473C-97C2-4CCF93A0FDF9}"/>
                </c:ext>
              </c:extLst>
            </c:dLbl>
            <c:dLbl>
              <c:idx val="70"/>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46-AF4F-473C-97C2-4CCF93A0FDF9}"/>
                </c:ext>
              </c:extLst>
            </c:dLbl>
            <c:dLbl>
              <c:idx val="71"/>
              <c:tx>
                <c:rich>
                  <a:bodyPr/>
                  <a:lstStyle/>
                  <a:p>
                    <a:fld id="{517F26B0-77E5-40E1-A3A2-4C7A9E8B9DC6}"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7-AF4F-473C-97C2-4CCF93A0FDF9}"/>
                </c:ext>
              </c:extLst>
            </c:dLbl>
            <c:dLbl>
              <c:idx val="72"/>
              <c:tx>
                <c:rich>
                  <a:bodyPr/>
                  <a:lstStyle/>
                  <a:p>
                    <a:fld id="{A23C851A-4125-4973-ABE7-528595E39E67}"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8-AF4F-473C-97C2-4CCF93A0FDF9}"/>
                </c:ext>
              </c:extLst>
            </c:dLbl>
            <c:dLbl>
              <c:idx val="73"/>
              <c:tx>
                <c:rich>
                  <a:bodyPr/>
                  <a:lstStyle/>
                  <a:p>
                    <a:fld id="{EDA951A8-FB54-49E3-A11D-E71A414C430E}"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9-AF4F-473C-97C2-4CCF93A0FDF9}"/>
                </c:ext>
              </c:extLst>
            </c:dLbl>
            <c:dLbl>
              <c:idx val="74"/>
              <c:tx>
                <c:rich>
                  <a:bodyPr/>
                  <a:lstStyle/>
                  <a:p>
                    <a:fld id="{52ACA86D-5089-4513-B738-B21FFE64D483}"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A-AF4F-473C-97C2-4CCF93A0FDF9}"/>
                </c:ext>
              </c:extLst>
            </c:dLbl>
            <c:dLbl>
              <c:idx val="75"/>
              <c:tx>
                <c:rich>
                  <a:bodyPr/>
                  <a:lstStyle/>
                  <a:p>
                    <a:fld id="{5BCA162D-BAF9-4612-BCBB-0F6BAED44030}"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B-AF4F-473C-97C2-4CCF93A0FDF9}"/>
                </c:ext>
              </c:extLst>
            </c:dLbl>
            <c:dLbl>
              <c:idx val="76"/>
              <c:tx>
                <c:rich>
                  <a:bodyPr/>
                  <a:lstStyle/>
                  <a:p>
                    <a:endParaRPr lang="ru-RU"/>
                  </a:p>
                </c:rich>
              </c:tx>
              <c:dLblPos val="t"/>
              <c:showLegendKey val="0"/>
              <c:showVal val="0"/>
              <c:showCatName val="0"/>
              <c:showSerName val="0"/>
              <c:showPercent val="0"/>
              <c:showBubbleSize val="0"/>
              <c:extLst>
                <c:ext xmlns:c15="http://schemas.microsoft.com/office/drawing/2012/chart" uri="{CE6537A1-D6FC-4f65-9D91-7224C49458BB}">
                  <c15:xForSave val="1"/>
                  <c15:showDataLabelsRange val="1"/>
                </c:ext>
                <c:ext xmlns:c16="http://schemas.microsoft.com/office/drawing/2014/chart" uri="{C3380CC4-5D6E-409C-BE32-E72D297353CC}">
                  <c16:uniqueId val="{0000004C-AF4F-473C-97C2-4CCF93A0FDF9}"/>
                </c:ext>
              </c:extLst>
            </c:dLbl>
            <c:dLbl>
              <c:idx val="77"/>
              <c:tx>
                <c:rich>
                  <a:bodyPr/>
                  <a:lstStyle/>
                  <a:p>
                    <a:fld id="{A7320AA6-46B2-402C-BB7C-1F45F863D6DC}"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D-AF4F-473C-97C2-4CCF93A0FDF9}"/>
                </c:ext>
              </c:extLst>
            </c:dLbl>
            <c:dLbl>
              <c:idx val="78"/>
              <c:tx>
                <c:rich>
                  <a:bodyPr/>
                  <a:lstStyle/>
                  <a:p>
                    <a:fld id="{2D2FF1CC-A083-4639-ADD2-906DADD79FDC}"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E-AF4F-473C-97C2-4CCF93A0FDF9}"/>
                </c:ext>
              </c:extLst>
            </c:dLbl>
            <c:dLbl>
              <c:idx val="79"/>
              <c:tx>
                <c:rich>
                  <a:bodyPr/>
                  <a:lstStyle/>
                  <a:p>
                    <a:fld id="{42F97DE6-F647-487E-B42B-882E68C6BD14}"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4F-AF4F-473C-97C2-4CCF93A0FDF9}"/>
                </c:ext>
              </c:extLst>
            </c:dLbl>
            <c:dLbl>
              <c:idx val="80"/>
              <c:tx>
                <c:rich>
                  <a:bodyPr/>
                  <a:lstStyle/>
                  <a:p>
                    <a:fld id="{2D245F85-CEF0-4225-8026-A82E489126E8}"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50-AF4F-473C-97C2-4CCF93A0FDF9}"/>
                </c:ext>
              </c:extLst>
            </c:dLbl>
            <c:dLbl>
              <c:idx val="81"/>
              <c:tx>
                <c:rich>
                  <a:bodyPr/>
                  <a:lstStyle/>
                  <a:p>
                    <a:fld id="{64BA494C-D4EB-4A9B-A359-4EF175A92566}"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51-AF4F-473C-97C2-4CCF93A0FDF9}"/>
                </c:ext>
              </c:extLst>
            </c:dLbl>
            <c:dLbl>
              <c:idx val="82"/>
              <c:tx>
                <c:rich>
                  <a:bodyPr/>
                  <a:lstStyle/>
                  <a:p>
                    <a:fld id="{7A97EF75-2EA0-4421-937A-67A3CCE526B5}" type="CELLRANGE">
                      <a:rPr lang="ru-RU"/>
                      <a:pPr/>
                      <a:t>[ДИАПАЗОН ЯЧЕЕК]</a:t>
                    </a:fld>
                    <a:endParaRPr lang="ru-RU"/>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52-AF4F-473C-97C2-4CCF93A0FDF9}"/>
                </c:ext>
              </c:extLst>
            </c:dLbl>
            <c:spPr>
              <a:noFill/>
              <a:ln>
                <a:noFill/>
              </a:ln>
              <a:effectLst/>
            </c:spPr>
            <c:txPr>
              <a:bodyPr rot="0" spcFirstLastPara="1" vertOverflow="ellipsis" vert="horz" wrap="square" lIns="38100" tIns="19050" rIns="38100" bIns="19050" anchor="ctr" anchorCtr="1">
                <a:spAutoFit/>
              </a:bodyPr>
              <a:lstStyle/>
              <a:p>
                <a:pPr>
                  <a:defRPr sz="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trendline>
            <c:spPr>
              <a:ln w="6350" cap="rnd">
                <a:solidFill>
                  <a:sysClr val="windowText" lastClr="000000"/>
                </a:solidFill>
                <a:prstDash val="solid"/>
              </a:ln>
              <a:effectLst/>
            </c:spPr>
            <c:trendlineType val="linear"/>
            <c:dispRSqr val="0"/>
            <c:dispEq val="0"/>
          </c:trendline>
          <c:xVal>
            <c:numRef>
              <c:f>Лист1!$C$2:$C$84</c:f>
              <c:numCache>
                <c:formatCode>#,##0.00</c:formatCode>
                <c:ptCount val="83"/>
                <c:pt idx="0">
                  <c:v>1.127</c:v>
                </c:pt>
                <c:pt idx="1">
                  <c:v>0.51800000000000002</c:v>
                </c:pt>
                <c:pt idx="2">
                  <c:v>0.751</c:v>
                </c:pt>
                <c:pt idx="3">
                  <c:v>0.81100000000000005</c:v>
                </c:pt>
                <c:pt idx="4">
                  <c:v>0.501</c:v>
                </c:pt>
                <c:pt idx="5">
                  <c:v>1.1080000000000001</c:v>
                </c:pt>
                <c:pt idx="6">
                  <c:v>0.61399999999999999</c:v>
                </c:pt>
                <c:pt idx="7">
                  <c:v>0.88200000000000001</c:v>
                </c:pt>
                <c:pt idx="8">
                  <c:v>1.083</c:v>
                </c:pt>
                <c:pt idx="9">
                  <c:v>1.3640000000000001</c:v>
                </c:pt>
                <c:pt idx="10">
                  <c:v>0.55800000000000005</c:v>
                </c:pt>
                <c:pt idx="11">
                  <c:v>0.72199999999999998</c:v>
                </c:pt>
                <c:pt idx="12">
                  <c:v>0.72499999999999998</c:v>
                </c:pt>
                <c:pt idx="13">
                  <c:v>0.50800000000000001</c:v>
                </c:pt>
                <c:pt idx="14">
                  <c:v>0.748</c:v>
                </c:pt>
                <c:pt idx="15">
                  <c:v>0.92900000000000005</c:v>
                </c:pt>
                <c:pt idx="16">
                  <c:v>0.95399999999999996</c:v>
                </c:pt>
                <c:pt idx="18">
                  <c:v>0.57799999999999996</c:v>
                </c:pt>
                <c:pt idx="19">
                  <c:v>0.88100000000000001</c:v>
                </c:pt>
                <c:pt idx="20">
                  <c:v>0.93500000000000005</c:v>
                </c:pt>
                <c:pt idx="21">
                  <c:v>0.63100000000000001</c:v>
                </c:pt>
                <c:pt idx="22">
                  <c:v>1.0429999999999999</c:v>
                </c:pt>
                <c:pt idx="23">
                  <c:v>0.83199999999999996</c:v>
                </c:pt>
                <c:pt idx="24">
                  <c:v>1.5009999999999999</c:v>
                </c:pt>
                <c:pt idx="25">
                  <c:v>1.1759999999999999</c:v>
                </c:pt>
                <c:pt idx="26">
                  <c:v>0.73899999999999999</c:v>
                </c:pt>
                <c:pt idx="28">
                  <c:v>2.1070000000000002</c:v>
                </c:pt>
                <c:pt idx="29">
                  <c:v>0.51100000000000001</c:v>
                </c:pt>
                <c:pt idx="30">
                  <c:v>0.52200000000000002</c:v>
                </c:pt>
                <c:pt idx="31">
                  <c:v>0.82499999999999996</c:v>
                </c:pt>
                <c:pt idx="32">
                  <c:v>0.82399999999999995</c:v>
                </c:pt>
                <c:pt idx="33">
                  <c:v>0.627</c:v>
                </c:pt>
                <c:pt idx="34">
                  <c:v>0.69499999999999995</c:v>
                </c:pt>
                <c:pt idx="35">
                  <c:v>0.26900000000000002</c:v>
                </c:pt>
                <c:pt idx="36">
                  <c:v>0.23499999999999999</c:v>
                </c:pt>
                <c:pt idx="37">
                  <c:v>0.33200000000000002</c:v>
                </c:pt>
                <c:pt idx="38">
                  <c:v>0.29799999999999999</c:v>
                </c:pt>
                <c:pt idx="39">
                  <c:v>0.40799999999999997</c:v>
                </c:pt>
                <c:pt idx="40">
                  <c:v>0.27100000000000002</c:v>
                </c:pt>
                <c:pt idx="41">
                  <c:v>0.52600000000000002</c:v>
                </c:pt>
                <c:pt idx="42">
                  <c:v>0.60899999999999999</c:v>
                </c:pt>
                <c:pt idx="43">
                  <c:v>0.47</c:v>
                </c:pt>
                <c:pt idx="44">
                  <c:v>0.59399999999999997</c:v>
                </c:pt>
                <c:pt idx="45">
                  <c:v>1.1599999999999999</c:v>
                </c:pt>
                <c:pt idx="46">
                  <c:v>0.68700000000000006</c:v>
                </c:pt>
                <c:pt idx="47">
                  <c:v>0.51500000000000001</c:v>
                </c:pt>
                <c:pt idx="48">
                  <c:v>0.9</c:v>
                </c:pt>
                <c:pt idx="49">
                  <c:v>0.52300000000000002</c:v>
                </c:pt>
                <c:pt idx="50">
                  <c:v>0.95599999999999996</c:v>
                </c:pt>
                <c:pt idx="51">
                  <c:v>0.749</c:v>
                </c:pt>
                <c:pt idx="52">
                  <c:v>0.55600000000000005</c:v>
                </c:pt>
                <c:pt idx="53">
                  <c:v>1.056</c:v>
                </c:pt>
                <c:pt idx="54">
                  <c:v>0.64200000000000002</c:v>
                </c:pt>
                <c:pt idx="55">
                  <c:v>0.73299999999999998</c:v>
                </c:pt>
                <c:pt idx="56">
                  <c:v>0.443</c:v>
                </c:pt>
                <c:pt idx="57">
                  <c:v>1.087</c:v>
                </c:pt>
                <c:pt idx="58">
                  <c:v>1.66</c:v>
                </c:pt>
                <c:pt idx="59">
                  <c:v>2.5630000000000002</c:v>
                </c:pt>
                <c:pt idx="60">
                  <c:v>2.1560000000000001</c:v>
                </c:pt>
                <c:pt idx="61">
                  <c:v>0.9</c:v>
                </c:pt>
                <c:pt idx="62">
                  <c:v>0.28999999999999998</c:v>
                </c:pt>
                <c:pt idx="63">
                  <c:v>0.434</c:v>
                </c:pt>
                <c:pt idx="64">
                  <c:v>0.21299999999999999</c:v>
                </c:pt>
                <c:pt idx="65">
                  <c:v>0.59399999999999997</c:v>
                </c:pt>
                <c:pt idx="66">
                  <c:v>0.50600000000000001</c:v>
                </c:pt>
                <c:pt idx="67">
                  <c:v>0.58399999999999996</c:v>
                </c:pt>
                <c:pt idx="68">
                  <c:v>1.19</c:v>
                </c:pt>
                <c:pt idx="69">
                  <c:v>0.98299999999999998</c:v>
                </c:pt>
                <c:pt idx="70">
                  <c:v>0.84399999999999997</c:v>
                </c:pt>
                <c:pt idx="71">
                  <c:v>0.88</c:v>
                </c:pt>
                <c:pt idx="72">
                  <c:v>0.66</c:v>
                </c:pt>
                <c:pt idx="73">
                  <c:v>0.623</c:v>
                </c:pt>
                <c:pt idx="74">
                  <c:v>0.47</c:v>
                </c:pt>
                <c:pt idx="75">
                  <c:v>0.32700000000000001</c:v>
                </c:pt>
                <c:pt idx="76">
                  <c:v>0.76600000000000001</c:v>
                </c:pt>
                <c:pt idx="77">
                  <c:v>0.76800000000000002</c:v>
                </c:pt>
                <c:pt idx="78">
                  <c:v>0.871</c:v>
                </c:pt>
                <c:pt idx="79">
                  <c:v>0.65800000000000003</c:v>
                </c:pt>
                <c:pt idx="80">
                  <c:v>1.7150000000000001</c:v>
                </c:pt>
                <c:pt idx="81">
                  <c:v>0.53</c:v>
                </c:pt>
                <c:pt idx="82">
                  <c:v>0.439</c:v>
                </c:pt>
              </c:numCache>
            </c:numRef>
          </c:xVal>
          <c:yVal>
            <c:numRef>
              <c:f>Лист1!$B$2:$B$84</c:f>
              <c:numCache>
                <c:formatCode>General</c:formatCode>
                <c:ptCount val="83"/>
                <c:pt idx="0" formatCode="0.0">
                  <c:v>10</c:v>
                </c:pt>
                <c:pt idx="2" formatCode="0.0">
                  <c:v>19</c:v>
                </c:pt>
                <c:pt idx="3" formatCode="0.0">
                  <c:v>34</c:v>
                </c:pt>
                <c:pt idx="4" formatCode="0.0">
                  <c:v>23</c:v>
                </c:pt>
                <c:pt idx="5" formatCode="0.0">
                  <c:v>5.883</c:v>
                </c:pt>
                <c:pt idx="6" formatCode="0.0">
                  <c:v>15</c:v>
                </c:pt>
                <c:pt idx="7" formatCode="0.0">
                  <c:v>15</c:v>
                </c:pt>
                <c:pt idx="10" formatCode="0.0">
                  <c:v>7.5</c:v>
                </c:pt>
                <c:pt idx="11" formatCode="0.0">
                  <c:v>32.129999999999995</c:v>
                </c:pt>
                <c:pt idx="12" formatCode="0.0">
                  <c:v>16.526</c:v>
                </c:pt>
                <c:pt idx="13" formatCode="0.0">
                  <c:v>25</c:v>
                </c:pt>
                <c:pt idx="14" formatCode="0.0">
                  <c:v>20</c:v>
                </c:pt>
                <c:pt idx="15" formatCode="0.0">
                  <c:v>15</c:v>
                </c:pt>
                <c:pt idx="16" formatCode="0.0">
                  <c:v>15</c:v>
                </c:pt>
                <c:pt idx="18" formatCode="0.0">
                  <c:v>17.5</c:v>
                </c:pt>
                <c:pt idx="19" formatCode="0.0">
                  <c:v>11</c:v>
                </c:pt>
                <c:pt idx="20" formatCode="0.0">
                  <c:v>12.5</c:v>
                </c:pt>
                <c:pt idx="21" formatCode="0.0">
                  <c:v>21.125</c:v>
                </c:pt>
                <c:pt idx="22" formatCode="0.0">
                  <c:v>5</c:v>
                </c:pt>
                <c:pt idx="23" formatCode="0.0">
                  <c:v>15</c:v>
                </c:pt>
                <c:pt idx="24" formatCode="0.0">
                  <c:v>11.5</c:v>
                </c:pt>
                <c:pt idx="26" formatCode="0.0">
                  <c:v>15</c:v>
                </c:pt>
                <c:pt idx="30" formatCode="0.0">
                  <c:v>20</c:v>
                </c:pt>
                <c:pt idx="31" formatCode="0.0">
                  <c:v>13.5</c:v>
                </c:pt>
                <c:pt idx="33" formatCode="0.0">
                  <c:v>7</c:v>
                </c:pt>
                <c:pt idx="34" formatCode="0.0">
                  <c:v>10</c:v>
                </c:pt>
                <c:pt idx="35" formatCode="0.0">
                  <c:v>28</c:v>
                </c:pt>
                <c:pt idx="37" formatCode="0.0">
                  <c:v>33.5</c:v>
                </c:pt>
                <c:pt idx="38" formatCode="0.0">
                  <c:v>14.75</c:v>
                </c:pt>
                <c:pt idx="41" formatCode="0.0">
                  <c:v>23</c:v>
                </c:pt>
                <c:pt idx="46" formatCode="0.0">
                  <c:v>29.5</c:v>
                </c:pt>
                <c:pt idx="47" formatCode="0.0">
                  <c:v>4.5</c:v>
                </c:pt>
                <c:pt idx="48" formatCode="0.0">
                  <c:v>17.75</c:v>
                </c:pt>
                <c:pt idx="49" formatCode="0.0">
                  <c:v>15</c:v>
                </c:pt>
                <c:pt idx="50" formatCode="0.0">
                  <c:v>3</c:v>
                </c:pt>
                <c:pt idx="51" formatCode="0.0">
                  <c:v>5</c:v>
                </c:pt>
                <c:pt idx="52" formatCode="0.0">
                  <c:v>15</c:v>
                </c:pt>
                <c:pt idx="53" formatCode="0.0">
                  <c:v>23.529411764705884</c:v>
                </c:pt>
                <c:pt idx="54" formatCode="0.0">
                  <c:v>15.5</c:v>
                </c:pt>
                <c:pt idx="55" formatCode="0.0">
                  <c:v>12.5</c:v>
                </c:pt>
                <c:pt idx="56" formatCode="0.0">
                  <c:v>20</c:v>
                </c:pt>
                <c:pt idx="57" formatCode="0.0">
                  <c:v>1</c:v>
                </c:pt>
                <c:pt idx="58" formatCode="0.0">
                  <c:v>20.5</c:v>
                </c:pt>
                <c:pt idx="59" formatCode="0.0">
                  <c:v>15</c:v>
                </c:pt>
                <c:pt idx="60" formatCode="0.0">
                  <c:v>17.5</c:v>
                </c:pt>
                <c:pt idx="62" formatCode="0.0">
                  <c:v>30</c:v>
                </c:pt>
                <c:pt idx="63" formatCode="0.0">
                  <c:v>15</c:v>
                </c:pt>
                <c:pt idx="64" formatCode="0.0">
                  <c:v>20</c:v>
                </c:pt>
                <c:pt idx="66" formatCode="0.0">
                  <c:v>25</c:v>
                </c:pt>
                <c:pt idx="68" formatCode="0.0">
                  <c:v>15</c:v>
                </c:pt>
                <c:pt idx="69" formatCode="0.0">
                  <c:v>18.875</c:v>
                </c:pt>
                <c:pt idx="71" formatCode="0.0">
                  <c:v>15</c:v>
                </c:pt>
                <c:pt idx="72" formatCode="0.0">
                  <c:v>5</c:v>
                </c:pt>
                <c:pt idx="73" formatCode="0.0">
                  <c:v>10</c:v>
                </c:pt>
                <c:pt idx="74" formatCode="0.0">
                  <c:v>22.5</c:v>
                </c:pt>
                <c:pt idx="75" formatCode="0.0">
                  <c:v>22.5</c:v>
                </c:pt>
                <c:pt idx="77" formatCode="0.0">
                  <c:v>4.5</c:v>
                </c:pt>
                <c:pt idx="78" formatCode="0.0">
                  <c:v>5</c:v>
                </c:pt>
                <c:pt idx="79" formatCode="0.0">
                  <c:v>15</c:v>
                </c:pt>
                <c:pt idx="80" formatCode="0.0">
                  <c:v>20</c:v>
                </c:pt>
                <c:pt idx="81" formatCode="0.0">
                  <c:v>10</c:v>
                </c:pt>
                <c:pt idx="82" formatCode="0.0">
                  <c:v>16</c:v>
                </c:pt>
              </c:numCache>
            </c:numRef>
          </c:yVal>
          <c:smooth val="0"/>
          <c:extLst>
            <c:ext xmlns:c15="http://schemas.microsoft.com/office/drawing/2012/chart" uri="{02D57815-91ED-43cb-92C2-25804820EDAC}">
              <c15:datalabelsRange>
                <c15:f>Лист1!$A$2:$A$84</c15:f>
                <c15:dlblRangeCache>
                  <c:ptCount val="83"/>
                  <c:pt idx="0">
                    <c:v>БЕЛ</c:v>
                  </c:pt>
                  <c:pt idx="1">
                    <c:v>БРЯ</c:v>
                  </c:pt>
                  <c:pt idx="2">
                    <c:v>ВЛА</c:v>
                  </c:pt>
                  <c:pt idx="3">
                    <c:v>ВОР</c:v>
                  </c:pt>
                  <c:pt idx="4">
                    <c:v>ИВА</c:v>
                  </c:pt>
                  <c:pt idx="5">
                    <c:v>КЛЖ</c:v>
                  </c:pt>
                  <c:pt idx="6">
                    <c:v>КОС</c:v>
                  </c:pt>
                  <c:pt idx="7">
                    <c:v>КУР</c:v>
                  </c:pt>
                  <c:pt idx="8">
                    <c:v>ЛИП</c:v>
                  </c:pt>
                  <c:pt idx="9">
                    <c:v>МОБ</c:v>
                  </c:pt>
                  <c:pt idx="10">
                    <c:v>ОРЛ</c:v>
                  </c:pt>
                  <c:pt idx="11">
                    <c:v>РЯЗ</c:v>
                  </c:pt>
                  <c:pt idx="12">
                    <c:v>СМО</c:v>
                  </c:pt>
                  <c:pt idx="13">
                    <c:v>ТАМ</c:v>
                  </c:pt>
                  <c:pt idx="14">
                    <c:v>ТВЕ</c:v>
                  </c:pt>
                  <c:pt idx="15">
                    <c:v>ТУЛ</c:v>
                  </c:pt>
                  <c:pt idx="16">
                    <c:v>ЯРО</c:v>
                  </c:pt>
                  <c:pt idx="17">
                    <c:v>МОС</c:v>
                  </c:pt>
                  <c:pt idx="18">
                    <c:v>КАР</c:v>
                  </c:pt>
                  <c:pt idx="19">
                    <c:v>КОМ</c:v>
                  </c:pt>
                  <c:pt idx="20">
                    <c:v>НАО</c:v>
                  </c:pt>
                  <c:pt idx="21">
                    <c:v>АРХ</c:v>
                  </c:pt>
                  <c:pt idx="22">
                    <c:v>ВЛГ</c:v>
                  </c:pt>
                  <c:pt idx="23">
                    <c:v>КЛН</c:v>
                  </c:pt>
                  <c:pt idx="24">
                    <c:v>ЛЕН</c:v>
                  </c:pt>
                  <c:pt idx="25">
                    <c:v>МУР</c:v>
                  </c:pt>
                  <c:pt idx="26">
                    <c:v>НОВ</c:v>
                  </c:pt>
                  <c:pt idx="27">
                    <c:v>ПСК</c:v>
                  </c:pt>
                  <c:pt idx="28">
                    <c:v>СПБ</c:v>
                  </c:pt>
                  <c:pt idx="29">
                    <c:v>АДЫ</c:v>
                  </c:pt>
                  <c:pt idx="30">
                    <c:v>КЛМ</c:v>
                  </c:pt>
                  <c:pt idx="31">
                    <c:v>КРД</c:v>
                  </c:pt>
                  <c:pt idx="32">
                    <c:v>АСТ</c:v>
                  </c:pt>
                  <c:pt idx="33">
                    <c:v>ВЛД</c:v>
                  </c:pt>
                  <c:pt idx="34">
                    <c:v>РОС</c:v>
                  </c:pt>
                  <c:pt idx="35">
                    <c:v>ДАГ</c:v>
                  </c:pt>
                  <c:pt idx="36">
                    <c:v>ИНГ</c:v>
                  </c:pt>
                  <c:pt idx="37">
                    <c:v>КАБ</c:v>
                  </c:pt>
                  <c:pt idx="38">
                    <c:v>КАЧ</c:v>
                  </c:pt>
                  <c:pt idx="39">
                    <c:v>СОА</c:v>
                  </c:pt>
                  <c:pt idx="40">
                    <c:v>ЧЕЧ</c:v>
                  </c:pt>
                  <c:pt idx="41">
                    <c:v>СТА</c:v>
                  </c:pt>
                  <c:pt idx="42">
                    <c:v>БАШ</c:v>
                  </c:pt>
                  <c:pt idx="43">
                    <c:v>МАЭ</c:v>
                  </c:pt>
                  <c:pt idx="44">
                    <c:v>МОР</c:v>
                  </c:pt>
                  <c:pt idx="45">
                    <c:v>ТАТ</c:v>
                  </c:pt>
                  <c:pt idx="46">
                    <c:v>УДМ</c:v>
                  </c:pt>
                  <c:pt idx="47">
                    <c:v>ЧУВ</c:v>
                  </c:pt>
                  <c:pt idx="48">
                    <c:v>ПЕР</c:v>
                  </c:pt>
                  <c:pt idx="49">
                    <c:v>КИР</c:v>
                  </c:pt>
                  <c:pt idx="50">
                    <c:v>НИЖ</c:v>
                  </c:pt>
                  <c:pt idx="51">
                    <c:v>ОРЕ</c:v>
                  </c:pt>
                  <c:pt idx="52">
                    <c:v>ПЕН</c:v>
                  </c:pt>
                  <c:pt idx="53">
                    <c:v>САМ</c:v>
                  </c:pt>
                  <c:pt idx="54">
                    <c:v>САР</c:v>
                  </c:pt>
                  <c:pt idx="55">
                    <c:v>УЛЬ</c:v>
                  </c:pt>
                  <c:pt idx="56">
                    <c:v>КРГ</c:v>
                  </c:pt>
                  <c:pt idx="57">
                    <c:v>СВЕ</c:v>
                  </c:pt>
                  <c:pt idx="58">
                    <c:v>ХМА</c:v>
                  </c:pt>
                  <c:pt idx="59">
                    <c:v>ЯНА</c:v>
                  </c:pt>
                  <c:pt idx="60">
                    <c:v>ТЮМ</c:v>
                  </c:pt>
                  <c:pt idx="61">
                    <c:v>ЧЕЛ</c:v>
                  </c:pt>
                  <c:pt idx="62">
                    <c:v>РАЛ</c:v>
                  </c:pt>
                  <c:pt idx="63">
                    <c:v>БУР</c:v>
                  </c:pt>
                  <c:pt idx="64">
                    <c:v>ТЫВ</c:v>
                  </c:pt>
                  <c:pt idx="65">
                    <c:v>ХАК</c:v>
                  </c:pt>
                  <c:pt idx="66">
                    <c:v>АЛТ</c:v>
                  </c:pt>
                  <c:pt idx="67">
                    <c:v>ЗАБ</c:v>
                  </c:pt>
                  <c:pt idx="68">
                    <c:v>КРЯ</c:v>
                  </c:pt>
                  <c:pt idx="69">
                    <c:v>ИРК</c:v>
                  </c:pt>
                  <c:pt idx="70">
                    <c:v>КЕМ</c:v>
                  </c:pt>
                  <c:pt idx="71">
                    <c:v>НВС</c:v>
                  </c:pt>
                  <c:pt idx="72">
                    <c:v>ОМС</c:v>
                  </c:pt>
                  <c:pt idx="73">
                    <c:v>ТОМ</c:v>
                  </c:pt>
                  <c:pt idx="74">
                    <c:v>САХ</c:v>
                  </c:pt>
                  <c:pt idx="75">
                    <c:v>КАМ</c:v>
                  </c:pt>
                  <c:pt idx="76">
                    <c:v>ПРИ</c:v>
                  </c:pt>
                  <c:pt idx="77">
                    <c:v>ХАБ</c:v>
                  </c:pt>
                  <c:pt idx="78">
                    <c:v>АМУ</c:v>
                  </c:pt>
                  <c:pt idx="79">
                    <c:v>МАГ</c:v>
                  </c:pt>
                  <c:pt idx="80">
                    <c:v>СХЛ</c:v>
                  </c:pt>
                  <c:pt idx="81">
                    <c:v>ЕАО</c:v>
                  </c:pt>
                  <c:pt idx="82">
                    <c:v>ЧУК</c:v>
                  </c:pt>
                </c15:dlblRangeCache>
              </c15:datalabelsRange>
            </c:ext>
            <c:ext xmlns:c16="http://schemas.microsoft.com/office/drawing/2014/chart" uri="{C3380CC4-5D6E-409C-BE32-E72D297353CC}">
              <c16:uniqueId val="{00000054-AF4F-473C-97C2-4CCF93A0FDF9}"/>
            </c:ext>
          </c:extLst>
        </c:ser>
        <c:dLbls>
          <c:showLegendKey val="0"/>
          <c:showVal val="0"/>
          <c:showCatName val="0"/>
          <c:showSerName val="0"/>
          <c:showPercent val="0"/>
          <c:showBubbleSize val="0"/>
        </c:dLbls>
        <c:axId val="215630352"/>
        <c:axId val="215630744"/>
      </c:scatterChart>
      <c:valAx>
        <c:axId val="21563035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Бюджетная обеспеченность, ед. </a:t>
                </a:r>
              </a:p>
            </c:rich>
          </c:tx>
          <c:layout>
            <c:manualLayout>
              <c:xMode val="edge"/>
              <c:yMode val="edge"/>
              <c:x val="0.1593543273460018"/>
              <c:y val="0.9223393769228472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5630744"/>
        <c:crosses val="autoZero"/>
        <c:crossBetween val="midCat"/>
      </c:valAx>
      <c:valAx>
        <c:axId val="215630744"/>
        <c:scaling>
          <c:orientation val="minMax"/>
        </c:scaling>
        <c:delete val="0"/>
        <c:axPos val="l"/>
        <c:numFmt formatCode="#,##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56303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0.03813</cdr:x>
      <cdr:y>0.06214</cdr:y>
    </cdr:from>
    <cdr:to>
      <cdr:x>0.11777</cdr:x>
      <cdr:y>0.24451</cdr:y>
    </cdr:to>
    <cdr:sp macro="" textlink="">
      <cdr:nvSpPr>
        <cdr:cNvPr id="3" name="TextBox 1">
          <a:extLst xmlns:a="http://schemas.openxmlformats.org/drawingml/2006/main">
            <a:ext uri="{FF2B5EF4-FFF2-40B4-BE49-F238E27FC236}">
              <a16:creationId xmlns:a16="http://schemas.microsoft.com/office/drawing/2014/main" id="{1492D50D-2F1E-4653-9B37-2E9C8A436B90}"/>
            </a:ext>
          </a:extLst>
        </cdr:cNvPr>
        <cdr:cNvSpPr txBox="1"/>
      </cdr:nvSpPr>
      <cdr:spPr>
        <a:xfrm xmlns:a="http://schemas.openxmlformats.org/drawingml/2006/main">
          <a:off x="209178" y="198860"/>
          <a:ext cx="436937" cy="58365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ru-RU" sz="1000" b="0">
              <a:latin typeface="Times New Roman" panose="02020603050405020304" pitchFamily="18" charset="0"/>
              <a:cs typeface="Times New Roman" panose="02020603050405020304" pitchFamily="18" charset="0"/>
            </a:rPr>
            <a:t>Норматив</a:t>
          </a:r>
          <a:br>
            <a:rPr lang="ru-RU" sz="1000" b="0">
              <a:latin typeface="Times New Roman" panose="02020603050405020304" pitchFamily="18" charset="0"/>
              <a:cs typeface="Times New Roman" panose="02020603050405020304" pitchFamily="18" charset="0"/>
            </a:rPr>
          </a:br>
          <a:r>
            <a:rPr lang="ru-RU" sz="1000" b="0">
              <a:latin typeface="Times New Roman" panose="02020603050405020304" pitchFamily="18" charset="0"/>
              <a:cs typeface="Times New Roman" panose="02020603050405020304" pitchFamily="18" charset="0"/>
            </a:rPr>
            <a:t>отчислений,</a:t>
          </a:r>
          <a:br>
            <a:rPr lang="ru-RU" sz="1000" b="0" baseline="0">
              <a:latin typeface="Times New Roman" panose="02020603050405020304" pitchFamily="18" charset="0"/>
              <a:cs typeface="Times New Roman" panose="02020603050405020304" pitchFamily="18" charset="0"/>
            </a:rPr>
          </a:br>
          <a:r>
            <a:rPr lang="ru-RU" sz="1000" b="0" baseline="0">
              <a:latin typeface="Times New Roman" panose="02020603050405020304" pitchFamily="18" charset="0"/>
              <a:cs typeface="Times New Roman" panose="02020603050405020304" pitchFamily="18" charset="0"/>
            </a:rPr>
            <a:t>%</a:t>
          </a:r>
          <a:endParaRPr lang="ru-RU" sz="1000" b="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21B05D-FF05-4BEE-B150-21F94B079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Doc3</Template>
  <TotalTime>1156</TotalTime>
  <Pages>4</Pages>
  <Words>1315</Words>
  <Characters>7500</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КомиНЦ УрО РАН</Company>
  <LinksUpToDate>false</LinksUpToDate>
  <CharactersWithSpaces>8798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Тимушев</dc:creator>
  <cp:keywords/>
  <dc:description/>
  <cp:lastModifiedBy>Евгений Тимушев</cp:lastModifiedBy>
  <cp:revision>340</cp:revision>
  <dcterms:created xsi:type="dcterms:W3CDTF">2022-04-22T17:06:00Z</dcterms:created>
  <dcterms:modified xsi:type="dcterms:W3CDTF">2023-05-13T22:46:00Z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ies>
</file>