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E0287" w:rsidRPr="007E0287" w:rsidRDefault="007E0287" w:rsidP="007E0287">
      <w:pPr>
        <w:spacing w:after="80"/>
        <w:jc w:val="right"/>
        <w:rPr>
          <w:rFonts w:ascii="Times New Roman" w:hAnsi="Times New Roman" w:cs="Times New Roman"/>
          <w:b/>
          <w:sz w:val="24"/>
        </w:rPr>
      </w:pPr>
      <w:r w:rsidRPr="007E0287">
        <w:rPr>
          <w:rFonts w:ascii="Times New Roman" w:hAnsi="Times New Roman" w:cs="Times New Roman"/>
          <w:b/>
          <w:sz w:val="24"/>
        </w:rPr>
        <w:t>Поленова В.С.</w:t>
      </w:r>
      <w:r w:rsidR="00D4652D">
        <w:rPr>
          <w:rStyle w:val="a7"/>
          <w:rFonts w:ascii="Times New Roman" w:hAnsi="Times New Roman" w:cs="Times New Roman"/>
          <w:b/>
          <w:sz w:val="24"/>
        </w:rPr>
        <w:footnoteReference w:id="1"/>
      </w:r>
    </w:p>
    <w:p w:rsidR="00D4652D" w:rsidRPr="00D4652D" w:rsidRDefault="00D4652D" w:rsidP="00D4652D">
      <w:pPr>
        <w:spacing w:after="80"/>
        <w:jc w:val="center"/>
        <w:rPr>
          <w:rFonts w:ascii="Times New Roman" w:eastAsia="Calibri" w:hAnsi="Times New Roman" w:cs="Times New Roman"/>
          <w:b/>
          <w:sz w:val="24"/>
        </w:rPr>
      </w:pPr>
      <w:r w:rsidRPr="00D4652D">
        <w:rPr>
          <w:rFonts w:ascii="Times New Roman" w:eastAsia="Calibri" w:hAnsi="Times New Roman" w:cs="Times New Roman"/>
          <w:b/>
          <w:sz w:val="24"/>
        </w:rPr>
        <w:t xml:space="preserve">Таможенный контроль после выпуска товаров: позитивное воздействие на экономику </w:t>
      </w:r>
    </w:p>
    <w:p w:rsidR="000849B5" w:rsidRDefault="000849B5" w:rsidP="007E0287">
      <w:pPr>
        <w:spacing w:after="80"/>
        <w:jc w:val="center"/>
        <w:rPr>
          <w:rFonts w:ascii="Times New Roman" w:hAnsi="Times New Roman" w:cs="Times New Roman"/>
          <w:b/>
          <w:sz w:val="24"/>
        </w:rPr>
      </w:pPr>
    </w:p>
    <w:p w:rsidR="00E95C95" w:rsidRDefault="000849B5" w:rsidP="000849B5">
      <w:pPr>
        <w:spacing w:after="0" w:line="240" w:lineRule="auto"/>
        <w:ind w:firstLine="425"/>
        <w:jc w:val="both"/>
        <w:rPr>
          <w:rFonts w:ascii="Times New Roman" w:eastAsia="Calibri" w:hAnsi="Times New Roman" w:cs="Times New Roman"/>
          <w:i/>
        </w:rPr>
      </w:pPr>
      <w:r w:rsidRPr="000849B5">
        <w:rPr>
          <w:rFonts w:ascii="Times New Roman" w:eastAsia="Calibri" w:hAnsi="Times New Roman" w:cs="Times New Roman"/>
          <w:b/>
          <w:i/>
        </w:rPr>
        <w:t xml:space="preserve">Аннотация. </w:t>
      </w:r>
      <w:r w:rsidRPr="000849B5">
        <w:rPr>
          <w:rFonts w:ascii="Times New Roman" w:eastAsia="Calibri" w:hAnsi="Times New Roman" w:cs="Times New Roman"/>
          <w:i/>
        </w:rPr>
        <w:t xml:space="preserve">В статье проведен анализ </w:t>
      </w:r>
      <w:r w:rsidR="00933D03" w:rsidRPr="00AF1E2D">
        <w:rPr>
          <w:rFonts w:ascii="Times New Roman" w:eastAsia="Calibri" w:hAnsi="Times New Roman" w:cs="Times New Roman"/>
          <w:i/>
        </w:rPr>
        <w:t xml:space="preserve">результатов таможенного контроля после выпуска товаров в 2020 – 2022гг. </w:t>
      </w:r>
      <w:r w:rsidR="00CF3AA3">
        <w:rPr>
          <w:rFonts w:ascii="Times New Roman" w:eastAsia="Calibri" w:hAnsi="Times New Roman" w:cs="Times New Roman"/>
          <w:i/>
        </w:rPr>
        <w:t>на примере</w:t>
      </w:r>
      <w:r w:rsidRPr="000849B5">
        <w:rPr>
          <w:rFonts w:ascii="Times New Roman" w:eastAsia="Calibri" w:hAnsi="Times New Roman" w:cs="Times New Roman"/>
          <w:i/>
        </w:rPr>
        <w:t xml:space="preserve"> </w:t>
      </w:r>
      <w:r w:rsidR="00933D03" w:rsidRPr="00AF1E2D">
        <w:rPr>
          <w:rFonts w:ascii="Times New Roman" w:eastAsia="Calibri" w:hAnsi="Times New Roman" w:cs="Times New Roman"/>
          <w:i/>
        </w:rPr>
        <w:t xml:space="preserve">Владивостокской таможни </w:t>
      </w:r>
      <w:r w:rsidR="00E95C95">
        <w:rPr>
          <w:rFonts w:ascii="Times New Roman" w:eastAsia="Calibri" w:hAnsi="Times New Roman" w:cs="Times New Roman"/>
          <w:i/>
        </w:rPr>
        <w:t>и рассмотрены</w:t>
      </w:r>
      <w:r w:rsidR="00E95C95" w:rsidRPr="00E95C95">
        <w:rPr>
          <w:rFonts w:ascii="Times New Roman" w:eastAsia="Calibri" w:hAnsi="Times New Roman" w:cs="Times New Roman"/>
          <w:i/>
        </w:rPr>
        <w:t xml:space="preserve"> основные проблемы</w:t>
      </w:r>
      <w:r w:rsidR="00E95C95">
        <w:rPr>
          <w:rFonts w:ascii="Times New Roman" w:eastAsia="Calibri" w:hAnsi="Times New Roman" w:cs="Times New Roman"/>
          <w:i/>
        </w:rPr>
        <w:t xml:space="preserve"> </w:t>
      </w:r>
      <w:r w:rsidR="00E95C95" w:rsidRPr="00E95C95">
        <w:rPr>
          <w:rFonts w:ascii="Times New Roman" w:eastAsia="Calibri" w:hAnsi="Times New Roman" w:cs="Times New Roman"/>
          <w:i/>
        </w:rPr>
        <w:t xml:space="preserve">таможенного контроля после выпуска товаров и способы их решения, с целью совершенствования </w:t>
      </w:r>
      <w:r w:rsidR="00E95C95">
        <w:rPr>
          <w:rFonts w:ascii="Times New Roman" w:eastAsia="Calibri" w:hAnsi="Times New Roman" w:cs="Times New Roman"/>
          <w:i/>
        </w:rPr>
        <w:t xml:space="preserve">данной </w:t>
      </w:r>
      <w:r w:rsidR="00E95C95" w:rsidRPr="00E95C95">
        <w:rPr>
          <w:rFonts w:ascii="Times New Roman" w:eastAsia="Calibri" w:hAnsi="Times New Roman" w:cs="Times New Roman"/>
          <w:i/>
        </w:rPr>
        <w:t>системы.</w:t>
      </w:r>
    </w:p>
    <w:p w:rsidR="000849B5" w:rsidRDefault="000849B5" w:rsidP="000849B5">
      <w:pPr>
        <w:spacing w:after="0" w:line="240" w:lineRule="auto"/>
        <w:ind w:firstLine="425"/>
        <w:jc w:val="both"/>
        <w:rPr>
          <w:rFonts w:ascii="Times New Roman" w:eastAsia="Calibri" w:hAnsi="Times New Roman" w:cs="Times New Roman"/>
          <w:i/>
        </w:rPr>
      </w:pPr>
      <w:r w:rsidRPr="000849B5">
        <w:rPr>
          <w:rFonts w:ascii="Times New Roman" w:eastAsia="Calibri" w:hAnsi="Times New Roman" w:cs="Times New Roman"/>
          <w:b/>
          <w:i/>
        </w:rPr>
        <w:t>Ключевые слова:</w:t>
      </w:r>
      <w:r w:rsidRPr="000849B5">
        <w:rPr>
          <w:rFonts w:ascii="Times New Roman" w:eastAsia="Calibri" w:hAnsi="Times New Roman" w:cs="Times New Roman"/>
          <w:i/>
        </w:rPr>
        <w:t xml:space="preserve"> </w:t>
      </w:r>
      <w:r w:rsidR="00CF3AA3">
        <w:rPr>
          <w:rFonts w:ascii="Times New Roman" w:eastAsia="Calibri" w:hAnsi="Times New Roman" w:cs="Times New Roman"/>
          <w:i/>
        </w:rPr>
        <w:t>таможенный контроль, выпуск товаров, таможенные проверки, таможенные плат</w:t>
      </w:r>
      <w:r w:rsidR="00F37361">
        <w:rPr>
          <w:rFonts w:ascii="Times New Roman" w:eastAsia="Calibri" w:hAnsi="Times New Roman" w:cs="Times New Roman"/>
          <w:i/>
        </w:rPr>
        <w:t xml:space="preserve">ежи, эффективность деятельности, проблемы </w:t>
      </w:r>
      <w:r w:rsidR="00F37361" w:rsidRPr="00F37361">
        <w:rPr>
          <w:rFonts w:ascii="Times New Roman" w:eastAsia="Calibri" w:hAnsi="Times New Roman" w:cs="Times New Roman"/>
          <w:i/>
        </w:rPr>
        <w:t>системы таможенного контроля после выпуска товаров</w:t>
      </w:r>
      <w:r w:rsidR="00F37361">
        <w:rPr>
          <w:rFonts w:ascii="Times New Roman" w:eastAsia="Calibri" w:hAnsi="Times New Roman" w:cs="Times New Roman"/>
          <w:i/>
        </w:rPr>
        <w:t>.</w:t>
      </w:r>
    </w:p>
    <w:p w:rsidR="00D4652D" w:rsidRDefault="00D4652D" w:rsidP="000849B5">
      <w:pPr>
        <w:spacing w:after="0" w:line="240" w:lineRule="auto"/>
        <w:ind w:firstLine="425"/>
        <w:jc w:val="both"/>
        <w:rPr>
          <w:rFonts w:ascii="Times New Roman" w:eastAsia="Calibri" w:hAnsi="Times New Roman" w:cs="Times New Roman"/>
          <w:i/>
        </w:rPr>
      </w:pPr>
    </w:p>
    <w:p w:rsidR="00D4652D" w:rsidRPr="00D4652D" w:rsidRDefault="00D4652D" w:rsidP="00D4652D">
      <w:pPr>
        <w:spacing w:after="80"/>
        <w:jc w:val="center"/>
        <w:rPr>
          <w:rFonts w:ascii="Times New Roman" w:eastAsia="Calibri" w:hAnsi="Times New Roman" w:cs="Times New Roman"/>
          <w:b/>
          <w:sz w:val="24"/>
          <w:lang w:val="en-US"/>
        </w:rPr>
      </w:pPr>
      <w:r w:rsidRPr="00D4652D">
        <w:rPr>
          <w:rFonts w:ascii="Times New Roman" w:eastAsia="Calibri" w:hAnsi="Times New Roman" w:cs="Times New Roman"/>
          <w:b/>
          <w:sz w:val="24"/>
          <w:lang w:val="en-US"/>
        </w:rPr>
        <w:t>Customs control after the release of goods: a positive impact on the economy</w:t>
      </w:r>
    </w:p>
    <w:p w:rsidR="00D4652D" w:rsidRPr="00D4652D" w:rsidRDefault="00D4652D" w:rsidP="00D4652D">
      <w:pPr>
        <w:spacing w:after="0" w:line="240" w:lineRule="auto"/>
        <w:ind w:firstLine="426"/>
        <w:jc w:val="both"/>
        <w:rPr>
          <w:rFonts w:ascii="Times New Roman" w:eastAsia="Calibri" w:hAnsi="Times New Roman" w:cs="Times New Roman"/>
          <w:i/>
          <w:lang w:val="en-US"/>
        </w:rPr>
      </w:pPr>
      <w:r w:rsidRPr="00D4652D">
        <w:rPr>
          <w:rFonts w:ascii="Times New Roman" w:eastAsia="Calibri" w:hAnsi="Times New Roman" w:cs="Times New Roman"/>
          <w:b/>
          <w:lang w:val="en-US"/>
        </w:rPr>
        <w:t xml:space="preserve">Annotations. </w:t>
      </w:r>
      <w:r w:rsidRPr="00D4652D">
        <w:rPr>
          <w:rFonts w:ascii="Times New Roman" w:eastAsia="Calibri" w:hAnsi="Times New Roman" w:cs="Times New Roman"/>
          <w:i/>
          <w:lang w:val="en-US"/>
        </w:rPr>
        <w:t>The article analyzes the results of customs control after the release of goods in 2020 - 2022. on the example of Vladivostok customs. The main problems of customs control after the release of goods and ways to solve them in order to improve this system and have a positive impact on the economy are considered.</w:t>
      </w:r>
    </w:p>
    <w:p w:rsidR="00D4652D" w:rsidRPr="00D4652D" w:rsidRDefault="00D4652D" w:rsidP="00D4652D">
      <w:pPr>
        <w:spacing w:after="0" w:line="240" w:lineRule="auto"/>
        <w:ind w:firstLine="426"/>
        <w:jc w:val="both"/>
        <w:rPr>
          <w:rFonts w:ascii="Times New Roman" w:eastAsia="Calibri" w:hAnsi="Times New Roman" w:cs="Times New Roman"/>
          <w:b/>
          <w:i/>
          <w:lang w:val="en-US"/>
        </w:rPr>
      </w:pPr>
      <w:r w:rsidRPr="00D4652D">
        <w:rPr>
          <w:rFonts w:ascii="Times New Roman" w:eastAsia="Calibri" w:hAnsi="Times New Roman" w:cs="Times New Roman"/>
          <w:b/>
          <w:lang w:val="en-US"/>
        </w:rPr>
        <w:t xml:space="preserve">Key words: </w:t>
      </w:r>
      <w:r w:rsidRPr="00D4652D">
        <w:rPr>
          <w:rFonts w:ascii="Times New Roman" w:eastAsia="Calibri" w:hAnsi="Times New Roman" w:cs="Times New Roman"/>
          <w:i/>
          <w:lang w:val="en-US"/>
        </w:rPr>
        <w:t>customs control, release of goods, customs checks, customs payments, performance efficiency, impact on the economy.</w:t>
      </w:r>
    </w:p>
    <w:p w:rsidR="000849B5" w:rsidRPr="00D4652D" w:rsidRDefault="000849B5" w:rsidP="007E0287">
      <w:pPr>
        <w:spacing w:after="80"/>
        <w:jc w:val="center"/>
        <w:rPr>
          <w:rFonts w:ascii="Times New Roman" w:hAnsi="Times New Roman" w:cs="Times New Roman"/>
          <w:b/>
          <w:sz w:val="24"/>
          <w:lang w:val="en-US"/>
        </w:rPr>
      </w:pPr>
    </w:p>
    <w:p w:rsidR="007C5751" w:rsidRPr="007C5751" w:rsidRDefault="007C5751" w:rsidP="007C5751">
      <w:pPr>
        <w:spacing w:after="0" w:line="240" w:lineRule="auto"/>
        <w:ind w:firstLine="709"/>
        <w:jc w:val="both"/>
        <w:rPr>
          <w:rFonts w:ascii="Times New Roman" w:eastAsia="Calibri" w:hAnsi="Times New Roman" w:cs="Times New Roman"/>
          <w:sz w:val="24"/>
          <w:szCs w:val="24"/>
        </w:rPr>
      </w:pPr>
      <w:r w:rsidRPr="007C5751">
        <w:rPr>
          <w:rFonts w:ascii="Times New Roman" w:eastAsia="Calibri" w:hAnsi="Times New Roman" w:cs="Times New Roman"/>
          <w:sz w:val="24"/>
          <w:szCs w:val="24"/>
        </w:rPr>
        <w:t>Совершенствование таможенного администрирования по направлению таможенного контроля после выпуска товаров связано с проведением мероприятий, направленных на:</w:t>
      </w:r>
    </w:p>
    <w:p w:rsidR="007C5751" w:rsidRPr="007C5751" w:rsidRDefault="007C5751" w:rsidP="007C5751">
      <w:pPr>
        <w:numPr>
          <w:ilvl w:val="0"/>
          <w:numId w:val="1"/>
        </w:numPr>
        <w:tabs>
          <w:tab w:val="left" w:pos="993"/>
        </w:tabs>
        <w:spacing w:after="0" w:line="240" w:lineRule="auto"/>
        <w:ind w:left="0" w:firstLine="709"/>
        <w:contextualSpacing/>
        <w:jc w:val="both"/>
        <w:rPr>
          <w:rFonts w:ascii="Times New Roman" w:eastAsia="Calibri" w:hAnsi="Times New Roman" w:cs="Times New Roman"/>
          <w:b/>
          <w:sz w:val="24"/>
          <w:szCs w:val="24"/>
        </w:rPr>
      </w:pPr>
      <w:r w:rsidRPr="007C5751">
        <w:rPr>
          <w:rFonts w:ascii="Times New Roman" w:eastAsia="Calibri" w:hAnsi="Times New Roman" w:cs="Times New Roman"/>
          <w:sz w:val="24"/>
          <w:szCs w:val="24"/>
        </w:rPr>
        <w:t>воспрепятствование незаконному перемещению товаров через таможенную границу и предотвращение их обращения на внутреннем рынке;</w:t>
      </w:r>
    </w:p>
    <w:p w:rsidR="007C5751" w:rsidRPr="007C5751" w:rsidRDefault="007C5751" w:rsidP="007C5751">
      <w:pPr>
        <w:numPr>
          <w:ilvl w:val="0"/>
          <w:numId w:val="1"/>
        </w:numPr>
        <w:tabs>
          <w:tab w:val="left" w:pos="993"/>
        </w:tabs>
        <w:spacing w:after="0" w:line="240" w:lineRule="auto"/>
        <w:ind w:left="0" w:firstLine="709"/>
        <w:contextualSpacing/>
        <w:jc w:val="both"/>
        <w:rPr>
          <w:rFonts w:ascii="Times New Roman" w:eastAsia="Calibri" w:hAnsi="Times New Roman" w:cs="Times New Roman"/>
          <w:sz w:val="24"/>
          <w:szCs w:val="24"/>
        </w:rPr>
      </w:pPr>
      <w:r w:rsidRPr="007C5751">
        <w:rPr>
          <w:rFonts w:ascii="Times New Roman" w:eastAsia="Calibri" w:hAnsi="Times New Roman" w:cs="Times New Roman"/>
          <w:sz w:val="24"/>
          <w:szCs w:val="24"/>
        </w:rPr>
        <w:t>создание контроля, включающего подачу предварительной информации и заканчивающегося выпуском товаров в соответствии с заявленной таможенной процедурой, что обеспечивает его непрерывность во времени и пространстве.</w:t>
      </w:r>
    </w:p>
    <w:p w:rsidR="007C5751" w:rsidRPr="007C5751" w:rsidRDefault="007C5751" w:rsidP="007C5751">
      <w:pPr>
        <w:tabs>
          <w:tab w:val="left" w:pos="993"/>
        </w:tabs>
        <w:spacing w:after="0" w:line="240" w:lineRule="auto"/>
        <w:ind w:firstLine="709"/>
        <w:contextualSpacing/>
        <w:jc w:val="both"/>
        <w:rPr>
          <w:rFonts w:ascii="Times New Roman" w:eastAsia="Calibri" w:hAnsi="Times New Roman" w:cs="Times New Roman"/>
          <w:sz w:val="24"/>
          <w:szCs w:val="24"/>
        </w:rPr>
      </w:pPr>
      <w:r w:rsidRPr="007C5751">
        <w:rPr>
          <w:rFonts w:ascii="Times New Roman" w:eastAsia="Calibri" w:hAnsi="Times New Roman" w:cs="Times New Roman"/>
          <w:sz w:val="24"/>
          <w:szCs w:val="24"/>
        </w:rPr>
        <w:t>Показателями, характеризующими выполнение поставленных задач, могут выступать индикаторы, представленные на рисунке 1.</w:t>
      </w:r>
    </w:p>
    <w:p w:rsidR="007E0287" w:rsidRPr="007E0287" w:rsidRDefault="007E0287" w:rsidP="00537FFC">
      <w:pPr>
        <w:pStyle w:val="a4"/>
        <w:tabs>
          <w:tab w:val="left" w:pos="993"/>
        </w:tabs>
        <w:spacing w:after="0" w:line="360" w:lineRule="auto"/>
        <w:ind w:left="0" w:firstLine="567"/>
        <w:jc w:val="both"/>
        <w:rPr>
          <w:rFonts w:ascii="Times New Roman" w:hAnsi="Times New Roman" w:cs="Times New Roman"/>
          <w:sz w:val="24"/>
        </w:rPr>
      </w:pPr>
      <w:r w:rsidRPr="007E0287">
        <w:rPr>
          <w:rFonts w:ascii="Times New Roman" w:hAnsi="Times New Roman" w:cs="Times New Roman"/>
          <w:noProof/>
          <w:sz w:val="24"/>
          <w:lang w:eastAsia="ru-RU"/>
        </w:rPr>
        <w:drawing>
          <wp:inline distT="0" distB="0" distL="0" distR="0" wp14:anchorId="48B0AEB1" wp14:editId="3D2A8C2D">
            <wp:extent cx="5486400" cy="3200400"/>
            <wp:effectExtent l="19050" t="0" r="19050" b="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7E0287" w:rsidRPr="007E0287" w:rsidRDefault="007C5751" w:rsidP="007E0287">
      <w:pPr>
        <w:pStyle w:val="a4"/>
        <w:tabs>
          <w:tab w:val="left" w:pos="993"/>
        </w:tabs>
        <w:spacing w:after="0" w:line="240" w:lineRule="auto"/>
        <w:ind w:left="0"/>
        <w:jc w:val="center"/>
        <w:rPr>
          <w:rFonts w:ascii="Times New Roman" w:hAnsi="Times New Roman" w:cs="Times New Roman"/>
          <w:sz w:val="24"/>
        </w:rPr>
      </w:pPr>
      <w:r>
        <w:rPr>
          <w:rFonts w:ascii="Times New Roman" w:hAnsi="Times New Roman" w:cs="Times New Roman"/>
          <w:sz w:val="24"/>
        </w:rPr>
        <w:t>Рис. 1</w:t>
      </w:r>
      <w:r w:rsidR="007E0287" w:rsidRPr="007E0287">
        <w:rPr>
          <w:rFonts w:ascii="Times New Roman" w:hAnsi="Times New Roman" w:cs="Times New Roman"/>
          <w:sz w:val="24"/>
        </w:rPr>
        <w:t>. Показатели эффективности таможенного контроля после выпуска товаров</w:t>
      </w:r>
    </w:p>
    <w:p w:rsidR="00EB3890" w:rsidRDefault="00EB3890" w:rsidP="00C45A01">
      <w:pPr>
        <w:pStyle w:val="a4"/>
        <w:tabs>
          <w:tab w:val="left" w:pos="993"/>
        </w:tabs>
        <w:spacing w:after="0" w:line="240" w:lineRule="auto"/>
        <w:ind w:left="0" w:firstLine="284"/>
        <w:contextualSpacing w:val="0"/>
        <w:jc w:val="both"/>
        <w:rPr>
          <w:rFonts w:ascii="Times New Roman" w:hAnsi="Times New Roman" w:cs="Times New Roman"/>
          <w:sz w:val="24"/>
        </w:rPr>
      </w:pPr>
    </w:p>
    <w:p w:rsidR="007C5751" w:rsidRPr="007C5751" w:rsidRDefault="007C5751" w:rsidP="007C5751">
      <w:pPr>
        <w:tabs>
          <w:tab w:val="left" w:pos="993"/>
        </w:tabs>
        <w:spacing w:after="0" w:line="240" w:lineRule="auto"/>
        <w:ind w:firstLine="720"/>
        <w:jc w:val="both"/>
        <w:rPr>
          <w:rFonts w:ascii="Times New Roman" w:eastAsia="Calibri" w:hAnsi="Times New Roman" w:cs="Times New Roman"/>
          <w:sz w:val="24"/>
        </w:rPr>
      </w:pPr>
      <w:r w:rsidRPr="007C5751">
        <w:rPr>
          <w:rFonts w:ascii="Times New Roman" w:eastAsia="Calibri" w:hAnsi="Times New Roman" w:cs="Times New Roman"/>
          <w:sz w:val="24"/>
        </w:rPr>
        <w:lastRenderedPageBreak/>
        <w:t xml:space="preserve">Анализ деятельности подразделений таможенного контроля после выпуска товаров показал, что в </w:t>
      </w:r>
      <w:smartTag w:uri="urn:schemas-microsoft-com:office:smarttags" w:element="metricconverter">
        <w:smartTagPr>
          <w:attr w:name="ProductID" w:val="2022 г"/>
        </w:smartTagPr>
        <w:r w:rsidRPr="007C5751">
          <w:rPr>
            <w:rFonts w:ascii="Times New Roman" w:eastAsia="Calibri" w:hAnsi="Times New Roman" w:cs="Times New Roman"/>
            <w:sz w:val="24"/>
          </w:rPr>
          <w:t>2022 г</w:t>
        </w:r>
      </w:smartTag>
      <w:r w:rsidRPr="007C5751">
        <w:rPr>
          <w:rFonts w:ascii="Times New Roman" w:eastAsia="Calibri" w:hAnsi="Times New Roman" w:cs="Times New Roman"/>
          <w:sz w:val="24"/>
        </w:rPr>
        <w:t xml:space="preserve">. количество проведенных таможенных проверок увеличилось на 1462 проверочных мероприятия (или более чем в 3 раза) по сравнению с </w:t>
      </w:r>
      <w:smartTag w:uri="urn:schemas-microsoft-com:office:smarttags" w:element="metricconverter">
        <w:smartTagPr>
          <w:attr w:name="ProductID" w:val="2020 г"/>
        </w:smartTagPr>
        <w:r w:rsidRPr="007C5751">
          <w:rPr>
            <w:rFonts w:ascii="Times New Roman" w:eastAsia="Calibri" w:hAnsi="Times New Roman" w:cs="Times New Roman"/>
            <w:sz w:val="24"/>
          </w:rPr>
          <w:t>2020 г</w:t>
        </w:r>
      </w:smartTag>
      <w:r w:rsidRPr="007C5751">
        <w:rPr>
          <w:rFonts w:ascii="Times New Roman" w:eastAsia="Calibri" w:hAnsi="Times New Roman" w:cs="Times New Roman"/>
          <w:sz w:val="24"/>
        </w:rPr>
        <w:t>. Основная доля таможенных проверок начата в связи с обращением декларантов (более 60% в каждом периоде), что свидетельствует о трудностях, с которыми они сталкиваются при заполнении деклараций, в том числе о множестве технических ошибок, происходящих при выпуске деклараций в автоматическом режиме (рисунок 2).</w:t>
      </w:r>
    </w:p>
    <w:p w:rsidR="007E0287" w:rsidRPr="007E0287" w:rsidRDefault="007E0287" w:rsidP="007E0287">
      <w:pPr>
        <w:pStyle w:val="a4"/>
        <w:tabs>
          <w:tab w:val="left" w:pos="993"/>
        </w:tabs>
        <w:spacing w:after="0" w:line="360" w:lineRule="auto"/>
        <w:ind w:left="0" w:firstLine="284"/>
        <w:contextualSpacing w:val="0"/>
        <w:jc w:val="both"/>
        <w:rPr>
          <w:rFonts w:ascii="Times New Roman" w:hAnsi="Times New Roman" w:cs="Times New Roman"/>
          <w:sz w:val="24"/>
        </w:rPr>
      </w:pPr>
      <w:r w:rsidRPr="007E0287">
        <w:rPr>
          <w:rFonts w:ascii="Times New Roman" w:hAnsi="Times New Roman" w:cs="Times New Roman"/>
          <w:noProof/>
          <w:sz w:val="24"/>
          <w:lang w:eastAsia="ru-RU"/>
        </w:rPr>
        <w:drawing>
          <wp:inline distT="0" distB="0" distL="0" distR="0" wp14:anchorId="245065F4" wp14:editId="3B63FFAF">
            <wp:extent cx="6028661" cy="2881423"/>
            <wp:effectExtent l="0" t="0" r="10795" b="1460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151058" w:rsidRPr="00151058" w:rsidRDefault="00151058" w:rsidP="00EB3890">
      <w:pPr>
        <w:pStyle w:val="a4"/>
        <w:tabs>
          <w:tab w:val="left" w:pos="993"/>
        </w:tabs>
        <w:spacing w:after="0" w:line="240" w:lineRule="auto"/>
        <w:ind w:left="0"/>
        <w:contextualSpacing w:val="0"/>
        <w:rPr>
          <w:rFonts w:ascii="Times New Roman" w:hAnsi="Times New Roman" w:cs="Times New Roman"/>
          <w:i/>
          <w:sz w:val="24"/>
        </w:rPr>
      </w:pPr>
      <w:r w:rsidRPr="00151058">
        <w:rPr>
          <w:rFonts w:ascii="Times New Roman" w:hAnsi="Times New Roman" w:cs="Times New Roman"/>
          <w:i/>
          <w:sz w:val="24"/>
        </w:rPr>
        <w:t>Составлено автором по материалам исследований</w:t>
      </w:r>
    </w:p>
    <w:p w:rsidR="007E0287" w:rsidRPr="007E0287" w:rsidRDefault="007E0287" w:rsidP="00C81787">
      <w:pPr>
        <w:pStyle w:val="a4"/>
        <w:tabs>
          <w:tab w:val="left" w:pos="993"/>
        </w:tabs>
        <w:spacing w:after="0" w:line="240" w:lineRule="auto"/>
        <w:ind w:left="0"/>
        <w:contextualSpacing w:val="0"/>
        <w:jc w:val="center"/>
        <w:rPr>
          <w:rFonts w:ascii="Times New Roman" w:hAnsi="Times New Roman" w:cs="Times New Roman"/>
          <w:sz w:val="24"/>
        </w:rPr>
      </w:pPr>
      <w:r w:rsidRPr="007E0287">
        <w:rPr>
          <w:rFonts w:ascii="Times New Roman" w:hAnsi="Times New Roman" w:cs="Times New Roman"/>
          <w:sz w:val="24"/>
        </w:rPr>
        <w:t xml:space="preserve">Рис. </w:t>
      </w:r>
      <w:r w:rsidR="007C5751">
        <w:rPr>
          <w:rFonts w:ascii="Times New Roman" w:hAnsi="Times New Roman" w:cs="Times New Roman"/>
          <w:sz w:val="24"/>
        </w:rPr>
        <w:t>2</w:t>
      </w:r>
      <w:r w:rsidRPr="007E0287">
        <w:rPr>
          <w:rFonts w:ascii="Times New Roman" w:hAnsi="Times New Roman" w:cs="Times New Roman"/>
          <w:sz w:val="24"/>
        </w:rPr>
        <w:t>. Динамика проведения таможенных проверок за 2020-2022 гг.</w:t>
      </w:r>
    </w:p>
    <w:p w:rsidR="007E0287" w:rsidRDefault="007E0287" w:rsidP="00C81787">
      <w:pPr>
        <w:pStyle w:val="a4"/>
        <w:tabs>
          <w:tab w:val="left" w:pos="993"/>
        </w:tabs>
        <w:spacing w:before="80" w:after="0" w:line="240" w:lineRule="auto"/>
        <w:ind w:left="0" w:firstLine="709"/>
        <w:contextualSpacing w:val="0"/>
        <w:jc w:val="both"/>
        <w:rPr>
          <w:rFonts w:ascii="Times New Roman" w:hAnsi="Times New Roman" w:cs="Times New Roman"/>
          <w:sz w:val="24"/>
        </w:rPr>
      </w:pPr>
      <w:r w:rsidRPr="007E0287">
        <w:rPr>
          <w:rFonts w:ascii="Times New Roman" w:hAnsi="Times New Roman" w:cs="Times New Roman"/>
          <w:sz w:val="24"/>
        </w:rPr>
        <w:t>В таблице 1 представлены результаты таможенного администрирования по направлению контроля после выпуска товаров, которыми являются количество таможенных проверок и суммы взысканных таможенных платежей, пеней и штрафов.</w:t>
      </w:r>
    </w:p>
    <w:p w:rsidR="007C5751" w:rsidRPr="007E0287" w:rsidRDefault="007C5751" w:rsidP="00C81787">
      <w:pPr>
        <w:pStyle w:val="a4"/>
        <w:tabs>
          <w:tab w:val="left" w:pos="993"/>
        </w:tabs>
        <w:spacing w:before="80" w:after="0" w:line="240" w:lineRule="auto"/>
        <w:ind w:left="0" w:firstLine="709"/>
        <w:contextualSpacing w:val="0"/>
        <w:jc w:val="both"/>
        <w:rPr>
          <w:rFonts w:ascii="Times New Roman" w:hAnsi="Times New Roman" w:cs="Times New Roman"/>
          <w:sz w:val="24"/>
        </w:rPr>
      </w:pPr>
    </w:p>
    <w:p w:rsidR="007E0287" w:rsidRPr="007E0287" w:rsidRDefault="007E0287" w:rsidP="00C45A01">
      <w:pPr>
        <w:pStyle w:val="a4"/>
        <w:tabs>
          <w:tab w:val="left" w:pos="993"/>
        </w:tabs>
        <w:spacing w:after="0" w:line="240" w:lineRule="auto"/>
        <w:ind w:left="0"/>
        <w:contextualSpacing w:val="0"/>
        <w:jc w:val="center"/>
        <w:rPr>
          <w:rFonts w:ascii="Times New Roman" w:hAnsi="Times New Roman" w:cs="Times New Roman"/>
          <w:sz w:val="24"/>
        </w:rPr>
      </w:pPr>
      <w:r w:rsidRPr="007E0287">
        <w:rPr>
          <w:rFonts w:ascii="Times New Roman" w:hAnsi="Times New Roman" w:cs="Times New Roman"/>
          <w:sz w:val="24"/>
        </w:rPr>
        <w:t>Таблица 1</w:t>
      </w:r>
      <w:r w:rsidR="00AF1E2D">
        <w:rPr>
          <w:rFonts w:ascii="Times New Roman" w:hAnsi="Times New Roman" w:cs="Times New Roman"/>
          <w:sz w:val="24"/>
        </w:rPr>
        <w:t xml:space="preserve">. </w:t>
      </w:r>
      <w:r w:rsidRPr="007E0287">
        <w:rPr>
          <w:rFonts w:ascii="Times New Roman" w:hAnsi="Times New Roman" w:cs="Times New Roman"/>
          <w:sz w:val="24"/>
        </w:rPr>
        <w:t>Результаты таможенных проверок после выпуска товаров за 2020-2022 гг.</w:t>
      </w:r>
      <w:r w:rsidR="00EB0884">
        <w:rPr>
          <w:rStyle w:val="a7"/>
          <w:rFonts w:ascii="Times New Roman" w:hAnsi="Times New Roman" w:cs="Times New Roman"/>
          <w:sz w:val="24"/>
        </w:rPr>
        <w:footnoteReference w:id="2"/>
      </w:r>
    </w:p>
    <w:tbl>
      <w:tblPr>
        <w:tblStyle w:val="a3"/>
        <w:tblW w:w="0" w:type="auto"/>
        <w:tblLook w:val="04A0" w:firstRow="1" w:lastRow="0" w:firstColumn="1" w:lastColumn="0" w:noHBand="0" w:noVBand="1"/>
      </w:tblPr>
      <w:tblGrid>
        <w:gridCol w:w="4673"/>
        <w:gridCol w:w="1559"/>
        <w:gridCol w:w="1560"/>
        <w:gridCol w:w="1552"/>
      </w:tblGrid>
      <w:tr w:rsidR="007E0287" w:rsidRPr="007E0287" w:rsidTr="00E24066">
        <w:tc>
          <w:tcPr>
            <w:tcW w:w="4673" w:type="dxa"/>
            <w:vAlign w:val="center"/>
          </w:tcPr>
          <w:p w:rsidR="007E0287" w:rsidRPr="00547770" w:rsidRDefault="007E0287" w:rsidP="00C45A01">
            <w:pPr>
              <w:pStyle w:val="a4"/>
              <w:tabs>
                <w:tab w:val="left" w:pos="993"/>
              </w:tabs>
              <w:ind w:left="0"/>
              <w:contextualSpacing w:val="0"/>
              <w:jc w:val="center"/>
              <w:rPr>
                <w:rFonts w:ascii="Times New Roman" w:hAnsi="Times New Roman" w:cs="Times New Roman"/>
                <w:sz w:val="24"/>
              </w:rPr>
            </w:pPr>
            <w:r w:rsidRPr="00547770">
              <w:rPr>
                <w:rFonts w:ascii="Times New Roman" w:hAnsi="Times New Roman" w:cs="Times New Roman"/>
                <w:sz w:val="24"/>
              </w:rPr>
              <w:t>Показатели</w:t>
            </w:r>
          </w:p>
        </w:tc>
        <w:tc>
          <w:tcPr>
            <w:tcW w:w="1559" w:type="dxa"/>
            <w:vAlign w:val="center"/>
          </w:tcPr>
          <w:p w:rsidR="007E0287" w:rsidRPr="00547770" w:rsidRDefault="007E0287" w:rsidP="00C45A01">
            <w:pPr>
              <w:pStyle w:val="a4"/>
              <w:tabs>
                <w:tab w:val="left" w:pos="993"/>
              </w:tabs>
              <w:ind w:left="0"/>
              <w:contextualSpacing w:val="0"/>
              <w:jc w:val="center"/>
              <w:rPr>
                <w:rFonts w:ascii="Times New Roman" w:hAnsi="Times New Roman" w:cs="Times New Roman"/>
                <w:sz w:val="24"/>
              </w:rPr>
            </w:pPr>
            <w:r w:rsidRPr="00547770">
              <w:rPr>
                <w:rFonts w:ascii="Times New Roman" w:hAnsi="Times New Roman" w:cs="Times New Roman"/>
                <w:sz w:val="24"/>
              </w:rPr>
              <w:t>2020</w:t>
            </w:r>
          </w:p>
        </w:tc>
        <w:tc>
          <w:tcPr>
            <w:tcW w:w="1560" w:type="dxa"/>
            <w:vAlign w:val="center"/>
          </w:tcPr>
          <w:p w:rsidR="007E0287" w:rsidRPr="00547770" w:rsidRDefault="007E0287" w:rsidP="00C45A01">
            <w:pPr>
              <w:pStyle w:val="a4"/>
              <w:tabs>
                <w:tab w:val="left" w:pos="993"/>
              </w:tabs>
              <w:ind w:left="0"/>
              <w:contextualSpacing w:val="0"/>
              <w:jc w:val="center"/>
              <w:rPr>
                <w:rFonts w:ascii="Times New Roman" w:hAnsi="Times New Roman" w:cs="Times New Roman"/>
                <w:sz w:val="24"/>
              </w:rPr>
            </w:pPr>
            <w:r w:rsidRPr="00547770">
              <w:rPr>
                <w:rFonts w:ascii="Times New Roman" w:hAnsi="Times New Roman" w:cs="Times New Roman"/>
                <w:sz w:val="24"/>
              </w:rPr>
              <w:t>2021</w:t>
            </w:r>
          </w:p>
        </w:tc>
        <w:tc>
          <w:tcPr>
            <w:tcW w:w="1552" w:type="dxa"/>
            <w:vAlign w:val="center"/>
          </w:tcPr>
          <w:p w:rsidR="007E0287" w:rsidRPr="00547770" w:rsidRDefault="007E0287" w:rsidP="00C45A01">
            <w:pPr>
              <w:pStyle w:val="a4"/>
              <w:tabs>
                <w:tab w:val="left" w:pos="993"/>
              </w:tabs>
              <w:ind w:left="0"/>
              <w:contextualSpacing w:val="0"/>
              <w:jc w:val="center"/>
              <w:rPr>
                <w:rFonts w:ascii="Times New Roman" w:hAnsi="Times New Roman" w:cs="Times New Roman"/>
                <w:sz w:val="24"/>
              </w:rPr>
            </w:pPr>
            <w:r w:rsidRPr="00547770">
              <w:rPr>
                <w:rFonts w:ascii="Times New Roman" w:hAnsi="Times New Roman" w:cs="Times New Roman"/>
                <w:sz w:val="24"/>
              </w:rPr>
              <w:t>2022</w:t>
            </w:r>
          </w:p>
        </w:tc>
      </w:tr>
      <w:tr w:rsidR="007E0287" w:rsidRPr="007E0287" w:rsidTr="00E24066">
        <w:tc>
          <w:tcPr>
            <w:tcW w:w="4673" w:type="dxa"/>
            <w:vAlign w:val="center"/>
          </w:tcPr>
          <w:p w:rsidR="007E0287" w:rsidRPr="00547770" w:rsidRDefault="007E0287" w:rsidP="00C45A01">
            <w:pPr>
              <w:pStyle w:val="a4"/>
              <w:tabs>
                <w:tab w:val="left" w:pos="993"/>
              </w:tabs>
              <w:ind w:left="0"/>
              <w:contextualSpacing w:val="0"/>
              <w:jc w:val="center"/>
              <w:rPr>
                <w:rFonts w:ascii="Times New Roman" w:hAnsi="Times New Roman" w:cs="Times New Roman"/>
                <w:sz w:val="24"/>
              </w:rPr>
            </w:pPr>
            <w:r w:rsidRPr="00547770">
              <w:rPr>
                <w:rFonts w:ascii="Times New Roman" w:hAnsi="Times New Roman" w:cs="Times New Roman"/>
                <w:sz w:val="24"/>
              </w:rPr>
              <w:t>Количество таможенных проверок, шт.</w:t>
            </w:r>
          </w:p>
        </w:tc>
        <w:tc>
          <w:tcPr>
            <w:tcW w:w="1559" w:type="dxa"/>
            <w:vAlign w:val="center"/>
          </w:tcPr>
          <w:p w:rsidR="007E0287" w:rsidRPr="00547770" w:rsidRDefault="007E0287" w:rsidP="00C45A01">
            <w:pPr>
              <w:pStyle w:val="a4"/>
              <w:tabs>
                <w:tab w:val="left" w:pos="993"/>
              </w:tabs>
              <w:ind w:left="0"/>
              <w:contextualSpacing w:val="0"/>
              <w:jc w:val="center"/>
              <w:rPr>
                <w:rFonts w:ascii="Times New Roman" w:hAnsi="Times New Roman" w:cs="Times New Roman"/>
                <w:sz w:val="24"/>
              </w:rPr>
            </w:pPr>
            <w:r w:rsidRPr="00547770">
              <w:rPr>
                <w:rFonts w:ascii="Times New Roman" w:hAnsi="Times New Roman" w:cs="Times New Roman"/>
                <w:sz w:val="24"/>
              </w:rPr>
              <w:t>653</w:t>
            </w:r>
          </w:p>
        </w:tc>
        <w:tc>
          <w:tcPr>
            <w:tcW w:w="1560" w:type="dxa"/>
            <w:vAlign w:val="center"/>
          </w:tcPr>
          <w:p w:rsidR="007E0287" w:rsidRPr="00547770" w:rsidRDefault="007E0287" w:rsidP="00C45A01">
            <w:pPr>
              <w:pStyle w:val="a4"/>
              <w:tabs>
                <w:tab w:val="left" w:pos="993"/>
              </w:tabs>
              <w:ind w:left="0"/>
              <w:contextualSpacing w:val="0"/>
              <w:jc w:val="center"/>
              <w:rPr>
                <w:rFonts w:ascii="Times New Roman" w:hAnsi="Times New Roman" w:cs="Times New Roman"/>
                <w:sz w:val="24"/>
              </w:rPr>
            </w:pPr>
            <w:r w:rsidRPr="00547770">
              <w:rPr>
                <w:rFonts w:ascii="Times New Roman" w:hAnsi="Times New Roman" w:cs="Times New Roman"/>
                <w:sz w:val="24"/>
              </w:rPr>
              <w:t>907</w:t>
            </w:r>
          </w:p>
        </w:tc>
        <w:tc>
          <w:tcPr>
            <w:tcW w:w="1552" w:type="dxa"/>
            <w:vAlign w:val="center"/>
          </w:tcPr>
          <w:p w:rsidR="007E0287" w:rsidRPr="00547770" w:rsidRDefault="007E0287" w:rsidP="00C45A01">
            <w:pPr>
              <w:pStyle w:val="a4"/>
              <w:tabs>
                <w:tab w:val="left" w:pos="993"/>
              </w:tabs>
              <w:ind w:left="0"/>
              <w:contextualSpacing w:val="0"/>
              <w:jc w:val="center"/>
              <w:rPr>
                <w:rFonts w:ascii="Times New Roman" w:hAnsi="Times New Roman" w:cs="Times New Roman"/>
                <w:sz w:val="24"/>
              </w:rPr>
            </w:pPr>
            <w:r w:rsidRPr="00547770">
              <w:rPr>
                <w:rFonts w:ascii="Times New Roman" w:hAnsi="Times New Roman" w:cs="Times New Roman"/>
                <w:sz w:val="24"/>
              </w:rPr>
              <w:t>2115</w:t>
            </w:r>
          </w:p>
        </w:tc>
      </w:tr>
      <w:tr w:rsidR="007E0287" w:rsidRPr="007E0287" w:rsidTr="00E24066">
        <w:tc>
          <w:tcPr>
            <w:tcW w:w="4673" w:type="dxa"/>
            <w:vAlign w:val="center"/>
          </w:tcPr>
          <w:p w:rsidR="007E0287" w:rsidRPr="00547770" w:rsidRDefault="007E0287" w:rsidP="00C45A01">
            <w:pPr>
              <w:pStyle w:val="a4"/>
              <w:tabs>
                <w:tab w:val="left" w:pos="993"/>
              </w:tabs>
              <w:ind w:left="0"/>
              <w:contextualSpacing w:val="0"/>
              <w:jc w:val="center"/>
              <w:rPr>
                <w:rFonts w:ascii="Times New Roman" w:hAnsi="Times New Roman" w:cs="Times New Roman"/>
                <w:sz w:val="24"/>
              </w:rPr>
            </w:pPr>
            <w:r w:rsidRPr="00547770">
              <w:rPr>
                <w:rFonts w:ascii="Times New Roman" w:hAnsi="Times New Roman" w:cs="Times New Roman"/>
                <w:sz w:val="24"/>
              </w:rPr>
              <w:t>Сумма взысканных таможенных платежей, пеней, штрафов, млн руб.</w:t>
            </w:r>
          </w:p>
        </w:tc>
        <w:tc>
          <w:tcPr>
            <w:tcW w:w="1559" w:type="dxa"/>
            <w:vAlign w:val="center"/>
          </w:tcPr>
          <w:p w:rsidR="007E0287" w:rsidRPr="00547770" w:rsidRDefault="007E0287" w:rsidP="00C45A01">
            <w:pPr>
              <w:pStyle w:val="a4"/>
              <w:tabs>
                <w:tab w:val="left" w:pos="993"/>
              </w:tabs>
              <w:ind w:left="0"/>
              <w:contextualSpacing w:val="0"/>
              <w:jc w:val="center"/>
              <w:rPr>
                <w:rFonts w:ascii="Times New Roman" w:hAnsi="Times New Roman" w:cs="Times New Roman"/>
                <w:sz w:val="24"/>
              </w:rPr>
            </w:pPr>
            <w:r w:rsidRPr="00547770">
              <w:rPr>
                <w:rFonts w:ascii="Times New Roman" w:hAnsi="Times New Roman" w:cs="Times New Roman"/>
                <w:sz w:val="24"/>
              </w:rPr>
              <w:t>33,84</w:t>
            </w:r>
          </w:p>
        </w:tc>
        <w:tc>
          <w:tcPr>
            <w:tcW w:w="1560" w:type="dxa"/>
            <w:vAlign w:val="center"/>
          </w:tcPr>
          <w:p w:rsidR="007E0287" w:rsidRPr="00547770" w:rsidRDefault="007E0287" w:rsidP="00C45A01">
            <w:pPr>
              <w:pStyle w:val="a4"/>
              <w:tabs>
                <w:tab w:val="left" w:pos="993"/>
              </w:tabs>
              <w:ind w:left="0"/>
              <w:contextualSpacing w:val="0"/>
              <w:jc w:val="center"/>
              <w:rPr>
                <w:rFonts w:ascii="Times New Roman" w:hAnsi="Times New Roman" w:cs="Times New Roman"/>
                <w:sz w:val="24"/>
              </w:rPr>
            </w:pPr>
            <w:r w:rsidRPr="00547770">
              <w:rPr>
                <w:rFonts w:ascii="Times New Roman" w:hAnsi="Times New Roman" w:cs="Times New Roman"/>
                <w:sz w:val="24"/>
              </w:rPr>
              <w:t>8,77</w:t>
            </w:r>
          </w:p>
        </w:tc>
        <w:tc>
          <w:tcPr>
            <w:tcW w:w="1552" w:type="dxa"/>
            <w:vAlign w:val="center"/>
          </w:tcPr>
          <w:p w:rsidR="007E0287" w:rsidRPr="00547770" w:rsidRDefault="007E0287" w:rsidP="00C45A01">
            <w:pPr>
              <w:pStyle w:val="a4"/>
              <w:tabs>
                <w:tab w:val="left" w:pos="993"/>
              </w:tabs>
              <w:ind w:left="0"/>
              <w:contextualSpacing w:val="0"/>
              <w:jc w:val="center"/>
              <w:rPr>
                <w:rFonts w:ascii="Times New Roman" w:hAnsi="Times New Roman" w:cs="Times New Roman"/>
                <w:sz w:val="24"/>
              </w:rPr>
            </w:pPr>
            <w:r w:rsidRPr="00547770">
              <w:rPr>
                <w:rFonts w:ascii="Times New Roman" w:hAnsi="Times New Roman" w:cs="Times New Roman"/>
                <w:sz w:val="24"/>
              </w:rPr>
              <w:t>23,12</w:t>
            </w:r>
          </w:p>
        </w:tc>
      </w:tr>
    </w:tbl>
    <w:p w:rsidR="007C5751" w:rsidRDefault="007C5751" w:rsidP="00C81787">
      <w:pPr>
        <w:pStyle w:val="a4"/>
        <w:tabs>
          <w:tab w:val="left" w:pos="993"/>
        </w:tabs>
        <w:spacing w:before="80" w:after="0" w:line="240" w:lineRule="auto"/>
        <w:ind w:left="0" w:firstLine="709"/>
        <w:contextualSpacing w:val="0"/>
        <w:jc w:val="both"/>
        <w:rPr>
          <w:rFonts w:ascii="Times New Roman" w:hAnsi="Times New Roman" w:cs="Times New Roman"/>
          <w:sz w:val="24"/>
        </w:rPr>
      </w:pPr>
    </w:p>
    <w:p w:rsidR="007C5751" w:rsidRPr="007C5751" w:rsidRDefault="007C5751" w:rsidP="007C5751">
      <w:pPr>
        <w:tabs>
          <w:tab w:val="left" w:pos="993"/>
        </w:tabs>
        <w:spacing w:after="0" w:line="240" w:lineRule="auto"/>
        <w:ind w:firstLine="709"/>
        <w:jc w:val="both"/>
        <w:rPr>
          <w:rFonts w:ascii="Times New Roman" w:eastAsia="Calibri" w:hAnsi="Times New Roman" w:cs="Times New Roman"/>
          <w:sz w:val="24"/>
        </w:rPr>
      </w:pPr>
      <w:r w:rsidRPr="007C5751">
        <w:rPr>
          <w:rFonts w:ascii="Times New Roman" w:eastAsia="Calibri" w:hAnsi="Times New Roman" w:cs="Times New Roman"/>
          <w:sz w:val="24"/>
        </w:rPr>
        <w:t xml:space="preserve">Несмотря на увеличение количества проверочных мероприятий в форме таможенной проверки в 3 раза в </w:t>
      </w:r>
      <w:smartTag w:uri="urn:schemas-microsoft-com:office:smarttags" w:element="metricconverter">
        <w:smartTagPr>
          <w:attr w:name="ProductID" w:val="2022 г"/>
        </w:smartTagPr>
        <w:r w:rsidRPr="007C5751">
          <w:rPr>
            <w:rFonts w:ascii="Times New Roman" w:eastAsia="Calibri" w:hAnsi="Times New Roman" w:cs="Times New Roman"/>
            <w:sz w:val="24"/>
          </w:rPr>
          <w:t>2022 г</w:t>
        </w:r>
      </w:smartTag>
      <w:r w:rsidRPr="007C5751">
        <w:rPr>
          <w:rFonts w:ascii="Times New Roman" w:eastAsia="Calibri" w:hAnsi="Times New Roman" w:cs="Times New Roman"/>
          <w:sz w:val="24"/>
        </w:rPr>
        <w:t xml:space="preserve">. по сравнению с </w:t>
      </w:r>
      <w:smartTag w:uri="urn:schemas-microsoft-com:office:smarttags" w:element="metricconverter">
        <w:smartTagPr>
          <w:attr w:name="ProductID" w:val="2020 г"/>
        </w:smartTagPr>
        <w:r w:rsidRPr="007C5751">
          <w:rPr>
            <w:rFonts w:ascii="Times New Roman" w:eastAsia="Calibri" w:hAnsi="Times New Roman" w:cs="Times New Roman"/>
            <w:sz w:val="24"/>
          </w:rPr>
          <w:t>2020 г</w:t>
        </w:r>
      </w:smartTag>
      <w:r w:rsidRPr="007C5751">
        <w:rPr>
          <w:rFonts w:ascii="Times New Roman" w:eastAsia="Calibri" w:hAnsi="Times New Roman" w:cs="Times New Roman"/>
          <w:sz w:val="24"/>
        </w:rPr>
        <w:t>., снизилась доля взысканных таможенных платежей на 31,68% по результатам таможенного контроля после выпуска товаров. Это свидетельствует о возрастании нагрузки на таможенный орган при снижении эффективности.</w:t>
      </w:r>
    </w:p>
    <w:p w:rsidR="007C5751" w:rsidRDefault="007C5751" w:rsidP="007C5751">
      <w:pPr>
        <w:pStyle w:val="a4"/>
        <w:tabs>
          <w:tab w:val="left" w:pos="993"/>
        </w:tabs>
        <w:spacing w:after="0" w:line="240" w:lineRule="auto"/>
        <w:ind w:left="0" w:firstLine="709"/>
        <w:jc w:val="both"/>
        <w:rPr>
          <w:rFonts w:ascii="Times New Roman" w:hAnsi="Times New Roman"/>
          <w:sz w:val="24"/>
          <w:szCs w:val="24"/>
        </w:rPr>
      </w:pPr>
      <w:r w:rsidRPr="007C5751">
        <w:rPr>
          <w:rFonts w:ascii="Times New Roman" w:hAnsi="Times New Roman"/>
          <w:sz w:val="24"/>
          <w:szCs w:val="24"/>
        </w:rPr>
        <w:t>Таможенный контроль является одной из важнейших функций таможенных органов, которая направлена на обеспечение экономической безопасности государства и защиту национального рынка от нелегальных товаров. Однако после выпуска товаров на территорию РФ возникает множество проблем, связанных с осуществлением таможенного контроля и ведением экономических операций участниками ВЭД. Основные проблемы и способы их решения с целью совершенствования системы таможенного контроля после выпуска товаров следующие.</w:t>
      </w:r>
    </w:p>
    <w:p w:rsidR="00490A0F" w:rsidRPr="00E726DC" w:rsidRDefault="00490A0F" w:rsidP="00C45A01">
      <w:pPr>
        <w:pStyle w:val="a4"/>
        <w:numPr>
          <w:ilvl w:val="0"/>
          <w:numId w:val="2"/>
        </w:numPr>
        <w:tabs>
          <w:tab w:val="left" w:pos="993"/>
        </w:tabs>
        <w:spacing w:after="0" w:line="240" w:lineRule="auto"/>
        <w:ind w:left="0" w:firstLine="709"/>
        <w:jc w:val="both"/>
        <w:rPr>
          <w:rFonts w:ascii="Times New Roman" w:hAnsi="Times New Roman"/>
          <w:sz w:val="24"/>
          <w:szCs w:val="24"/>
        </w:rPr>
      </w:pPr>
      <w:r w:rsidRPr="00E726DC">
        <w:rPr>
          <w:rFonts w:ascii="Times New Roman" w:hAnsi="Times New Roman"/>
          <w:sz w:val="24"/>
          <w:szCs w:val="24"/>
        </w:rPr>
        <w:t>Недостаток документов. В некоторых случаях товары могут покинуть территорию страны без необходимых документов, что затрудняет таможенный контроль в других странах.</w:t>
      </w:r>
    </w:p>
    <w:p w:rsidR="007C5751" w:rsidRDefault="007C5751" w:rsidP="00C45A01">
      <w:pPr>
        <w:pStyle w:val="a4"/>
        <w:tabs>
          <w:tab w:val="left" w:pos="993"/>
        </w:tabs>
        <w:spacing w:after="0" w:line="240" w:lineRule="auto"/>
        <w:ind w:left="0" w:firstLine="709"/>
        <w:jc w:val="both"/>
        <w:rPr>
          <w:rFonts w:ascii="Times New Roman" w:hAnsi="Times New Roman"/>
          <w:sz w:val="24"/>
          <w:szCs w:val="24"/>
        </w:rPr>
      </w:pPr>
      <w:r w:rsidRPr="007C5751">
        <w:rPr>
          <w:rFonts w:ascii="Times New Roman" w:hAnsi="Times New Roman"/>
          <w:sz w:val="24"/>
          <w:szCs w:val="24"/>
        </w:rPr>
        <w:lastRenderedPageBreak/>
        <w:t>Одной из основных причин недостатка документов является низкая осведомленность экспортеров и импортеров о правилах и требованиях, которым должны соответствовать документы для таможенного контроля. Кроме того, некоторые страны могут иметь различные нормы и правила для разных видов товаров, что также может вызывать проблемы в оформлении необходимой документации.</w:t>
      </w:r>
    </w:p>
    <w:p w:rsidR="007C5751" w:rsidRDefault="007C5751" w:rsidP="00C45A01">
      <w:pPr>
        <w:pStyle w:val="a4"/>
        <w:tabs>
          <w:tab w:val="left" w:pos="993"/>
        </w:tabs>
        <w:spacing w:after="0" w:line="240" w:lineRule="auto"/>
        <w:ind w:left="0" w:firstLine="709"/>
        <w:jc w:val="both"/>
        <w:rPr>
          <w:rFonts w:ascii="Times New Roman" w:hAnsi="Times New Roman"/>
          <w:sz w:val="24"/>
          <w:szCs w:val="24"/>
        </w:rPr>
      </w:pPr>
      <w:r w:rsidRPr="007C5751">
        <w:rPr>
          <w:rFonts w:ascii="Times New Roman" w:hAnsi="Times New Roman"/>
          <w:sz w:val="24"/>
          <w:szCs w:val="24"/>
        </w:rPr>
        <w:t xml:space="preserve">Также участники ВЭД могут умышленно игнорировать запросы таможенных органов, либо их фактические сведения могут не соответствовать сведениям из ЕГРЮЛ, что создает дополнительные сложности и препятствует качественно провести контроль. Не имея возможности связаться с участником ВЭД, таможенный инспектор направляет запросы в другие государственные органы, </w:t>
      </w:r>
      <w:proofErr w:type="gramStart"/>
      <w:r w:rsidRPr="007C5751">
        <w:rPr>
          <w:rFonts w:ascii="Times New Roman" w:hAnsi="Times New Roman"/>
          <w:sz w:val="24"/>
          <w:szCs w:val="24"/>
        </w:rPr>
        <w:t>например</w:t>
      </w:r>
      <w:proofErr w:type="gramEnd"/>
      <w:r w:rsidRPr="007C5751">
        <w:rPr>
          <w:rFonts w:ascii="Times New Roman" w:hAnsi="Times New Roman"/>
          <w:sz w:val="24"/>
          <w:szCs w:val="24"/>
        </w:rPr>
        <w:t xml:space="preserve"> налоговые, для актуализации данных в ЕГРЮЛ [4].</w:t>
      </w:r>
    </w:p>
    <w:p w:rsidR="007C5751" w:rsidRDefault="007C5751" w:rsidP="00C45A01">
      <w:pPr>
        <w:pStyle w:val="a4"/>
        <w:tabs>
          <w:tab w:val="left" w:pos="993"/>
        </w:tabs>
        <w:spacing w:after="0" w:line="240" w:lineRule="auto"/>
        <w:ind w:left="0" w:firstLine="709"/>
        <w:jc w:val="both"/>
        <w:rPr>
          <w:rFonts w:ascii="Times New Roman" w:hAnsi="Times New Roman"/>
          <w:sz w:val="24"/>
          <w:szCs w:val="24"/>
        </w:rPr>
      </w:pPr>
      <w:r w:rsidRPr="007C5751">
        <w:rPr>
          <w:rFonts w:ascii="Times New Roman" w:hAnsi="Times New Roman"/>
          <w:sz w:val="24"/>
          <w:szCs w:val="24"/>
        </w:rPr>
        <w:t xml:space="preserve">Главным последствием недостатка документов является задержка в процессе таможенного контроля, что может приводить к выходу за временные рамки сроков проверки. Кроме того, недостаток документов может привести к штрафам и другим юридическим последствиям как для экспортеров, так и для импортеров. </w:t>
      </w:r>
    </w:p>
    <w:p w:rsidR="007C5751" w:rsidRPr="00E726DC" w:rsidRDefault="007C5751" w:rsidP="007C5751">
      <w:pPr>
        <w:pStyle w:val="a4"/>
        <w:tabs>
          <w:tab w:val="left" w:pos="993"/>
        </w:tabs>
        <w:spacing w:after="0" w:line="240" w:lineRule="auto"/>
        <w:ind w:left="0" w:firstLine="709"/>
        <w:jc w:val="both"/>
        <w:rPr>
          <w:rFonts w:ascii="Times New Roman" w:hAnsi="Times New Roman"/>
          <w:sz w:val="24"/>
          <w:szCs w:val="24"/>
        </w:rPr>
      </w:pPr>
      <w:r w:rsidRPr="00E726DC">
        <w:rPr>
          <w:rFonts w:ascii="Times New Roman" w:hAnsi="Times New Roman"/>
          <w:sz w:val="24"/>
          <w:szCs w:val="24"/>
        </w:rPr>
        <w:t>Для устранения проблемы недостатка документов необходимо проводить системную работу по повышению информированности экспортеров и импортеров о правилах и требованиях, предъявляемых к документации для таможенного контроля. Кроме того, необходимо разработать упрощенную систему оформления документов для некоторых видов товаров, которая бы помогла ускорить процесс таможенного контроля и уменьшить количество задержек в его проведении</w:t>
      </w:r>
      <w:r>
        <w:rPr>
          <w:rFonts w:ascii="Times New Roman" w:hAnsi="Times New Roman"/>
          <w:sz w:val="24"/>
          <w:szCs w:val="24"/>
        </w:rPr>
        <w:t xml:space="preserve"> </w:t>
      </w:r>
      <w:r w:rsidRPr="003F68D8">
        <w:rPr>
          <w:rFonts w:ascii="Times New Roman" w:hAnsi="Times New Roman"/>
          <w:sz w:val="24"/>
          <w:szCs w:val="24"/>
        </w:rPr>
        <w:t>[</w:t>
      </w:r>
      <w:r w:rsidRPr="00801FCA">
        <w:rPr>
          <w:rFonts w:ascii="Times New Roman" w:hAnsi="Times New Roman"/>
          <w:sz w:val="24"/>
          <w:szCs w:val="24"/>
        </w:rPr>
        <w:t>5</w:t>
      </w:r>
      <w:r w:rsidRPr="003F68D8">
        <w:rPr>
          <w:rFonts w:ascii="Times New Roman" w:hAnsi="Times New Roman"/>
          <w:sz w:val="24"/>
          <w:szCs w:val="24"/>
        </w:rPr>
        <w:t>]</w:t>
      </w:r>
      <w:r w:rsidRPr="00E726DC">
        <w:rPr>
          <w:rFonts w:ascii="Times New Roman" w:hAnsi="Times New Roman"/>
          <w:sz w:val="24"/>
          <w:szCs w:val="24"/>
        </w:rPr>
        <w:t>.</w:t>
      </w:r>
    </w:p>
    <w:p w:rsidR="00490A0F" w:rsidRPr="00E726DC" w:rsidRDefault="00490A0F" w:rsidP="00C45A01">
      <w:pPr>
        <w:pStyle w:val="a4"/>
        <w:numPr>
          <w:ilvl w:val="0"/>
          <w:numId w:val="2"/>
        </w:numPr>
        <w:tabs>
          <w:tab w:val="left" w:pos="993"/>
        </w:tabs>
        <w:spacing w:after="0" w:line="240" w:lineRule="auto"/>
        <w:ind w:left="0" w:firstLine="709"/>
        <w:jc w:val="both"/>
        <w:rPr>
          <w:rFonts w:ascii="Times New Roman" w:hAnsi="Times New Roman"/>
          <w:sz w:val="24"/>
          <w:szCs w:val="24"/>
        </w:rPr>
      </w:pPr>
      <w:r w:rsidRPr="00E726DC">
        <w:rPr>
          <w:rFonts w:ascii="Times New Roman" w:hAnsi="Times New Roman"/>
          <w:sz w:val="24"/>
          <w:szCs w:val="24"/>
        </w:rPr>
        <w:t xml:space="preserve">Короткие сроки для проведения таможенной проверки, начатой после выпуска товаров. Согласно п. 6 ст. 225 Федерального закона от 03.08.2018 № 289-ФЗ "О таможенном регулировании в Российской Федерации и о внесении изменений в отдельные законодательные акты Российской Федерации" проверка должна быть завершена в течение 60 календарных дней со дня начала данной проверки </w:t>
      </w:r>
      <w:r w:rsidRPr="00DC4C71">
        <w:rPr>
          <w:rFonts w:ascii="Times New Roman" w:hAnsi="Times New Roman"/>
          <w:sz w:val="24"/>
          <w:szCs w:val="24"/>
        </w:rPr>
        <w:t>[</w:t>
      </w:r>
      <w:r w:rsidR="00DC4C71" w:rsidRPr="00DC4C71">
        <w:rPr>
          <w:rFonts w:ascii="Times New Roman" w:hAnsi="Times New Roman"/>
          <w:sz w:val="24"/>
          <w:szCs w:val="24"/>
        </w:rPr>
        <w:t>1</w:t>
      </w:r>
      <w:r w:rsidRPr="00DC4C71">
        <w:rPr>
          <w:rFonts w:ascii="Times New Roman" w:hAnsi="Times New Roman"/>
          <w:sz w:val="24"/>
          <w:szCs w:val="24"/>
        </w:rPr>
        <w:t>].</w:t>
      </w:r>
    </w:p>
    <w:p w:rsidR="00490A0F" w:rsidRPr="00E726DC" w:rsidRDefault="00490A0F" w:rsidP="00C45A01">
      <w:pPr>
        <w:pStyle w:val="a4"/>
        <w:tabs>
          <w:tab w:val="left" w:pos="993"/>
        </w:tabs>
        <w:spacing w:after="0" w:line="240" w:lineRule="auto"/>
        <w:ind w:left="0" w:firstLine="709"/>
        <w:jc w:val="both"/>
        <w:rPr>
          <w:rFonts w:ascii="Times New Roman" w:hAnsi="Times New Roman"/>
          <w:sz w:val="24"/>
          <w:szCs w:val="24"/>
        </w:rPr>
      </w:pPr>
      <w:r w:rsidRPr="00E726DC">
        <w:rPr>
          <w:rFonts w:ascii="Times New Roman" w:hAnsi="Times New Roman"/>
          <w:sz w:val="24"/>
          <w:szCs w:val="24"/>
        </w:rPr>
        <w:t>Одной из главных сложностей, связанных с короткими сроками для проведения таможенной проверки, является нехватка времени на полное и глубокое изучение товаров, подлежащих таможенному контролю. Это может привести к недостаточной оценке рисков, связанных с импортом или экспортом ограниченных и запрещенных товаров.</w:t>
      </w:r>
    </w:p>
    <w:p w:rsidR="00490A0F" w:rsidRPr="00E726DC" w:rsidRDefault="00490A0F" w:rsidP="00C45A01">
      <w:pPr>
        <w:pStyle w:val="a4"/>
        <w:tabs>
          <w:tab w:val="left" w:pos="993"/>
        </w:tabs>
        <w:spacing w:after="0" w:line="240" w:lineRule="auto"/>
        <w:ind w:left="0" w:firstLine="709"/>
        <w:jc w:val="both"/>
        <w:rPr>
          <w:rFonts w:ascii="Times New Roman" w:hAnsi="Times New Roman"/>
          <w:sz w:val="24"/>
          <w:szCs w:val="24"/>
        </w:rPr>
      </w:pPr>
      <w:r w:rsidRPr="00E726DC">
        <w:rPr>
          <w:rFonts w:ascii="Times New Roman" w:hAnsi="Times New Roman"/>
          <w:sz w:val="24"/>
          <w:szCs w:val="24"/>
        </w:rPr>
        <w:t>Кроме того, короткие сроки могут привести к более поверхностному и быстрому контролю, что может привести к ошибкам и пропуску нарушений законодательства. В свою очередь, это может нанести ущерб экономике и обществу, а также нанести урон репутации таможенной службы.</w:t>
      </w:r>
    </w:p>
    <w:p w:rsidR="00490A0F" w:rsidRPr="00E726DC" w:rsidRDefault="00490A0F" w:rsidP="00C45A01">
      <w:pPr>
        <w:pStyle w:val="a4"/>
        <w:tabs>
          <w:tab w:val="left" w:pos="993"/>
        </w:tabs>
        <w:spacing w:after="0" w:line="240" w:lineRule="auto"/>
        <w:ind w:left="0" w:firstLine="709"/>
        <w:jc w:val="both"/>
        <w:rPr>
          <w:rFonts w:ascii="Times New Roman" w:hAnsi="Times New Roman"/>
          <w:sz w:val="24"/>
          <w:szCs w:val="24"/>
        </w:rPr>
      </w:pPr>
      <w:r w:rsidRPr="00E726DC">
        <w:rPr>
          <w:rFonts w:ascii="Times New Roman" w:hAnsi="Times New Roman"/>
          <w:sz w:val="24"/>
          <w:szCs w:val="24"/>
        </w:rPr>
        <w:t>Для решения этой проблемы можно использовать два основных подхода: повышение эффективности таможенного контроля и улучшение процессов декларирования товаров.</w:t>
      </w:r>
    </w:p>
    <w:p w:rsidR="007C5751" w:rsidRPr="007C5751" w:rsidRDefault="007C5751" w:rsidP="007C5751">
      <w:pPr>
        <w:pStyle w:val="a4"/>
        <w:tabs>
          <w:tab w:val="left" w:pos="993"/>
        </w:tabs>
        <w:spacing w:after="0" w:line="240" w:lineRule="auto"/>
        <w:ind w:left="0" w:firstLine="709"/>
        <w:jc w:val="both"/>
        <w:rPr>
          <w:rFonts w:ascii="Times New Roman" w:hAnsi="Times New Roman"/>
          <w:sz w:val="24"/>
          <w:szCs w:val="24"/>
        </w:rPr>
      </w:pPr>
      <w:r w:rsidRPr="007C5751">
        <w:rPr>
          <w:rFonts w:ascii="Times New Roman" w:hAnsi="Times New Roman"/>
          <w:sz w:val="24"/>
          <w:szCs w:val="24"/>
        </w:rPr>
        <w:t>Первый подход может быть реализован с помощью совершенствования технологий таможенного контроля и использования автоматизированных систем, интеллектуальных аналитических инструментов, а также обучения таможенных служащих современным методам и технологиям таможенного контроля.</w:t>
      </w:r>
    </w:p>
    <w:p w:rsidR="007C5751" w:rsidRDefault="007C5751" w:rsidP="007C5751">
      <w:pPr>
        <w:pStyle w:val="a4"/>
        <w:tabs>
          <w:tab w:val="left" w:pos="993"/>
        </w:tabs>
        <w:spacing w:after="0" w:line="240" w:lineRule="auto"/>
        <w:ind w:left="0" w:firstLine="709"/>
        <w:jc w:val="both"/>
        <w:rPr>
          <w:rFonts w:ascii="Times New Roman" w:hAnsi="Times New Roman"/>
          <w:sz w:val="24"/>
          <w:szCs w:val="24"/>
        </w:rPr>
      </w:pPr>
      <w:r w:rsidRPr="007C5751">
        <w:rPr>
          <w:rFonts w:ascii="Times New Roman" w:hAnsi="Times New Roman"/>
          <w:sz w:val="24"/>
          <w:szCs w:val="24"/>
        </w:rPr>
        <w:t>Второй подход включает оптимизацию процессов декларирования товаров, таких как стандартизация документации, внедрение электронных систем декларирования и обмена данными, повышение качества предоставляемой информации и документов со стороны экспортеров и импортеров.</w:t>
      </w:r>
    </w:p>
    <w:p w:rsidR="007C5751" w:rsidRPr="00E726DC" w:rsidRDefault="007C5751" w:rsidP="007C5751">
      <w:pPr>
        <w:pStyle w:val="a4"/>
        <w:tabs>
          <w:tab w:val="left" w:pos="993"/>
        </w:tabs>
        <w:spacing w:after="0" w:line="240" w:lineRule="auto"/>
        <w:ind w:left="0" w:firstLine="709"/>
        <w:jc w:val="both"/>
        <w:rPr>
          <w:rFonts w:ascii="Times New Roman" w:hAnsi="Times New Roman"/>
          <w:sz w:val="24"/>
          <w:szCs w:val="24"/>
        </w:rPr>
      </w:pPr>
      <w:r w:rsidRPr="00E726DC">
        <w:rPr>
          <w:rFonts w:ascii="Times New Roman" w:hAnsi="Times New Roman"/>
          <w:sz w:val="24"/>
          <w:szCs w:val="24"/>
        </w:rPr>
        <w:t>В целом, для решения проблемы недостаточного времени для проведения таможенного контроля после выпуска товаров, необходимы комплексные меры по оптимизации процессов таможенного контроля и декларирования товаров, повышению квалификации таможенных служащих и использованию новых технологий</w:t>
      </w:r>
      <w:r>
        <w:rPr>
          <w:rFonts w:ascii="Times New Roman" w:hAnsi="Times New Roman"/>
          <w:sz w:val="24"/>
          <w:szCs w:val="24"/>
        </w:rPr>
        <w:t xml:space="preserve"> </w:t>
      </w:r>
      <w:r w:rsidRPr="00D4162D">
        <w:rPr>
          <w:rFonts w:ascii="Times New Roman" w:hAnsi="Times New Roman"/>
          <w:sz w:val="24"/>
          <w:szCs w:val="24"/>
        </w:rPr>
        <w:t>[</w:t>
      </w:r>
      <w:r w:rsidRPr="00801FCA">
        <w:rPr>
          <w:rFonts w:ascii="Times New Roman" w:hAnsi="Times New Roman"/>
          <w:sz w:val="24"/>
          <w:szCs w:val="24"/>
        </w:rPr>
        <w:t>3</w:t>
      </w:r>
      <w:r w:rsidRPr="00D4162D">
        <w:rPr>
          <w:rFonts w:ascii="Times New Roman" w:hAnsi="Times New Roman"/>
          <w:sz w:val="24"/>
          <w:szCs w:val="24"/>
        </w:rPr>
        <w:t>]</w:t>
      </w:r>
      <w:r w:rsidRPr="00E726DC">
        <w:rPr>
          <w:rFonts w:ascii="Times New Roman" w:hAnsi="Times New Roman"/>
          <w:sz w:val="24"/>
          <w:szCs w:val="24"/>
        </w:rPr>
        <w:t>.</w:t>
      </w:r>
    </w:p>
    <w:p w:rsidR="007C5751" w:rsidRDefault="007C5751" w:rsidP="007C5751">
      <w:pPr>
        <w:pStyle w:val="a4"/>
        <w:numPr>
          <w:ilvl w:val="0"/>
          <w:numId w:val="2"/>
        </w:numPr>
        <w:tabs>
          <w:tab w:val="left" w:pos="993"/>
        </w:tabs>
        <w:spacing w:after="0" w:line="240" w:lineRule="auto"/>
        <w:ind w:left="0" w:firstLine="709"/>
        <w:jc w:val="both"/>
        <w:rPr>
          <w:rFonts w:ascii="Times New Roman" w:hAnsi="Times New Roman"/>
          <w:sz w:val="24"/>
          <w:szCs w:val="24"/>
        </w:rPr>
      </w:pPr>
      <w:r w:rsidRPr="007C5751">
        <w:rPr>
          <w:rFonts w:ascii="Times New Roman" w:hAnsi="Times New Roman"/>
          <w:sz w:val="24"/>
          <w:szCs w:val="24"/>
        </w:rPr>
        <w:t>Ликвидация или банкротство компаний.</w:t>
      </w:r>
      <w:r w:rsidR="00490A0F" w:rsidRPr="007C5751">
        <w:rPr>
          <w:rFonts w:ascii="Times New Roman" w:hAnsi="Times New Roman"/>
          <w:sz w:val="24"/>
          <w:szCs w:val="24"/>
        </w:rPr>
        <w:t xml:space="preserve"> </w:t>
      </w:r>
      <w:r w:rsidRPr="007C5751">
        <w:rPr>
          <w:rFonts w:ascii="Times New Roman" w:hAnsi="Times New Roman"/>
          <w:sz w:val="24"/>
          <w:szCs w:val="24"/>
        </w:rPr>
        <w:t>В такой ситуации взыскание может быть затруднительным или вообще невозможным из-за отсутствия имущества у должника.</w:t>
      </w:r>
    </w:p>
    <w:p w:rsidR="007C5751" w:rsidRPr="007C5751" w:rsidRDefault="007C5751" w:rsidP="007C5751">
      <w:pPr>
        <w:pStyle w:val="a4"/>
        <w:tabs>
          <w:tab w:val="left" w:pos="993"/>
        </w:tabs>
        <w:spacing w:after="0" w:line="240" w:lineRule="auto"/>
        <w:ind w:left="0" w:firstLine="709"/>
        <w:jc w:val="both"/>
        <w:rPr>
          <w:rFonts w:ascii="Times New Roman" w:hAnsi="Times New Roman"/>
          <w:sz w:val="24"/>
          <w:szCs w:val="24"/>
        </w:rPr>
      </w:pPr>
      <w:r w:rsidRPr="007C5751">
        <w:rPr>
          <w:rFonts w:ascii="Times New Roman" w:hAnsi="Times New Roman"/>
          <w:sz w:val="24"/>
          <w:szCs w:val="24"/>
        </w:rPr>
        <w:t xml:space="preserve">Кроме того, в законодательстве могут быть прописаны ограничения на взыскание долгов по компаниям, которые находятся в процессе ликвидации или банкротства. В таком случае таможенные органы должны следовать установленному порядку и процедурам для </w:t>
      </w:r>
      <w:r w:rsidRPr="007C5751">
        <w:rPr>
          <w:rFonts w:ascii="Times New Roman" w:hAnsi="Times New Roman"/>
          <w:sz w:val="24"/>
          <w:szCs w:val="24"/>
        </w:rPr>
        <w:lastRenderedPageBreak/>
        <w:t>взыскания долгов, которые могут занять значительное количество времени и ресурсов органов.</w:t>
      </w:r>
    </w:p>
    <w:p w:rsidR="004307DF" w:rsidRPr="004307DF" w:rsidRDefault="004307DF" w:rsidP="004307DF">
      <w:pPr>
        <w:pStyle w:val="a4"/>
        <w:tabs>
          <w:tab w:val="left" w:pos="993"/>
        </w:tabs>
        <w:spacing w:after="0" w:line="240" w:lineRule="auto"/>
        <w:ind w:left="0" w:firstLine="709"/>
        <w:jc w:val="both"/>
        <w:rPr>
          <w:rFonts w:ascii="Times New Roman" w:hAnsi="Times New Roman"/>
          <w:sz w:val="24"/>
          <w:szCs w:val="24"/>
        </w:rPr>
      </w:pPr>
      <w:r w:rsidRPr="004307DF">
        <w:rPr>
          <w:rFonts w:ascii="Times New Roman" w:hAnsi="Times New Roman"/>
          <w:sz w:val="24"/>
          <w:szCs w:val="24"/>
        </w:rPr>
        <w:t>Для предотвращения таких ситуаций, таможенные органы могут проводить более тщательный анализ деятельности компаний перед импортом товаров, а также тщательно проверять достоверность и полноту сведений, представленных в декларациях о таможенной стоимости. Это поможет снизить риски невозврата платежей и обеспечить более эффективное взыскание долгов в случае обнаружения нарушений [2].</w:t>
      </w:r>
    </w:p>
    <w:p w:rsidR="004307DF" w:rsidRDefault="00490A0F" w:rsidP="004307DF">
      <w:pPr>
        <w:pStyle w:val="a4"/>
        <w:numPr>
          <w:ilvl w:val="0"/>
          <w:numId w:val="2"/>
        </w:numPr>
        <w:tabs>
          <w:tab w:val="left" w:pos="993"/>
        </w:tabs>
        <w:spacing w:after="0" w:line="240" w:lineRule="auto"/>
        <w:ind w:left="0" w:firstLine="709"/>
        <w:jc w:val="both"/>
        <w:rPr>
          <w:rFonts w:ascii="Times New Roman" w:hAnsi="Times New Roman"/>
          <w:sz w:val="24"/>
          <w:szCs w:val="24"/>
        </w:rPr>
      </w:pPr>
      <w:r w:rsidRPr="00E726DC">
        <w:rPr>
          <w:rFonts w:ascii="Times New Roman" w:hAnsi="Times New Roman"/>
          <w:sz w:val="24"/>
          <w:szCs w:val="24"/>
        </w:rPr>
        <w:t xml:space="preserve">Сложности в обработке больших объемов товара. Выпуск больших объемов товаров может стать проблемой при таможенном контроле, когда нет необходимости в проверке всей партии. </w:t>
      </w:r>
    </w:p>
    <w:p w:rsidR="004307DF" w:rsidRPr="004307DF" w:rsidRDefault="004307DF" w:rsidP="004307DF">
      <w:pPr>
        <w:pStyle w:val="a4"/>
        <w:tabs>
          <w:tab w:val="left" w:pos="993"/>
        </w:tabs>
        <w:spacing w:after="0" w:line="240" w:lineRule="auto"/>
        <w:ind w:left="0" w:firstLine="709"/>
        <w:jc w:val="both"/>
        <w:rPr>
          <w:rFonts w:ascii="Times New Roman" w:hAnsi="Times New Roman"/>
          <w:sz w:val="24"/>
          <w:szCs w:val="24"/>
        </w:rPr>
      </w:pPr>
      <w:r w:rsidRPr="004307DF">
        <w:rPr>
          <w:rFonts w:ascii="Times New Roman" w:hAnsi="Times New Roman"/>
          <w:sz w:val="24"/>
          <w:szCs w:val="24"/>
        </w:rPr>
        <w:t>В тех случаях, когда в декларации зарегистрировано большое количество товаров, а проблема выявлена лишь по нескольким из них, необходимо ставить на контроль всю партию, так как к декларации прилагается один комплект документов и невозможно вычленить информацию для отдельных товаров. Это приводит к увеличению сроков таможенной проверки и трудовых затрат.</w:t>
      </w:r>
    </w:p>
    <w:p w:rsidR="00490A0F" w:rsidRDefault="00490A0F" w:rsidP="00C45A01">
      <w:pPr>
        <w:pStyle w:val="a4"/>
        <w:tabs>
          <w:tab w:val="left" w:pos="993"/>
        </w:tabs>
        <w:spacing w:after="0" w:line="240" w:lineRule="auto"/>
        <w:ind w:left="0" w:firstLine="709"/>
        <w:contextualSpacing w:val="0"/>
        <w:jc w:val="both"/>
        <w:rPr>
          <w:rFonts w:ascii="Times New Roman" w:hAnsi="Times New Roman"/>
          <w:sz w:val="24"/>
          <w:szCs w:val="24"/>
        </w:rPr>
      </w:pPr>
      <w:r w:rsidRPr="00E726DC">
        <w:rPr>
          <w:rFonts w:ascii="Times New Roman" w:hAnsi="Times New Roman"/>
          <w:sz w:val="24"/>
          <w:szCs w:val="24"/>
        </w:rPr>
        <w:t>Для решения этой проблемы можно использовать так называемый "системный подход", который предполагает более точное выделение отдельных товаров в рамках декларации и создание более детализированных комплектов документов для каждого из них. Для этого необходимо на этапе подготовки декларации проводить более тщательный анализ товаров, выделять группы товаров по характеристикам, предлагать комплекты документов для каждой группы товаров.</w:t>
      </w:r>
    </w:p>
    <w:p w:rsidR="004307DF" w:rsidRPr="004307DF" w:rsidRDefault="004307DF" w:rsidP="004307DF">
      <w:pPr>
        <w:tabs>
          <w:tab w:val="left" w:pos="993"/>
        </w:tabs>
        <w:spacing w:after="0" w:line="240" w:lineRule="auto"/>
        <w:ind w:firstLine="709"/>
        <w:jc w:val="both"/>
        <w:rPr>
          <w:rFonts w:ascii="Times New Roman" w:eastAsia="Calibri" w:hAnsi="Times New Roman" w:cs="Times New Roman"/>
          <w:sz w:val="24"/>
          <w:szCs w:val="24"/>
        </w:rPr>
      </w:pPr>
      <w:r w:rsidRPr="004307DF">
        <w:rPr>
          <w:rFonts w:ascii="Times New Roman" w:eastAsia="Calibri" w:hAnsi="Times New Roman" w:cs="Times New Roman"/>
          <w:sz w:val="24"/>
          <w:szCs w:val="24"/>
        </w:rPr>
        <w:t>Для решения этой проблемы можно использовать так называемый «системный подход», который предполагает более точное выделение отдельных товаров в рамках декларации и создание более детализированных комплектов документов для каждого из них. Для этого необходимо на этапе подготовки декларации проводить более тщательный анализ товаров, выделять группы товаров по характеристикам, предлагать комплекты документов для каждой группы товаров.</w:t>
      </w:r>
    </w:p>
    <w:p w:rsidR="004307DF" w:rsidRPr="004307DF" w:rsidRDefault="004307DF" w:rsidP="004307DF">
      <w:pPr>
        <w:tabs>
          <w:tab w:val="left" w:pos="993"/>
        </w:tabs>
        <w:spacing w:after="0" w:line="240" w:lineRule="auto"/>
        <w:ind w:firstLine="709"/>
        <w:jc w:val="both"/>
        <w:rPr>
          <w:rFonts w:ascii="Times New Roman" w:eastAsia="Calibri" w:hAnsi="Times New Roman" w:cs="Times New Roman"/>
          <w:sz w:val="24"/>
          <w:szCs w:val="24"/>
        </w:rPr>
      </w:pPr>
      <w:r w:rsidRPr="004307DF">
        <w:rPr>
          <w:rFonts w:ascii="Times New Roman" w:eastAsia="Calibri" w:hAnsi="Times New Roman" w:cs="Times New Roman"/>
          <w:sz w:val="24"/>
          <w:szCs w:val="24"/>
        </w:rPr>
        <w:t xml:space="preserve">Решение проблем таможенного контроля после выпуска товаров повышает уровень таможенного администрирования, укрепляет финансовое состояние участников ВЭД и способствует ускорению социально-экономического развития страны и ее регионов.  </w:t>
      </w:r>
    </w:p>
    <w:p w:rsidR="00C2751E" w:rsidRDefault="00C2751E" w:rsidP="004307DF">
      <w:pPr>
        <w:spacing w:after="0" w:line="240" w:lineRule="auto"/>
        <w:jc w:val="both"/>
        <w:rPr>
          <w:rFonts w:ascii="Times New Roman" w:eastAsia="Calibri" w:hAnsi="Times New Roman" w:cs="Times New Roman"/>
          <w:sz w:val="24"/>
          <w:szCs w:val="24"/>
        </w:rPr>
      </w:pPr>
    </w:p>
    <w:p w:rsidR="004307DF" w:rsidRPr="004307DF" w:rsidRDefault="004307DF" w:rsidP="004307DF">
      <w:pPr>
        <w:pStyle w:val="a4"/>
        <w:spacing w:after="0" w:line="240" w:lineRule="auto"/>
        <w:ind w:left="0"/>
        <w:jc w:val="center"/>
        <w:rPr>
          <w:rFonts w:ascii="Times New Roman" w:hAnsi="Times New Roman"/>
          <w:b/>
          <w:sz w:val="24"/>
          <w:szCs w:val="24"/>
        </w:rPr>
      </w:pPr>
      <w:r w:rsidRPr="004307DF">
        <w:rPr>
          <w:rFonts w:ascii="Times New Roman" w:hAnsi="Times New Roman"/>
          <w:b/>
          <w:sz w:val="24"/>
          <w:szCs w:val="24"/>
        </w:rPr>
        <w:t>ЛИТЕРАТУРА</w:t>
      </w:r>
    </w:p>
    <w:p w:rsidR="00F37361" w:rsidRDefault="00C45A01" w:rsidP="004307DF">
      <w:pPr>
        <w:pStyle w:val="a4"/>
        <w:numPr>
          <w:ilvl w:val="0"/>
          <w:numId w:val="3"/>
        </w:numPr>
        <w:tabs>
          <w:tab w:val="left" w:pos="284"/>
        </w:tabs>
        <w:spacing w:after="0" w:line="240" w:lineRule="auto"/>
        <w:ind w:left="0" w:firstLine="0"/>
        <w:jc w:val="both"/>
        <w:rPr>
          <w:rFonts w:ascii="Times New Roman" w:eastAsia="Calibri" w:hAnsi="Times New Roman" w:cs="Times New Roman"/>
          <w:sz w:val="24"/>
          <w:szCs w:val="24"/>
        </w:rPr>
      </w:pPr>
      <w:r w:rsidRPr="007C5729">
        <w:rPr>
          <w:rFonts w:ascii="Times New Roman" w:eastAsia="Calibri" w:hAnsi="Times New Roman" w:cs="Times New Roman"/>
          <w:sz w:val="24"/>
          <w:szCs w:val="24"/>
        </w:rPr>
        <w:t>Федеральный закон от 03.08.2018 № 289-ФЗ "О таможенном регулировании в Российской Федерации и о внесении изменений в отдельные законодательные акты Российской Федерации".</w:t>
      </w:r>
    </w:p>
    <w:p w:rsidR="00801FCA" w:rsidRDefault="00801FCA" w:rsidP="004307DF">
      <w:pPr>
        <w:pStyle w:val="a4"/>
        <w:numPr>
          <w:ilvl w:val="0"/>
          <w:numId w:val="3"/>
        </w:numPr>
        <w:tabs>
          <w:tab w:val="left" w:pos="284"/>
        </w:tabs>
        <w:spacing w:after="0" w:line="240" w:lineRule="auto"/>
        <w:ind w:left="0" w:firstLine="0"/>
        <w:jc w:val="both"/>
        <w:rPr>
          <w:rFonts w:ascii="Times New Roman" w:eastAsia="Calibri" w:hAnsi="Times New Roman" w:cs="Times New Roman"/>
          <w:sz w:val="24"/>
          <w:szCs w:val="24"/>
        </w:rPr>
      </w:pPr>
      <w:proofErr w:type="spellStart"/>
      <w:r w:rsidRPr="00801FCA">
        <w:rPr>
          <w:rFonts w:ascii="Times New Roman" w:eastAsia="Calibri" w:hAnsi="Times New Roman" w:cs="Times New Roman"/>
          <w:sz w:val="24"/>
          <w:szCs w:val="24"/>
        </w:rPr>
        <w:t>Афонин</w:t>
      </w:r>
      <w:proofErr w:type="spellEnd"/>
      <w:r w:rsidRPr="00801FCA">
        <w:rPr>
          <w:rFonts w:ascii="Times New Roman" w:eastAsia="Calibri" w:hAnsi="Times New Roman" w:cs="Times New Roman"/>
          <w:sz w:val="24"/>
          <w:szCs w:val="24"/>
        </w:rPr>
        <w:t xml:space="preserve"> П.Н., Кузьмичева Р.А. К вопросу о нормативно-правовом обеспечении таможенного контроля после выпуска товаров // БИТ. </w:t>
      </w:r>
      <w:r>
        <w:rPr>
          <w:rFonts w:ascii="Times New Roman" w:eastAsia="Calibri" w:hAnsi="Times New Roman" w:cs="Times New Roman"/>
          <w:sz w:val="24"/>
          <w:szCs w:val="24"/>
        </w:rPr>
        <w:sym w:font="Symbol" w:char="F02D"/>
      </w:r>
      <w:r w:rsidRPr="00801FCA">
        <w:rPr>
          <w:rFonts w:ascii="Times New Roman" w:eastAsia="Calibri" w:hAnsi="Times New Roman" w:cs="Times New Roman"/>
          <w:sz w:val="24"/>
          <w:szCs w:val="24"/>
        </w:rPr>
        <w:t xml:space="preserve"> 2020. </w:t>
      </w:r>
      <w:r>
        <w:rPr>
          <w:rFonts w:ascii="Times New Roman" w:eastAsia="Calibri" w:hAnsi="Times New Roman" w:cs="Times New Roman"/>
          <w:sz w:val="24"/>
          <w:szCs w:val="24"/>
        </w:rPr>
        <w:sym w:font="Symbol" w:char="F02D"/>
      </w:r>
      <w:r w:rsidRPr="00801FCA">
        <w:rPr>
          <w:rFonts w:ascii="Times New Roman" w:eastAsia="Calibri" w:hAnsi="Times New Roman" w:cs="Times New Roman"/>
          <w:sz w:val="24"/>
          <w:szCs w:val="24"/>
        </w:rPr>
        <w:t xml:space="preserve"> №. </w:t>
      </w:r>
      <w:r>
        <w:rPr>
          <w:rFonts w:ascii="Times New Roman" w:eastAsia="Calibri" w:hAnsi="Times New Roman" w:cs="Times New Roman"/>
          <w:sz w:val="24"/>
          <w:szCs w:val="24"/>
        </w:rPr>
        <w:t xml:space="preserve">3. </w:t>
      </w:r>
      <w:r>
        <w:rPr>
          <w:rFonts w:ascii="Times New Roman" w:eastAsia="Calibri" w:hAnsi="Times New Roman" w:cs="Times New Roman"/>
          <w:sz w:val="24"/>
          <w:szCs w:val="24"/>
        </w:rPr>
        <w:sym w:font="Symbol" w:char="F02D"/>
      </w:r>
      <w:r>
        <w:rPr>
          <w:rFonts w:ascii="Times New Roman" w:eastAsia="Calibri" w:hAnsi="Times New Roman" w:cs="Times New Roman"/>
          <w:sz w:val="24"/>
          <w:szCs w:val="24"/>
          <w:lang w:val="en-US"/>
        </w:rPr>
        <w:t xml:space="preserve"> C. </w:t>
      </w:r>
      <w:r w:rsidRPr="00801FCA">
        <w:rPr>
          <w:rFonts w:ascii="Times New Roman" w:eastAsia="Calibri" w:hAnsi="Times New Roman" w:cs="Times New Roman"/>
          <w:sz w:val="24"/>
          <w:szCs w:val="24"/>
        </w:rPr>
        <w:t xml:space="preserve">15. </w:t>
      </w:r>
    </w:p>
    <w:p w:rsidR="00D4162D" w:rsidRPr="007C5729" w:rsidRDefault="00D4162D" w:rsidP="004307DF">
      <w:pPr>
        <w:pStyle w:val="a4"/>
        <w:numPr>
          <w:ilvl w:val="0"/>
          <w:numId w:val="3"/>
        </w:numPr>
        <w:tabs>
          <w:tab w:val="left" w:pos="284"/>
        </w:tabs>
        <w:spacing w:after="0" w:line="240" w:lineRule="auto"/>
        <w:ind w:left="0" w:firstLine="0"/>
        <w:jc w:val="both"/>
        <w:rPr>
          <w:rFonts w:ascii="Times New Roman" w:eastAsia="Calibri" w:hAnsi="Times New Roman" w:cs="Times New Roman"/>
          <w:sz w:val="24"/>
          <w:szCs w:val="24"/>
        </w:rPr>
      </w:pPr>
      <w:r w:rsidRPr="00D4162D">
        <w:rPr>
          <w:rFonts w:ascii="Times New Roman" w:eastAsia="Calibri" w:hAnsi="Times New Roman" w:cs="Times New Roman"/>
          <w:sz w:val="24"/>
          <w:szCs w:val="24"/>
        </w:rPr>
        <w:t>Ворона А</w:t>
      </w:r>
      <w:r w:rsidR="00196A8F">
        <w:rPr>
          <w:rFonts w:ascii="Times New Roman" w:eastAsia="Calibri" w:hAnsi="Times New Roman" w:cs="Times New Roman"/>
          <w:sz w:val="24"/>
          <w:szCs w:val="24"/>
        </w:rPr>
        <w:t>.А., Яковлев К.</w:t>
      </w:r>
      <w:r w:rsidRPr="00D4162D">
        <w:rPr>
          <w:rFonts w:ascii="Times New Roman" w:eastAsia="Calibri" w:hAnsi="Times New Roman" w:cs="Times New Roman"/>
          <w:sz w:val="24"/>
          <w:szCs w:val="24"/>
        </w:rPr>
        <w:t xml:space="preserve"> В</w:t>
      </w:r>
      <w:r w:rsidR="00196A8F" w:rsidRPr="00196A8F">
        <w:rPr>
          <w:rFonts w:ascii="Times New Roman" w:eastAsia="Calibri" w:hAnsi="Times New Roman" w:cs="Times New Roman"/>
          <w:sz w:val="24"/>
          <w:szCs w:val="24"/>
        </w:rPr>
        <w:t>.</w:t>
      </w:r>
      <w:r w:rsidRPr="00D4162D">
        <w:rPr>
          <w:rFonts w:ascii="Times New Roman" w:eastAsia="Calibri" w:hAnsi="Times New Roman" w:cs="Times New Roman"/>
          <w:sz w:val="24"/>
          <w:szCs w:val="24"/>
        </w:rPr>
        <w:t xml:space="preserve"> Направления таможенного администрирования в деятельности Федеральной таможенной службы и совершенствование таможенного контроля после выпуска товаров // Ученые записки Санкт-Петербургского имени В. Б. </w:t>
      </w:r>
      <w:proofErr w:type="spellStart"/>
      <w:r w:rsidRPr="00D4162D">
        <w:rPr>
          <w:rFonts w:ascii="Times New Roman" w:eastAsia="Calibri" w:hAnsi="Times New Roman" w:cs="Times New Roman"/>
          <w:sz w:val="24"/>
          <w:szCs w:val="24"/>
        </w:rPr>
        <w:t>Бобкова</w:t>
      </w:r>
      <w:proofErr w:type="spellEnd"/>
      <w:r w:rsidRPr="00D4162D">
        <w:rPr>
          <w:rFonts w:ascii="Times New Roman" w:eastAsia="Calibri" w:hAnsi="Times New Roman" w:cs="Times New Roman"/>
          <w:sz w:val="24"/>
          <w:szCs w:val="24"/>
        </w:rPr>
        <w:t xml:space="preserve"> филиала Российской тамо</w:t>
      </w:r>
      <w:r w:rsidR="00196A8F">
        <w:rPr>
          <w:rFonts w:ascii="Times New Roman" w:eastAsia="Calibri" w:hAnsi="Times New Roman" w:cs="Times New Roman"/>
          <w:sz w:val="24"/>
          <w:szCs w:val="24"/>
        </w:rPr>
        <w:t xml:space="preserve">женной академии. </w:t>
      </w:r>
      <w:r w:rsidR="00196A8F">
        <w:rPr>
          <w:rFonts w:ascii="Times New Roman" w:eastAsia="Calibri" w:hAnsi="Times New Roman" w:cs="Times New Roman"/>
          <w:sz w:val="24"/>
          <w:szCs w:val="24"/>
        </w:rPr>
        <w:sym w:font="Symbol" w:char="F02D"/>
      </w:r>
      <w:r w:rsidR="00196A8F" w:rsidRPr="00196A8F">
        <w:rPr>
          <w:rFonts w:ascii="Times New Roman" w:eastAsia="Calibri" w:hAnsi="Times New Roman" w:cs="Times New Roman"/>
          <w:sz w:val="24"/>
          <w:szCs w:val="24"/>
        </w:rPr>
        <w:t xml:space="preserve"> </w:t>
      </w:r>
      <w:r w:rsidR="00196A8F">
        <w:rPr>
          <w:rFonts w:ascii="Times New Roman" w:eastAsia="Calibri" w:hAnsi="Times New Roman" w:cs="Times New Roman"/>
          <w:sz w:val="24"/>
          <w:szCs w:val="24"/>
        </w:rPr>
        <w:t xml:space="preserve">2020. </w:t>
      </w:r>
      <w:r w:rsidR="00196A8F">
        <w:rPr>
          <w:rFonts w:ascii="Times New Roman" w:eastAsia="Calibri" w:hAnsi="Times New Roman" w:cs="Times New Roman"/>
          <w:sz w:val="24"/>
          <w:szCs w:val="24"/>
        </w:rPr>
        <w:sym w:font="Symbol" w:char="F02D"/>
      </w:r>
      <w:r w:rsidR="00196A8F" w:rsidRPr="00196A8F">
        <w:rPr>
          <w:rFonts w:ascii="Times New Roman" w:eastAsia="Calibri" w:hAnsi="Times New Roman" w:cs="Times New Roman"/>
          <w:sz w:val="24"/>
          <w:szCs w:val="24"/>
        </w:rPr>
        <w:t xml:space="preserve"> </w:t>
      </w:r>
      <w:r w:rsidR="00196A8F">
        <w:rPr>
          <w:rFonts w:ascii="Times New Roman" w:eastAsia="Calibri" w:hAnsi="Times New Roman" w:cs="Times New Roman"/>
          <w:sz w:val="24"/>
          <w:szCs w:val="24"/>
        </w:rPr>
        <w:t>№</w:t>
      </w:r>
      <w:r w:rsidR="00196A8F" w:rsidRPr="00196A8F">
        <w:rPr>
          <w:rFonts w:ascii="Times New Roman" w:eastAsia="Calibri" w:hAnsi="Times New Roman" w:cs="Times New Roman"/>
          <w:sz w:val="24"/>
          <w:szCs w:val="24"/>
        </w:rPr>
        <w:t xml:space="preserve">. </w:t>
      </w:r>
      <w:r w:rsidR="00196A8F">
        <w:rPr>
          <w:rFonts w:ascii="Times New Roman" w:eastAsia="Calibri" w:hAnsi="Times New Roman" w:cs="Times New Roman"/>
          <w:sz w:val="24"/>
          <w:szCs w:val="24"/>
        </w:rPr>
        <w:t>1</w:t>
      </w:r>
      <w:r w:rsidR="00196A8F" w:rsidRPr="00196A8F">
        <w:rPr>
          <w:rFonts w:ascii="Times New Roman" w:eastAsia="Calibri" w:hAnsi="Times New Roman" w:cs="Times New Roman"/>
          <w:sz w:val="24"/>
          <w:szCs w:val="24"/>
        </w:rPr>
        <w:t>.</w:t>
      </w:r>
      <w:r w:rsidR="00196A8F">
        <w:rPr>
          <w:rFonts w:ascii="Times New Roman" w:eastAsia="Calibri" w:hAnsi="Times New Roman" w:cs="Times New Roman"/>
          <w:sz w:val="24"/>
          <w:szCs w:val="24"/>
        </w:rPr>
        <w:t xml:space="preserve"> C</w:t>
      </w:r>
      <w:r w:rsidR="00196A8F">
        <w:rPr>
          <w:rFonts w:ascii="Times New Roman" w:eastAsia="Calibri" w:hAnsi="Times New Roman" w:cs="Times New Roman"/>
          <w:sz w:val="24"/>
          <w:szCs w:val="24"/>
          <w:lang w:val="en-US"/>
        </w:rPr>
        <w:t xml:space="preserve">. </w:t>
      </w:r>
      <w:r w:rsidR="00196A8F">
        <w:rPr>
          <w:rFonts w:ascii="Times New Roman" w:eastAsia="Calibri" w:hAnsi="Times New Roman" w:cs="Times New Roman"/>
          <w:sz w:val="24"/>
          <w:szCs w:val="24"/>
        </w:rPr>
        <w:t>73.</w:t>
      </w:r>
    </w:p>
    <w:p w:rsidR="007C5729" w:rsidRDefault="007C5729" w:rsidP="004307DF">
      <w:pPr>
        <w:pStyle w:val="a4"/>
        <w:numPr>
          <w:ilvl w:val="0"/>
          <w:numId w:val="3"/>
        </w:numPr>
        <w:tabs>
          <w:tab w:val="left" w:pos="284"/>
        </w:tabs>
        <w:spacing w:after="0" w:line="240" w:lineRule="auto"/>
        <w:ind w:left="0" w:firstLine="0"/>
        <w:jc w:val="both"/>
        <w:rPr>
          <w:rFonts w:ascii="Times New Roman" w:eastAsia="Calibri" w:hAnsi="Times New Roman" w:cs="Times New Roman"/>
          <w:sz w:val="24"/>
          <w:szCs w:val="24"/>
        </w:rPr>
      </w:pPr>
      <w:proofErr w:type="spellStart"/>
      <w:r>
        <w:rPr>
          <w:rFonts w:ascii="Times New Roman" w:eastAsia="Calibri" w:hAnsi="Times New Roman" w:cs="Times New Roman"/>
          <w:sz w:val="24"/>
          <w:szCs w:val="24"/>
        </w:rPr>
        <w:t>Жеребен</w:t>
      </w:r>
      <w:proofErr w:type="spellEnd"/>
      <w:r>
        <w:rPr>
          <w:rFonts w:ascii="Times New Roman" w:eastAsia="Calibri" w:hAnsi="Times New Roman" w:cs="Times New Roman"/>
          <w:sz w:val="24"/>
          <w:szCs w:val="24"/>
        </w:rPr>
        <w:t xml:space="preserve"> Е.В., Л</w:t>
      </w:r>
      <w:r w:rsidRPr="007C5729">
        <w:rPr>
          <w:rFonts w:ascii="Times New Roman" w:eastAsia="Calibri" w:hAnsi="Times New Roman" w:cs="Times New Roman"/>
          <w:sz w:val="24"/>
          <w:szCs w:val="24"/>
        </w:rPr>
        <w:t xml:space="preserve">ипатова </w:t>
      </w:r>
      <w:r>
        <w:rPr>
          <w:rFonts w:ascii="Times New Roman" w:eastAsia="Calibri" w:hAnsi="Times New Roman" w:cs="Times New Roman"/>
          <w:sz w:val="24"/>
          <w:szCs w:val="24"/>
        </w:rPr>
        <w:t>Н.Г. П</w:t>
      </w:r>
      <w:r w:rsidRPr="007C5729">
        <w:rPr>
          <w:rFonts w:ascii="Times New Roman" w:eastAsia="Calibri" w:hAnsi="Times New Roman" w:cs="Times New Roman"/>
          <w:sz w:val="24"/>
          <w:szCs w:val="24"/>
        </w:rPr>
        <w:t>рименение цифровых технологий во взаимодействии таможенных и налоговых органов при проведении таможенного контроля после выпуска товаров</w:t>
      </w:r>
      <w:r>
        <w:rPr>
          <w:rFonts w:ascii="Times New Roman" w:eastAsia="Calibri" w:hAnsi="Times New Roman" w:cs="Times New Roman"/>
          <w:sz w:val="24"/>
          <w:szCs w:val="24"/>
        </w:rPr>
        <w:t xml:space="preserve"> //</w:t>
      </w:r>
      <w:r w:rsidRPr="007C5729">
        <w:t xml:space="preserve"> </w:t>
      </w:r>
      <w:r>
        <w:rPr>
          <w:rFonts w:ascii="Times New Roman" w:eastAsia="Calibri" w:hAnsi="Times New Roman" w:cs="Times New Roman"/>
          <w:sz w:val="24"/>
          <w:szCs w:val="24"/>
        </w:rPr>
        <w:t>Ж</w:t>
      </w:r>
      <w:r w:rsidRPr="007C5729">
        <w:rPr>
          <w:rFonts w:ascii="Times New Roman" w:eastAsia="Calibri" w:hAnsi="Times New Roman" w:cs="Times New Roman"/>
          <w:sz w:val="24"/>
          <w:szCs w:val="24"/>
        </w:rPr>
        <w:t>урнал правовых и экономических исследований</w:t>
      </w:r>
      <w:r>
        <w:rPr>
          <w:rFonts w:ascii="Times New Roman" w:eastAsia="Calibri" w:hAnsi="Times New Roman" w:cs="Times New Roman"/>
          <w:sz w:val="24"/>
          <w:szCs w:val="24"/>
        </w:rPr>
        <w:t xml:space="preserve">. </w:t>
      </w:r>
      <w:r>
        <w:rPr>
          <w:rFonts w:ascii="Times New Roman" w:eastAsia="Calibri" w:hAnsi="Times New Roman" w:cs="Times New Roman"/>
          <w:sz w:val="24"/>
          <w:szCs w:val="24"/>
        </w:rPr>
        <w:sym w:font="Symbol" w:char="F02D"/>
      </w:r>
      <w:r>
        <w:rPr>
          <w:rFonts w:ascii="Times New Roman" w:eastAsia="Calibri" w:hAnsi="Times New Roman" w:cs="Times New Roman"/>
          <w:sz w:val="24"/>
          <w:szCs w:val="24"/>
        </w:rPr>
        <w:t xml:space="preserve"> 2019. </w:t>
      </w:r>
      <w:r>
        <w:rPr>
          <w:rFonts w:ascii="Times New Roman" w:eastAsia="Calibri" w:hAnsi="Times New Roman" w:cs="Times New Roman"/>
          <w:sz w:val="24"/>
          <w:szCs w:val="24"/>
        </w:rPr>
        <w:sym w:font="Symbol" w:char="F02D"/>
      </w:r>
      <w:r>
        <w:rPr>
          <w:rFonts w:ascii="Times New Roman" w:eastAsia="Calibri" w:hAnsi="Times New Roman" w:cs="Times New Roman"/>
          <w:sz w:val="24"/>
          <w:szCs w:val="24"/>
        </w:rPr>
        <w:t xml:space="preserve"> №. 4. </w:t>
      </w:r>
      <w:r>
        <w:rPr>
          <w:rFonts w:ascii="Times New Roman" w:eastAsia="Calibri" w:hAnsi="Times New Roman" w:cs="Times New Roman"/>
          <w:sz w:val="24"/>
          <w:szCs w:val="24"/>
        </w:rPr>
        <w:sym w:font="Symbol" w:char="F02D"/>
      </w:r>
      <w:r>
        <w:rPr>
          <w:rFonts w:ascii="Times New Roman" w:eastAsia="Calibri" w:hAnsi="Times New Roman" w:cs="Times New Roman"/>
          <w:sz w:val="24"/>
          <w:szCs w:val="24"/>
        </w:rPr>
        <w:t xml:space="preserve"> С. </w:t>
      </w:r>
      <w:r w:rsidRPr="007C5729">
        <w:rPr>
          <w:rFonts w:ascii="Times New Roman" w:eastAsia="Calibri" w:hAnsi="Times New Roman" w:cs="Times New Roman"/>
          <w:sz w:val="24"/>
          <w:szCs w:val="24"/>
        </w:rPr>
        <w:t>158-167</w:t>
      </w:r>
      <w:r>
        <w:rPr>
          <w:rFonts w:ascii="Times New Roman" w:eastAsia="Calibri" w:hAnsi="Times New Roman" w:cs="Times New Roman"/>
          <w:sz w:val="24"/>
          <w:szCs w:val="24"/>
        </w:rPr>
        <w:t>.</w:t>
      </w:r>
    </w:p>
    <w:p w:rsidR="00C367DF" w:rsidRPr="00D4652D" w:rsidRDefault="003F68D8" w:rsidP="004307DF">
      <w:pPr>
        <w:pStyle w:val="a4"/>
        <w:numPr>
          <w:ilvl w:val="0"/>
          <w:numId w:val="3"/>
        </w:numPr>
        <w:tabs>
          <w:tab w:val="left" w:pos="284"/>
        </w:tabs>
        <w:spacing w:after="0" w:line="240" w:lineRule="auto"/>
        <w:ind w:left="0" w:firstLine="0"/>
        <w:jc w:val="both"/>
        <w:rPr>
          <w:rFonts w:ascii="Times New Roman" w:eastAsia="Calibri" w:hAnsi="Times New Roman" w:cs="Times New Roman"/>
          <w:sz w:val="24"/>
          <w:szCs w:val="24"/>
        </w:rPr>
      </w:pPr>
      <w:r w:rsidRPr="003F68D8">
        <w:rPr>
          <w:rFonts w:ascii="Times New Roman" w:eastAsia="Calibri" w:hAnsi="Times New Roman" w:cs="Times New Roman"/>
          <w:sz w:val="24"/>
          <w:szCs w:val="24"/>
        </w:rPr>
        <w:t xml:space="preserve">Кузьмина А.В. </w:t>
      </w:r>
      <w:r>
        <w:rPr>
          <w:rFonts w:ascii="Times New Roman" w:eastAsia="Calibri" w:hAnsi="Times New Roman" w:cs="Times New Roman"/>
          <w:sz w:val="24"/>
          <w:szCs w:val="24"/>
        </w:rPr>
        <w:t>П</w:t>
      </w:r>
      <w:r w:rsidRPr="003F68D8">
        <w:rPr>
          <w:rFonts w:ascii="Times New Roman" w:eastAsia="Calibri" w:hAnsi="Times New Roman" w:cs="Times New Roman"/>
          <w:sz w:val="24"/>
          <w:szCs w:val="24"/>
        </w:rPr>
        <w:t xml:space="preserve">роблемы и пути совершенствования проведения таможенного контроля после выпуска товаров // Международный журнал гуманитарных и естественных наук. </w:t>
      </w:r>
      <w:r>
        <w:rPr>
          <w:rFonts w:ascii="Times New Roman" w:eastAsia="Calibri" w:hAnsi="Times New Roman" w:cs="Times New Roman"/>
          <w:sz w:val="24"/>
          <w:szCs w:val="24"/>
        </w:rPr>
        <w:sym w:font="Symbol" w:char="F02D"/>
      </w:r>
      <w:r>
        <w:rPr>
          <w:rFonts w:ascii="Times New Roman" w:eastAsia="Calibri" w:hAnsi="Times New Roman" w:cs="Times New Roman"/>
          <w:sz w:val="24"/>
          <w:szCs w:val="24"/>
        </w:rPr>
        <w:t xml:space="preserve"> </w:t>
      </w:r>
      <w:r w:rsidRPr="003F68D8">
        <w:rPr>
          <w:rFonts w:ascii="Times New Roman" w:eastAsia="Calibri" w:hAnsi="Times New Roman" w:cs="Times New Roman"/>
          <w:sz w:val="24"/>
          <w:szCs w:val="24"/>
        </w:rPr>
        <w:t xml:space="preserve">2021. </w:t>
      </w:r>
      <w:r>
        <w:rPr>
          <w:rFonts w:ascii="Times New Roman" w:eastAsia="Calibri" w:hAnsi="Times New Roman" w:cs="Times New Roman"/>
          <w:sz w:val="24"/>
          <w:szCs w:val="24"/>
        </w:rPr>
        <w:sym w:font="Symbol" w:char="F02D"/>
      </w:r>
      <w:r>
        <w:rPr>
          <w:rFonts w:ascii="Times New Roman" w:eastAsia="Calibri" w:hAnsi="Times New Roman" w:cs="Times New Roman"/>
          <w:sz w:val="24"/>
          <w:szCs w:val="24"/>
        </w:rPr>
        <w:t xml:space="preserve"> №1-3.</w:t>
      </w:r>
    </w:p>
    <w:sectPr w:rsidR="00C367DF" w:rsidRPr="00D4652D" w:rsidSect="000849B5">
      <w:pgSz w:w="11906" w:h="16838"/>
      <w:pgMar w:top="1134" w:right="1133"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485E" w:rsidRDefault="00BA485E" w:rsidP="00EB0884">
      <w:pPr>
        <w:spacing w:after="0" w:line="240" w:lineRule="auto"/>
      </w:pPr>
      <w:r>
        <w:separator/>
      </w:r>
    </w:p>
  </w:endnote>
  <w:endnote w:type="continuationSeparator" w:id="0">
    <w:p w:rsidR="00BA485E" w:rsidRDefault="00BA485E" w:rsidP="00EB08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A0002AEF" w:usb1="4000207B" w:usb2="00000000" w:usb3="00000000" w:csb0="000001FF" w:csb1="00000000"/>
  </w:font>
  <w:font w:name="Georgia">
    <w:altName w:val="Georgia"/>
    <w:panose1 w:val="02040502050405020303"/>
    <w:charset w:val="CC"/>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485E" w:rsidRDefault="00BA485E" w:rsidP="00EB0884">
      <w:pPr>
        <w:spacing w:after="0" w:line="240" w:lineRule="auto"/>
      </w:pPr>
      <w:r>
        <w:separator/>
      </w:r>
    </w:p>
  </w:footnote>
  <w:footnote w:type="continuationSeparator" w:id="0">
    <w:p w:rsidR="00BA485E" w:rsidRDefault="00BA485E" w:rsidP="00EB0884">
      <w:pPr>
        <w:spacing w:after="0" w:line="240" w:lineRule="auto"/>
      </w:pPr>
      <w:r>
        <w:continuationSeparator/>
      </w:r>
    </w:p>
  </w:footnote>
  <w:footnote w:id="1">
    <w:p w:rsidR="00D4652D" w:rsidRPr="00D4652D" w:rsidRDefault="00D4652D">
      <w:pPr>
        <w:pStyle w:val="a5"/>
        <w:rPr>
          <w:rFonts w:ascii="Times New Roman" w:hAnsi="Times New Roman" w:cs="Times New Roman"/>
        </w:rPr>
      </w:pPr>
      <w:r w:rsidRPr="00D4652D">
        <w:rPr>
          <w:rStyle w:val="a7"/>
          <w:rFonts w:ascii="Times New Roman" w:hAnsi="Times New Roman" w:cs="Times New Roman"/>
        </w:rPr>
        <w:footnoteRef/>
      </w:r>
      <w:r w:rsidRPr="00D4652D">
        <w:rPr>
          <w:rFonts w:ascii="Times New Roman" w:hAnsi="Times New Roman" w:cs="Times New Roman"/>
        </w:rPr>
        <w:t xml:space="preserve"> </w:t>
      </w:r>
      <w:r w:rsidRPr="00D4652D">
        <w:rPr>
          <w:rFonts w:ascii="Times New Roman" w:hAnsi="Times New Roman" w:cs="Times New Roman"/>
          <w:sz w:val="18"/>
        </w:rPr>
        <w:t>Поленова Виолетта Сергеевна (Россия, Владивосток) – студентка экономического факультета Владивостокского филиала Российской таможенной академии (Россия, 690034, г. Владивосток, ул. Стрелковая, 16в., polenova2001@mail.ru)</w:t>
      </w:r>
    </w:p>
  </w:footnote>
  <w:footnote w:id="2">
    <w:p w:rsidR="00EB0884" w:rsidRPr="00EB0884" w:rsidRDefault="00EB0884">
      <w:pPr>
        <w:pStyle w:val="a5"/>
        <w:rPr>
          <w:rFonts w:ascii="Times New Roman" w:hAnsi="Times New Roman" w:cs="Times New Roman"/>
        </w:rPr>
      </w:pPr>
      <w:r w:rsidRPr="00EB0884">
        <w:rPr>
          <w:rStyle w:val="a7"/>
          <w:rFonts w:ascii="Times New Roman" w:hAnsi="Times New Roman" w:cs="Times New Roman"/>
        </w:rPr>
        <w:footnoteRef/>
      </w:r>
      <w:r w:rsidRPr="00EB0884">
        <w:rPr>
          <w:rFonts w:ascii="Times New Roman" w:hAnsi="Times New Roman" w:cs="Times New Roman"/>
        </w:rPr>
        <w:t xml:space="preserve"> </w:t>
      </w:r>
      <w:bookmarkStart w:id="0" w:name="_GoBack"/>
      <w:r w:rsidRPr="008A68E9">
        <w:rPr>
          <w:rFonts w:ascii="Times New Roman" w:hAnsi="Times New Roman" w:cs="Times New Roman"/>
          <w:sz w:val="18"/>
        </w:rPr>
        <w:t>Итоги работы отдела контроля таможенной стоимости Владивостокской таможни за 2020-2022 гг.</w:t>
      </w:r>
      <w:bookmarkEnd w:id="0"/>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345611"/>
    <w:multiLevelType w:val="hybridMultilevel"/>
    <w:tmpl w:val="7EE8021A"/>
    <w:lvl w:ilvl="0" w:tplc="42309A1A">
      <w:start w:val="1"/>
      <w:numFmt w:val="decimal"/>
      <w:lvlText w:val="%1."/>
      <w:lvlJc w:val="left"/>
      <w:pPr>
        <w:ind w:left="785" w:hanging="360"/>
      </w:pPr>
      <w:rPr>
        <w:rFonts w:hint="default"/>
      </w:r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1" w15:restartNumberingAfterBreak="0">
    <w:nsid w:val="5C475DCA"/>
    <w:multiLevelType w:val="hybridMultilevel"/>
    <w:tmpl w:val="7D7C9926"/>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2" w15:restartNumberingAfterBreak="0">
    <w:nsid w:val="63D51C44"/>
    <w:multiLevelType w:val="hybridMultilevel"/>
    <w:tmpl w:val="431E69F8"/>
    <w:lvl w:ilvl="0" w:tplc="304C562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21B5"/>
    <w:rsid w:val="000849B5"/>
    <w:rsid w:val="000A2C34"/>
    <w:rsid w:val="001119FF"/>
    <w:rsid w:val="00151058"/>
    <w:rsid w:val="00196A8F"/>
    <w:rsid w:val="001E08AB"/>
    <w:rsid w:val="002C1664"/>
    <w:rsid w:val="00311DA8"/>
    <w:rsid w:val="003621B5"/>
    <w:rsid w:val="003F68D8"/>
    <w:rsid w:val="004307DF"/>
    <w:rsid w:val="00490A0F"/>
    <w:rsid w:val="0049157B"/>
    <w:rsid w:val="004F1B80"/>
    <w:rsid w:val="00525254"/>
    <w:rsid w:val="005301D7"/>
    <w:rsid w:val="00537FFC"/>
    <w:rsid w:val="00547770"/>
    <w:rsid w:val="005E3580"/>
    <w:rsid w:val="005F6B1C"/>
    <w:rsid w:val="00675E9F"/>
    <w:rsid w:val="006A5327"/>
    <w:rsid w:val="00784D55"/>
    <w:rsid w:val="007C5729"/>
    <w:rsid w:val="007C5751"/>
    <w:rsid w:val="007E0287"/>
    <w:rsid w:val="00801FCA"/>
    <w:rsid w:val="0082261F"/>
    <w:rsid w:val="008A68E9"/>
    <w:rsid w:val="00933D03"/>
    <w:rsid w:val="009E2043"/>
    <w:rsid w:val="009F3A53"/>
    <w:rsid w:val="00A0113E"/>
    <w:rsid w:val="00A57AED"/>
    <w:rsid w:val="00AF1E2D"/>
    <w:rsid w:val="00BA485E"/>
    <w:rsid w:val="00BC3849"/>
    <w:rsid w:val="00C2751E"/>
    <w:rsid w:val="00C45A01"/>
    <w:rsid w:val="00C61C62"/>
    <w:rsid w:val="00C666B5"/>
    <w:rsid w:val="00C81787"/>
    <w:rsid w:val="00CC0F64"/>
    <w:rsid w:val="00CF3AA3"/>
    <w:rsid w:val="00D2422E"/>
    <w:rsid w:val="00D4162D"/>
    <w:rsid w:val="00D4652D"/>
    <w:rsid w:val="00DC4C71"/>
    <w:rsid w:val="00E733EA"/>
    <w:rsid w:val="00E805EA"/>
    <w:rsid w:val="00E95C95"/>
    <w:rsid w:val="00EB0884"/>
    <w:rsid w:val="00EB3890"/>
    <w:rsid w:val="00F37361"/>
    <w:rsid w:val="00FB130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975A9A46-4D54-4390-ADE5-248D6E53F8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E0287"/>
  </w:style>
  <w:style w:type="paragraph" w:styleId="2">
    <w:name w:val="heading 2"/>
    <w:basedOn w:val="a"/>
    <w:next w:val="a"/>
    <w:link w:val="20"/>
    <w:uiPriority w:val="9"/>
    <w:semiHidden/>
    <w:unhideWhenUsed/>
    <w:qFormat/>
    <w:rsid w:val="00C61C6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9"/>
    <w:qFormat/>
    <w:rsid w:val="00547770"/>
    <w:pPr>
      <w:widowControl w:val="0"/>
      <w:autoSpaceDE w:val="0"/>
      <w:autoSpaceDN w:val="0"/>
      <w:spacing w:after="0" w:line="240" w:lineRule="auto"/>
      <w:ind w:left="120"/>
      <w:outlineLvl w:val="2"/>
    </w:pPr>
    <w:rPr>
      <w:rFonts w:ascii="Georgia" w:eastAsia="Calibri" w:hAnsi="Georgia" w:cs="Georgia"/>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7E02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99"/>
    <w:qFormat/>
    <w:rsid w:val="007E0287"/>
    <w:pPr>
      <w:ind w:left="720"/>
      <w:contextualSpacing/>
    </w:pPr>
  </w:style>
  <w:style w:type="character" w:customStyle="1" w:styleId="30">
    <w:name w:val="Заголовок 3 Знак"/>
    <w:basedOn w:val="a0"/>
    <w:link w:val="3"/>
    <w:uiPriority w:val="99"/>
    <w:rsid w:val="00547770"/>
    <w:rPr>
      <w:rFonts w:ascii="Georgia" w:eastAsia="Calibri" w:hAnsi="Georgia" w:cs="Georgia"/>
      <w:b/>
      <w:bCs/>
      <w:sz w:val="24"/>
      <w:szCs w:val="24"/>
    </w:rPr>
  </w:style>
  <w:style w:type="paragraph" w:styleId="a5">
    <w:name w:val="footnote text"/>
    <w:basedOn w:val="a"/>
    <w:link w:val="a6"/>
    <w:uiPriority w:val="99"/>
    <w:semiHidden/>
    <w:unhideWhenUsed/>
    <w:rsid w:val="00EB0884"/>
    <w:pPr>
      <w:spacing w:after="0" w:line="240" w:lineRule="auto"/>
    </w:pPr>
    <w:rPr>
      <w:sz w:val="20"/>
      <w:szCs w:val="20"/>
    </w:rPr>
  </w:style>
  <w:style w:type="character" w:customStyle="1" w:styleId="a6">
    <w:name w:val="Текст сноски Знак"/>
    <w:basedOn w:val="a0"/>
    <w:link w:val="a5"/>
    <w:uiPriority w:val="99"/>
    <w:semiHidden/>
    <w:rsid w:val="00EB0884"/>
    <w:rPr>
      <w:sz w:val="20"/>
      <w:szCs w:val="20"/>
    </w:rPr>
  </w:style>
  <w:style w:type="character" w:styleId="a7">
    <w:name w:val="footnote reference"/>
    <w:basedOn w:val="a0"/>
    <w:uiPriority w:val="99"/>
    <w:semiHidden/>
    <w:unhideWhenUsed/>
    <w:rsid w:val="00EB0884"/>
    <w:rPr>
      <w:vertAlign w:val="superscript"/>
    </w:rPr>
  </w:style>
  <w:style w:type="character" w:styleId="a8">
    <w:name w:val="Hyperlink"/>
    <w:basedOn w:val="a0"/>
    <w:uiPriority w:val="99"/>
    <w:unhideWhenUsed/>
    <w:rsid w:val="00EB0884"/>
    <w:rPr>
      <w:color w:val="0563C1" w:themeColor="hyperlink"/>
      <w:u w:val="single"/>
    </w:rPr>
  </w:style>
  <w:style w:type="character" w:customStyle="1" w:styleId="20">
    <w:name w:val="Заголовок 2 Знак"/>
    <w:basedOn w:val="a0"/>
    <w:link w:val="2"/>
    <w:uiPriority w:val="9"/>
    <w:semiHidden/>
    <w:rsid w:val="00C61C62"/>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18884424">
      <w:bodyDiv w:val="1"/>
      <w:marLeft w:val="0"/>
      <w:marRight w:val="0"/>
      <w:marTop w:val="0"/>
      <w:marBottom w:val="0"/>
      <w:divBdr>
        <w:top w:val="none" w:sz="0" w:space="0" w:color="auto"/>
        <w:left w:val="none" w:sz="0" w:space="0" w:color="auto"/>
        <w:bottom w:val="none" w:sz="0" w:space="0" w:color="auto"/>
        <w:right w:val="none" w:sz="0" w:space="0" w:color="auto"/>
      </w:divBdr>
      <w:divsChild>
        <w:div w:id="1055620133">
          <w:marLeft w:val="0"/>
          <w:marRight w:val="0"/>
          <w:marTop w:val="0"/>
          <w:marBottom w:val="0"/>
          <w:divBdr>
            <w:top w:val="none" w:sz="0" w:space="0" w:color="auto"/>
            <w:left w:val="none" w:sz="0" w:space="0" w:color="auto"/>
            <w:bottom w:val="none" w:sz="0" w:space="0" w:color="auto"/>
            <w:right w:val="none" w:sz="0" w:space="0" w:color="auto"/>
          </w:divBdr>
        </w:div>
        <w:div w:id="109204929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diagramDrawing" Target="diagrams/drawing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diagramQuickStyle" Target="diagrams/quickStyle1.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stacked"/>
        <c:varyColors val="0"/>
        <c:ser>
          <c:idx val="0"/>
          <c:order val="0"/>
          <c:tx>
            <c:strRef>
              <c:f>Лист1!$B$1</c:f>
              <c:strCache>
                <c:ptCount val="1"/>
                <c:pt idx="0">
                  <c:v>Количество проверок, начатых по обращению декларанта</c:v>
                </c:pt>
              </c:strCache>
            </c:strRef>
          </c:tx>
          <c:spPr>
            <a:solidFill>
              <a:schemeClr val="dk1">
                <a:tint val="88500"/>
              </a:schemeClr>
            </a:solidFill>
            <a:ln>
              <a:noFill/>
            </a:ln>
            <a:effectLst/>
          </c:spPr>
          <c:invertIfNegative val="0"/>
          <c:cat>
            <c:numRef>
              <c:f>Лист1!$A$2:$A$4</c:f>
              <c:numCache>
                <c:formatCode>General</c:formatCode>
                <c:ptCount val="3"/>
                <c:pt idx="0">
                  <c:v>2020</c:v>
                </c:pt>
                <c:pt idx="1">
                  <c:v>2021</c:v>
                </c:pt>
                <c:pt idx="2">
                  <c:v>2022</c:v>
                </c:pt>
              </c:numCache>
            </c:numRef>
          </c:cat>
          <c:val>
            <c:numRef>
              <c:f>Лист1!$B$2:$B$4</c:f>
              <c:numCache>
                <c:formatCode>General</c:formatCode>
                <c:ptCount val="3"/>
                <c:pt idx="0">
                  <c:v>483</c:v>
                </c:pt>
                <c:pt idx="1">
                  <c:v>675</c:v>
                </c:pt>
                <c:pt idx="2">
                  <c:v>1278</c:v>
                </c:pt>
              </c:numCache>
            </c:numRef>
          </c:val>
          <c:extLst>
            <c:ext xmlns:c16="http://schemas.microsoft.com/office/drawing/2014/chart" uri="{C3380CC4-5D6E-409C-BE32-E72D297353CC}">
              <c16:uniqueId val="{00000000-85D4-4560-B233-CE0FBF363175}"/>
            </c:ext>
          </c:extLst>
        </c:ser>
        <c:ser>
          <c:idx val="1"/>
          <c:order val="1"/>
          <c:tx>
            <c:strRef>
              <c:f>Лист1!$C$1</c:f>
              <c:strCache>
                <c:ptCount val="1"/>
                <c:pt idx="0">
                  <c:v>Количество проверок, начатых в результете аналитической работы ТО</c:v>
                </c:pt>
              </c:strCache>
            </c:strRef>
          </c:tx>
          <c:spPr>
            <a:solidFill>
              <a:schemeClr val="dk1">
                <a:tint val="55000"/>
              </a:schemeClr>
            </a:solidFill>
            <a:ln>
              <a:noFill/>
            </a:ln>
            <a:effectLst/>
          </c:spPr>
          <c:invertIfNegative val="0"/>
          <c:cat>
            <c:numRef>
              <c:f>Лист1!$A$2:$A$4</c:f>
              <c:numCache>
                <c:formatCode>General</c:formatCode>
                <c:ptCount val="3"/>
                <c:pt idx="0">
                  <c:v>2020</c:v>
                </c:pt>
                <c:pt idx="1">
                  <c:v>2021</c:v>
                </c:pt>
                <c:pt idx="2">
                  <c:v>2022</c:v>
                </c:pt>
              </c:numCache>
            </c:numRef>
          </c:cat>
          <c:val>
            <c:numRef>
              <c:f>Лист1!$C$2:$C$4</c:f>
              <c:numCache>
                <c:formatCode>General</c:formatCode>
                <c:ptCount val="3"/>
                <c:pt idx="0">
                  <c:v>170</c:v>
                </c:pt>
                <c:pt idx="1">
                  <c:v>232</c:v>
                </c:pt>
                <c:pt idx="2">
                  <c:v>837</c:v>
                </c:pt>
              </c:numCache>
            </c:numRef>
          </c:val>
          <c:extLst>
            <c:ext xmlns:c16="http://schemas.microsoft.com/office/drawing/2014/chart" uri="{C3380CC4-5D6E-409C-BE32-E72D297353CC}">
              <c16:uniqueId val="{00000001-85D4-4560-B233-CE0FBF363175}"/>
            </c:ext>
          </c:extLst>
        </c:ser>
        <c:dLbls>
          <c:showLegendKey val="0"/>
          <c:showVal val="0"/>
          <c:showCatName val="0"/>
          <c:showSerName val="0"/>
          <c:showPercent val="0"/>
          <c:showBubbleSize val="0"/>
        </c:dLbls>
        <c:gapWidth val="219"/>
        <c:overlap val="100"/>
        <c:axId val="616999871"/>
        <c:axId val="617003615"/>
      </c:barChart>
      <c:catAx>
        <c:axId val="61699987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17003615"/>
        <c:crosses val="autoZero"/>
        <c:auto val="1"/>
        <c:lblAlgn val="ctr"/>
        <c:lblOffset val="100"/>
        <c:noMultiLvlLbl val="0"/>
      </c:catAx>
      <c:valAx>
        <c:axId val="61700361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1699987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1DCDF7E-1F1F-478F-BA37-0ABD7AEAFE83}" type="doc">
      <dgm:prSet loTypeId="urn:microsoft.com/office/officeart/2005/8/layout/vList2" loCatId="list" qsTypeId="urn:microsoft.com/office/officeart/2005/8/quickstyle/simple2" qsCatId="simple" csTypeId="urn:microsoft.com/office/officeart/2005/8/colors/accent3_1" csCatId="accent3" phldr="1"/>
      <dgm:spPr/>
      <dgm:t>
        <a:bodyPr/>
        <a:lstStyle/>
        <a:p>
          <a:endParaRPr lang="ru-RU"/>
        </a:p>
      </dgm:t>
    </dgm:pt>
    <dgm:pt modelId="{F4B77A53-D9BA-4B80-A755-EBA9CFE103D9}">
      <dgm:prSet phldrT="[Текст]" custT="1"/>
      <dgm:spPr>
        <a:xfrm>
          <a:off x="0" y="2716200"/>
          <a:ext cx="5486400" cy="468000"/>
        </a:xfrm>
        <a:prstGeom prst="roundRect">
          <a:avLst/>
        </a:prstGeom>
      </dgm:spPr>
      <dgm:t>
        <a:bodyPr/>
        <a:lstStyle/>
        <a:p>
          <a:r>
            <a:rPr lang="ru-RU" sz="1200" b="0" i="0">
              <a:latin typeface="Times New Roman" panose="02020603050405020304" pitchFamily="18" charset="0"/>
              <a:ea typeface="+mn-ea"/>
              <a:cs typeface="Times New Roman" panose="02020603050405020304" pitchFamily="18" charset="0"/>
            </a:rPr>
            <a:t>Количество переданной информаии в иные государственные органы власти</a:t>
          </a:r>
          <a:endParaRPr lang="ru-RU" sz="1200">
            <a:latin typeface="Times New Roman" panose="02020603050405020304" pitchFamily="18" charset="0"/>
            <a:ea typeface="+mn-ea"/>
            <a:cs typeface="Times New Roman" panose="02020603050405020304" pitchFamily="18" charset="0"/>
          </a:endParaRPr>
        </a:p>
      </dgm:t>
    </dgm:pt>
    <dgm:pt modelId="{E5195C95-4205-4EB5-A058-40E50A2ABF7B}" type="parTrans" cxnId="{AB12032D-7732-487A-A472-F1AC7302AFFF}">
      <dgm:prSet/>
      <dgm:spPr/>
      <dgm:t>
        <a:bodyPr/>
        <a:lstStyle/>
        <a:p>
          <a:endParaRPr lang="ru-RU" sz="1200">
            <a:latin typeface="Times New Roman" panose="02020603050405020304" pitchFamily="18" charset="0"/>
            <a:cs typeface="Times New Roman" panose="02020603050405020304" pitchFamily="18" charset="0"/>
          </a:endParaRPr>
        </a:p>
      </dgm:t>
    </dgm:pt>
    <dgm:pt modelId="{00A34E3E-DDB6-49C7-99DF-85565D8231C7}" type="sibTrans" cxnId="{AB12032D-7732-487A-A472-F1AC7302AFFF}">
      <dgm:prSet/>
      <dgm:spPr/>
      <dgm:t>
        <a:bodyPr/>
        <a:lstStyle/>
        <a:p>
          <a:endParaRPr lang="ru-RU" sz="1200">
            <a:latin typeface="Times New Roman" panose="02020603050405020304" pitchFamily="18" charset="0"/>
            <a:cs typeface="Times New Roman" panose="02020603050405020304" pitchFamily="18" charset="0"/>
          </a:endParaRPr>
        </a:p>
      </dgm:t>
    </dgm:pt>
    <dgm:pt modelId="{820BCEE4-F324-4663-A7EC-90888068AA31}">
      <dgm:prSet custT="1"/>
      <dgm:spPr>
        <a:xfrm>
          <a:off x="0" y="556200"/>
          <a:ext cx="5486400" cy="468000"/>
        </a:xfrm>
        <a:prstGeom prst="roundRect">
          <a:avLst/>
        </a:prstGeom>
      </dgm:spPr>
      <dgm:t>
        <a:bodyPr/>
        <a:lstStyle/>
        <a:p>
          <a:r>
            <a:rPr lang="ru-RU" sz="1200" b="0" i="0">
              <a:latin typeface="Times New Roman" panose="02020603050405020304" pitchFamily="18" charset="0"/>
              <a:ea typeface="+mn-ea"/>
              <a:cs typeface="Times New Roman" panose="02020603050405020304" pitchFamily="18" charset="0"/>
            </a:rPr>
            <a:t>Сумма дополнительно начисленных денежных средств</a:t>
          </a:r>
          <a:endParaRPr lang="ru-RU" sz="1200">
            <a:latin typeface="Times New Roman" panose="02020603050405020304" pitchFamily="18" charset="0"/>
            <a:ea typeface="+mn-ea"/>
            <a:cs typeface="Times New Roman" panose="02020603050405020304" pitchFamily="18" charset="0"/>
          </a:endParaRPr>
        </a:p>
      </dgm:t>
    </dgm:pt>
    <dgm:pt modelId="{627F8C0B-850A-447B-808C-BFA4DB8A48CF}" type="parTrans" cxnId="{E2B353C8-217D-412F-BB4D-76A48FA33B24}">
      <dgm:prSet/>
      <dgm:spPr/>
      <dgm:t>
        <a:bodyPr/>
        <a:lstStyle/>
        <a:p>
          <a:endParaRPr lang="ru-RU" sz="1200">
            <a:latin typeface="Times New Roman" panose="02020603050405020304" pitchFamily="18" charset="0"/>
            <a:cs typeface="Times New Roman" panose="02020603050405020304" pitchFamily="18" charset="0"/>
          </a:endParaRPr>
        </a:p>
      </dgm:t>
    </dgm:pt>
    <dgm:pt modelId="{49AE8463-C42B-4F31-AFBD-3471B5B420F9}" type="sibTrans" cxnId="{E2B353C8-217D-412F-BB4D-76A48FA33B24}">
      <dgm:prSet/>
      <dgm:spPr/>
      <dgm:t>
        <a:bodyPr/>
        <a:lstStyle/>
        <a:p>
          <a:endParaRPr lang="ru-RU" sz="1200">
            <a:latin typeface="Times New Roman" panose="02020603050405020304" pitchFamily="18" charset="0"/>
            <a:cs typeface="Times New Roman" panose="02020603050405020304" pitchFamily="18" charset="0"/>
          </a:endParaRPr>
        </a:p>
      </dgm:t>
    </dgm:pt>
    <dgm:pt modelId="{9C21EE86-75D8-49C2-A11E-50A28F72856B}">
      <dgm:prSet custT="1"/>
      <dgm:spPr>
        <a:xfrm>
          <a:off x="0" y="1096200"/>
          <a:ext cx="5486400" cy="468000"/>
        </a:xfrm>
        <a:prstGeom prst="roundRect">
          <a:avLst/>
        </a:prstGeom>
      </dgm:spPr>
      <dgm:t>
        <a:bodyPr/>
        <a:lstStyle/>
        <a:p>
          <a:r>
            <a:rPr lang="ru-RU" sz="1200" b="0" i="0">
              <a:latin typeface="Times New Roman" panose="02020603050405020304" pitchFamily="18" charset="0"/>
              <a:ea typeface="+mn-ea"/>
              <a:cs typeface="Times New Roman" panose="02020603050405020304" pitchFamily="18" charset="0"/>
            </a:rPr>
            <a:t>Сумма фактически взысканных денежных средств</a:t>
          </a:r>
          <a:endParaRPr lang="ru-RU" sz="1200">
            <a:latin typeface="Times New Roman" panose="02020603050405020304" pitchFamily="18" charset="0"/>
            <a:ea typeface="+mn-ea"/>
            <a:cs typeface="Times New Roman" panose="02020603050405020304" pitchFamily="18" charset="0"/>
          </a:endParaRPr>
        </a:p>
      </dgm:t>
    </dgm:pt>
    <dgm:pt modelId="{398599B5-826C-46D6-B04C-F8A9FE8028EA}" type="parTrans" cxnId="{6EE0AD54-D013-4E9F-883B-B22533B99F06}">
      <dgm:prSet/>
      <dgm:spPr/>
      <dgm:t>
        <a:bodyPr/>
        <a:lstStyle/>
        <a:p>
          <a:endParaRPr lang="ru-RU" sz="1200">
            <a:latin typeface="Times New Roman" panose="02020603050405020304" pitchFamily="18" charset="0"/>
            <a:cs typeface="Times New Roman" panose="02020603050405020304" pitchFamily="18" charset="0"/>
          </a:endParaRPr>
        </a:p>
      </dgm:t>
    </dgm:pt>
    <dgm:pt modelId="{D7BA96CB-0C12-4C4D-9D44-6677249E0573}" type="sibTrans" cxnId="{6EE0AD54-D013-4E9F-883B-B22533B99F06}">
      <dgm:prSet/>
      <dgm:spPr/>
      <dgm:t>
        <a:bodyPr/>
        <a:lstStyle/>
        <a:p>
          <a:endParaRPr lang="ru-RU" sz="1200">
            <a:latin typeface="Times New Roman" panose="02020603050405020304" pitchFamily="18" charset="0"/>
            <a:cs typeface="Times New Roman" panose="02020603050405020304" pitchFamily="18" charset="0"/>
          </a:endParaRPr>
        </a:p>
      </dgm:t>
    </dgm:pt>
    <dgm:pt modelId="{127646EE-CD86-4DEA-94BD-947CC66B8DFA}">
      <dgm:prSet custT="1"/>
      <dgm:spPr>
        <a:xfrm>
          <a:off x="0" y="2176200"/>
          <a:ext cx="5486400" cy="468000"/>
        </a:xfrm>
        <a:prstGeom prst="roundRect">
          <a:avLst/>
        </a:prstGeom>
      </dgm:spPr>
      <dgm:t>
        <a:bodyPr/>
        <a:lstStyle/>
        <a:p>
          <a:r>
            <a:rPr lang="ru-RU" sz="1200" b="0" i="0">
              <a:latin typeface="Times New Roman" panose="02020603050405020304" pitchFamily="18" charset="0"/>
              <a:ea typeface="+mn-ea"/>
              <a:cs typeface="Times New Roman" panose="02020603050405020304" pitchFamily="18" charset="0"/>
            </a:rPr>
            <a:t>Количество возбужденных административных дел о нарушениях таможенных правил</a:t>
          </a:r>
          <a:endParaRPr lang="ru-RU" sz="1200">
            <a:latin typeface="Times New Roman" panose="02020603050405020304" pitchFamily="18" charset="0"/>
            <a:ea typeface="+mn-ea"/>
            <a:cs typeface="Times New Roman" panose="02020603050405020304" pitchFamily="18" charset="0"/>
          </a:endParaRPr>
        </a:p>
      </dgm:t>
    </dgm:pt>
    <dgm:pt modelId="{80E421A4-3044-49AC-8915-95FAE7C33AC1}" type="parTrans" cxnId="{5D5A2B82-AA72-4FBA-8923-03F879F4F8C9}">
      <dgm:prSet/>
      <dgm:spPr/>
      <dgm:t>
        <a:bodyPr/>
        <a:lstStyle/>
        <a:p>
          <a:endParaRPr lang="ru-RU" sz="1200">
            <a:latin typeface="Times New Roman" panose="02020603050405020304" pitchFamily="18" charset="0"/>
            <a:cs typeface="Times New Roman" panose="02020603050405020304" pitchFamily="18" charset="0"/>
          </a:endParaRPr>
        </a:p>
      </dgm:t>
    </dgm:pt>
    <dgm:pt modelId="{A875B2AB-437C-4317-8A45-22F050E5F7B9}" type="sibTrans" cxnId="{5D5A2B82-AA72-4FBA-8923-03F879F4F8C9}">
      <dgm:prSet/>
      <dgm:spPr/>
      <dgm:t>
        <a:bodyPr/>
        <a:lstStyle/>
        <a:p>
          <a:endParaRPr lang="ru-RU" sz="1200">
            <a:latin typeface="Times New Roman" panose="02020603050405020304" pitchFamily="18" charset="0"/>
            <a:cs typeface="Times New Roman" panose="02020603050405020304" pitchFamily="18" charset="0"/>
          </a:endParaRPr>
        </a:p>
      </dgm:t>
    </dgm:pt>
    <dgm:pt modelId="{4194857A-6779-455D-AD0A-8100B7FACA5E}">
      <dgm:prSet custT="1"/>
      <dgm:spPr>
        <a:xfrm>
          <a:off x="0" y="1636200"/>
          <a:ext cx="5486400" cy="468000"/>
        </a:xfrm>
        <a:prstGeom prst="roundRect">
          <a:avLst/>
        </a:prstGeom>
      </dgm:spPr>
      <dgm:t>
        <a:bodyPr/>
        <a:lstStyle/>
        <a:p>
          <a:r>
            <a:rPr lang="ru-RU" sz="1200" b="0" i="0">
              <a:latin typeface="Times New Roman" panose="02020603050405020304" pitchFamily="18" charset="0"/>
              <a:ea typeface="+mn-ea"/>
              <a:cs typeface="Times New Roman" panose="02020603050405020304" pitchFamily="18" charset="0"/>
            </a:rPr>
            <a:t>Количество уголовных дел о нарушениях таможенных правил</a:t>
          </a:r>
          <a:endParaRPr lang="ru-RU" sz="1200">
            <a:latin typeface="Times New Roman" panose="02020603050405020304" pitchFamily="18" charset="0"/>
            <a:ea typeface="+mn-ea"/>
            <a:cs typeface="Times New Roman" panose="02020603050405020304" pitchFamily="18" charset="0"/>
          </a:endParaRPr>
        </a:p>
      </dgm:t>
    </dgm:pt>
    <dgm:pt modelId="{28EA6206-9D24-4A53-9D9F-E93E2A60D6C1}" type="parTrans" cxnId="{8DFEC33F-0BD6-4A47-9A96-8AA1B1665C82}">
      <dgm:prSet/>
      <dgm:spPr/>
      <dgm:t>
        <a:bodyPr/>
        <a:lstStyle/>
        <a:p>
          <a:endParaRPr lang="ru-RU" sz="1200">
            <a:latin typeface="Times New Roman" panose="02020603050405020304" pitchFamily="18" charset="0"/>
            <a:cs typeface="Times New Roman" panose="02020603050405020304" pitchFamily="18" charset="0"/>
          </a:endParaRPr>
        </a:p>
      </dgm:t>
    </dgm:pt>
    <dgm:pt modelId="{47089981-B9B4-42BB-ABFB-E9D398D4BFCE}" type="sibTrans" cxnId="{8DFEC33F-0BD6-4A47-9A96-8AA1B1665C82}">
      <dgm:prSet/>
      <dgm:spPr/>
      <dgm:t>
        <a:bodyPr/>
        <a:lstStyle/>
        <a:p>
          <a:endParaRPr lang="ru-RU" sz="1200">
            <a:latin typeface="Times New Roman" panose="02020603050405020304" pitchFamily="18" charset="0"/>
            <a:cs typeface="Times New Roman" panose="02020603050405020304" pitchFamily="18" charset="0"/>
          </a:endParaRPr>
        </a:p>
      </dgm:t>
    </dgm:pt>
    <dgm:pt modelId="{C52BA608-FC1A-4998-8ED7-5FB2F3754577}">
      <dgm:prSet phldrT="[Текст]" custT="1"/>
      <dgm:spPr>
        <a:xfrm>
          <a:off x="0" y="16200"/>
          <a:ext cx="5486400" cy="468000"/>
        </a:xfrm>
        <a:prstGeom prst="roundRect">
          <a:avLst/>
        </a:prstGeom>
      </dgm:spPr>
      <dgm:t>
        <a:bodyPr/>
        <a:lstStyle/>
        <a:p>
          <a:r>
            <a:rPr lang="ru-RU" sz="1200" b="0" i="0">
              <a:latin typeface="Times New Roman" panose="02020603050405020304" pitchFamily="18" charset="0"/>
              <a:ea typeface="+mn-ea"/>
              <a:cs typeface="Times New Roman" panose="02020603050405020304" pitchFamily="18" charset="0"/>
            </a:rPr>
            <a:t>Количество проведенных таможенных проверок</a:t>
          </a:r>
          <a:endParaRPr lang="ru-RU" sz="1200">
            <a:latin typeface="Times New Roman" panose="02020603050405020304" pitchFamily="18" charset="0"/>
            <a:ea typeface="+mn-ea"/>
            <a:cs typeface="Times New Roman" panose="02020603050405020304" pitchFamily="18" charset="0"/>
          </a:endParaRPr>
        </a:p>
      </dgm:t>
    </dgm:pt>
    <dgm:pt modelId="{7E77710D-F09C-4A17-AE85-8F0F3F2D8F6D}" type="sibTrans" cxnId="{6D4457F2-4A29-4D74-9D7F-405D72AB2467}">
      <dgm:prSet/>
      <dgm:spPr/>
      <dgm:t>
        <a:bodyPr/>
        <a:lstStyle/>
        <a:p>
          <a:endParaRPr lang="ru-RU" sz="1200">
            <a:latin typeface="Times New Roman" panose="02020603050405020304" pitchFamily="18" charset="0"/>
            <a:cs typeface="Times New Roman" panose="02020603050405020304" pitchFamily="18" charset="0"/>
          </a:endParaRPr>
        </a:p>
      </dgm:t>
    </dgm:pt>
    <dgm:pt modelId="{E33EDDF5-AF00-4913-A40E-A7CC4D7B13B0}" type="parTrans" cxnId="{6D4457F2-4A29-4D74-9D7F-405D72AB2467}">
      <dgm:prSet/>
      <dgm:spPr/>
      <dgm:t>
        <a:bodyPr/>
        <a:lstStyle/>
        <a:p>
          <a:endParaRPr lang="ru-RU" sz="1200">
            <a:latin typeface="Times New Roman" panose="02020603050405020304" pitchFamily="18" charset="0"/>
            <a:cs typeface="Times New Roman" panose="02020603050405020304" pitchFamily="18" charset="0"/>
          </a:endParaRPr>
        </a:p>
      </dgm:t>
    </dgm:pt>
    <dgm:pt modelId="{DBF4A476-67D6-4424-B899-B9C593DFB299}" type="pres">
      <dgm:prSet presAssocID="{01DCDF7E-1F1F-478F-BA37-0ABD7AEAFE83}" presName="linear" presStyleCnt="0">
        <dgm:presLayoutVars>
          <dgm:animLvl val="lvl"/>
          <dgm:resizeHandles val="exact"/>
        </dgm:presLayoutVars>
      </dgm:prSet>
      <dgm:spPr/>
      <dgm:t>
        <a:bodyPr/>
        <a:lstStyle/>
        <a:p>
          <a:endParaRPr lang="ru-RU"/>
        </a:p>
      </dgm:t>
    </dgm:pt>
    <dgm:pt modelId="{86674AEE-51B1-4F31-AB71-18A8D2F6F9B3}" type="pres">
      <dgm:prSet presAssocID="{C52BA608-FC1A-4998-8ED7-5FB2F3754577}" presName="parentText" presStyleLbl="node1" presStyleIdx="0" presStyleCnt="6">
        <dgm:presLayoutVars>
          <dgm:chMax val="0"/>
          <dgm:bulletEnabled val="1"/>
        </dgm:presLayoutVars>
      </dgm:prSet>
      <dgm:spPr/>
      <dgm:t>
        <a:bodyPr/>
        <a:lstStyle/>
        <a:p>
          <a:endParaRPr lang="ru-RU"/>
        </a:p>
      </dgm:t>
    </dgm:pt>
    <dgm:pt modelId="{264642A3-B2B5-4730-8188-11589C30D66A}" type="pres">
      <dgm:prSet presAssocID="{7E77710D-F09C-4A17-AE85-8F0F3F2D8F6D}" presName="spacer" presStyleCnt="0"/>
      <dgm:spPr/>
      <dgm:t>
        <a:bodyPr/>
        <a:lstStyle/>
        <a:p>
          <a:endParaRPr lang="ru-RU"/>
        </a:p>
      </dgm:t>
    </dgm:pt>
    <dgm:pt modelId="{970851F6-1980-40D0-B0EE-43394E67A1BF}" type="pres">
      <dgm:prSet presAssocID="{820BCEE4-F324-4663-A7EC-90888068AA31}" presName="parentText" presStyleLbl="node1" presStyleIdx="1" presStyleCnt="6">
        <dgm:presLayoutVars>
          <dgm:chMax val="0"/>
          <dgm:bulletEnabled val="1"/>
        </dgm:presLayoutVars>
      </dgm:prSet>
      <dgm:spPr/>
      <dgm:t>
        <a:bodyPr/>
        <a:lstStyle/>
        <a:p>
          <a:endParaRPr lang="ru-RU"/>
        </a:p>
      </dgm:t>
    </dgm:pt>
    <dgm:pt modelId="{ACF8DB0F-B67B-400C-8955-D78782ADC859}" type="pres">
      <dgm:prSet presAssocID="{49AE8463-C42B-4F31-AFBD-3471B5B420F9}" presName="spacer" presStyleCnt="0"/>
      <dgm:spPr/>
      <dgm:t>
        <a:bodyPr/>
        <a:lstStyle/>
        <a:p>
          <a:endParaRPr lang="ru-RU"/>
        </a:p>
      </dgm:t>
    </dgm:pt>
    <dgm:pt modelId="{DDC83B19-72DB-493B-B6F1-DE38822A3C75}" type="pres">
      <dgm:prSet presAssocID="{9C21EE86-75D8-49C2-A11E-50A28F72856B}" presName="parentText" presStyleLbl="node1" presStyleIdx="2" presStyleCnt="6">
        <dgm:presLayoutVars>
          <dgm:chMax val="0"/>
          <dgm:bulletEnabled val="1"/>
        </dgm:presLayoutVars>
      </dgm:prSet>
      <dgm:spPr/>
      <dgm:t>
        <a:bodyPr/>
        <a:lstStyle/>
        <a:p>
          <a:endParaRPr lang="ru-RU"/>
        </a:p>
      </dgm:t>
    </dgm:pt>
    <dgm:pt modelId="{56AFF1B3-2020-4AD9-B1B5-4E2CEE2C0289}" type="pres">
      <dgm:prSet presAssocID="{D7BA96CB-0C12-4C4D-9D44-6677249E0573}" presName="spacer" presStyleCnt="0"/>
      <dgm:spPr/>
      <dgm:t>
        <a:bodyPr/>
        <a:lstStyle/>
        <a:p>
          <a:endParaRPr lang="ru-RU"/>
        </a:p>
      </dgm:t>
    </dgm:pt>
    <dgm:pt modelId="{8171781F-4AEF-41A9-B5B7-AF0543CC5C10}" type="pres">
      <dgm:prSet presAssocID="{4194857A-6779-455D-AD0A-8100B7FACA5E}" presName="parentText" presStyleLbl="node1" presStyleIdx="3" presStyleCnt="6" custLinFactNeighborX="-14062">
        <dgm:presLayoutVars>
          <dgm:chMax val="0"/>
          <dgm:bulletEnabled val="1"/>
        </dgm:presLayoutVars>
      </dgm:prSet>
      <dgm:spPr/>
      <dgm:t>
        <a:bodyPr/>
        <a:lstStyle/>
        <a:p>
          <a:endParaRPr lang="ru-RU"/>
        </a:p>
      </dgm:t>
    </dgm:pt>
    <dgm:pt modelId="{B6F4838B-3B6B-4572-A011-0068E4B474C8}" type="pres">
      <dgm:prSet presAssocID="{47089981-B9B4-42BB-ABFB-E9D398D4BFCE}" presName="spacer" presStyleCnt="0"/>
      <dgm:spPr/>
      <dgm:t>
        <a:bodyPr/>
        <a:lstStyle/>
        <a:p>
          <a:endParaRPr lang="ru-RU"/>
        </a:p>
      </dgm:t>
    </dgm:pt>
    <dgm:pt modelId="{51F5C130-8066-4A03-997E-512C8C66CE7D}" type="pres">
      <dgm:prSet presAssocID="{127646EE-CD86-4DEA-94BD-947CC66B8DFA}" presName="parentText" presStyleLbl="node1" presStyleIdx="4" presStyleCnt="6">
        <dgm:presLayoutVars>
          <dgm:chMax val="0"/>
          <dgm:bulletEnabled val="1"/>
        </dgm:presLayoutVars>
      </dgm:prSet>
      <dgm:spPr/>
      <dgm:t>
        <a:bodyPr/>
        <a:lstStyle/>
        <a:p>
          <a:endParaRPr lang="ru-RU"/>
        </a:p>
      </dgm:t>
    </dgm:pt>
    <dgm:pt modelId="{2BA31906-018D-46AF-8683-DAAC628664C3}" type="pres">
      <dgm:prSet presAssocID="{A875B2AB-437C-4317-8A45-22F050E5F7B9}" presName="spacer" presStyleCnt="0"/>
      <dgm:spPr/>
      <dgm:t>
        <a:bodyPr/>
        <a:lstStyle/>
        <a:p>
          <a:endParaRPr lang="ru-RU"/>
        </a:p>
      </dgm:t>
    </dgm:pt>
    <dgm:pt modelId="{E4BB4093-9D2B-48C2-B3BB-ED73056273F0}" type="pres">
      <dgm:prSet presAssocID="{F4B77A53-D9BA-4B80-A755-EBA9CFE103D9}" presName="parentText" presStyleLbl="node1" presStyleIdx="5" presStyleCnt="6">
        <dgm:presLayoutVars>
          <dgm:chMax val="0"/>
          <dgm:bulletEnabled val="1"/>
        </dgm:presLayoutVars>
      </dgm:prSet>
      <dgm:spPr/>
      <dgm:t>
        <a:bodyPr/>
        <a:lstStyle/>
        <a:p>
          <a:endParaRPr lang="ru-RU"/>
        </a:p>
      </dgm:t>
    </dgm:pt>
  </dgm:ptLst>
  <dgm:cxnLst>
    <dgm:cxn modelId="{5D5A2B82-AA72-4FBA-8923-03F879F4F8C9}" srcId="{01DCDF7E-1F1F-478F-BA37-0ABD7AEAFE83}" destId="{127646EE-CD86-4DEA-94BD-947CC66B8DFA}" srcOrd="4" destOrd="0" parTransId="{80E421A4-3044-49AC-8915-95FAE7C33AC1}" sibTransId="{A875B2AB-437C-4317-8A45-22F050E5F7B9}"/>
    <dgm:cxn modelId="{0136E2A8-8321-4D71-AF5B-7DE2A63184A6}" type="presOf" srcId="{820BCEE4-F324-4663-A7EC-90888068AA31}" destId="{970851F6-1980-40D0-B0EE-43394E67A1BF}" srcOrd="0" destOrd="0" presId="urn:microsoft.com/office/officeart/2005/8/layout/vList2"/>
    <dgm:cxn modelId="{CC762F68-A12E-4349-9D9E-B4C35C9D64D6}" type="presOf" srcId="{C52BA608-FC1A-4998-8ED7-5FB2F3754577}" destId="{86674AEE-51B1-4F31-AB71-18A8D2F6F9B3}" srcOrd="0" destOrd="0" presId="urn:microsoft.com/office/officeart/2005/8/layout/vList2"/>
    <dgm:cxn modelId="{6EE0AD54-D013-4E9F-883B-B22533B99F06}" srcId="{01DCDF7E-1F1F-478F-BA37-0ABD7AEAFE83}" destId="{9C21EE86-75D8-49C2-A11E-50A28F72856B}" srcOrd="2" destOrd="0" parTransId="{398599B5-826C-46D6-B04C-F8A9FE8028EA}" sibTransId="{D7BA96CB-0C12-4C4D-9D44-6677249E0573}"/>
    <dgm:cxn modelId="{3C6B01C7-BEE8-43CF-AC00-BB46CEEF5E4B}" type="presOf" srcId="{01DCDF7E-1F1F-478F-BA37-0ABD7AEAFE83}" destId="{DBF4A476-67D6-4424-B899-B9C593DFB299}" srcOrd="0" destOrd="0" presId="urn:microsoft.com/office/officeart/2005/8/layout/vList2"/>
    <dgm:cxn modelId="{E2B353C8-217D-412F-BB4D-76A48FA33B24}" srcId="{01DCDF7E-1F1F-478F-BA37-0ABD7AEAFE83}" destId="{820BCEE4-F324-4663-A7EC-90888068AA31}" srcOrd="1" destOrd="0" parTransId="{627F8C0B-850A-447B-808C-BFA4DB8A48CF}" sibTransId="{49AE8463-C42B-4F31-AFBD-3471B5B420F9}"/>
    <dgm:cxn modelId="{4AB74E7A-C4DF-49C3-81AD-E4C247CF4C31}" type="presOf" srcId="{4194857A-6779-455D-AD0A-8100B7FACA5E}" destId="{8171781F-4AEF-41A9-B5B7-AF0543CC5C10}" srcOrd="0" destOrd="0" presId="urn:microsoft.com/office/officeart/2005/8/layout/vList2"/>
    <dgm:cxn modelId="{563C09E8-F5EB-4530-B3C1-8EE417A8DBBF}" type="presOf" srcId="{F4B77A53-D9BA-4B80-A755-EBA9CFE103D9}" destId="{E4BB4093-9D2B-48C2-B3BB-ED73056273F0}" srcOrd="0" destOrd="0" presId="urn:microsoft.com/office/officeart/2005/8/layout/vList2"/>
    <dgm:cxn modelId="{6D4457F2-4A29-4D74-9D7F-405D72AB2467}" srcId="{01DCDF7E-1F1F-478F-BA37-0ABD7AEAFE83}" destId="{C52BA608-FC1A-4998-8ED7-5FB2F3754577}" srcOrd="0" destOrd="0" parTransId="{E33EDDF5-AF00-4913-A40E-A7CC4D7B13B0}" sibTransId="{7E77710D-F09C-4A17-AE85-8F0F3F2D8F6D}"/>
    <dgm:cxn modelId="{F9081969-7713-4B61-B5C3-051BC0CD1B23}" type="presOf" srcId="{127646EE-CD86-4DEA-94BD-947CC66B8DFA}" destId="{51F5C130-8066-4A03-997E-512C8C66CE7D}" srcOrd="0" destOrd="0" presId="urn:microsoft.com/office/officeart/2005/8/layout/vList2"/>
    <dgm:cxn modelId="{AB12032D-7732-487A-A472-F1AC7302AFFF}" srcId="{01DCDF7E-1F1F-478F-BA37-0ABD7AEAFE83}" destId="{F4B77A53-D9BA-4B80-A755-EBA9CFE103D9}" srcOrd="5" destOrd="0" parTransId="{E5195C95-4205-4EB5-A058-40E50A2ABF7B}" sibTransId="{00A34E3E-DDB6-49C7-99DF-85565D8231C7}"/>
    <dgm:cxn modelId="{8DFEC33F-0BD6-4A47-9A96-8AA1B1665C82}" srcId="{01DCDF7E-1F1F-478F-BA37-0ABD7AEAFE83}" destId="{4194857A-6779-455D-AD0A-8100B7FACA5E}" srcOrd="3" destOrd="0" parTransId="{28EA6206-9D24-4A53-9D9F-E93E2A60D6C1}" sibTransId="{47089981-B9B4-42BB-ABFB-E9D398D4BFCE}"/>
    <dgm:cxn modelId="{18D39C56-A839-403F-B89A-558D233640D6}" type="presOf" srcId="{9C21EE86-75D8-49C2-A11E-50A28F72856B}" destId="{DDC83B19-72DB-493B-B6F1-DE38822A3C75}" srcOrd="0" destOrd="0" presId="urn:microsoft.com/office/officeart/2005/8/layout/vList2"/>
    <dgm:cxn modelId="{604FBE98-94F4-4DA9-A933-F7A819FF62E2}" type="presParOf" srcId="{DBF4A476-67D6-4424-B899-B9C593DFB299}" destId="{86674AEE-51B1-4F31-AB71-18A8D2F6F9B3}" srcOrd="0" destOrd="0" presId="urn:microsoft.com/office/officeart/2005/8/layout/vList2"/>
    <dgm:cxn modelId="{86167DDE-DD9E-4335-AC65-62C405EDEBD9}" type="presParOf" srcId="{DBF4A476-67D6-4424-B899-B9C593DFB299}" destId="{264642A3-B2B5-4730-8188-11589C30D66A}" srcOrd="1" destOrd="0" presId="urn:microsoft.com/office/officeart/2005/8/layout/vList2"/>
    <dgm:cxn modelId="{E5695667-155F-4643-8CEF-397A5774C7C0}" type="presParOf" srcId="{DBF4A476-67D6-4424-B899-B9C593DFB299}" destId="{970851F6-1980-40D0-B0EE-43394E67A1BF}" srcOrd="2" destOrd="0" presId="urn:microsoft.com/office/officeart/2005/8/layout/vList2"/>
    <dgm:cxn modelId="{C5FC41B7-42CB-471C-AD57-C84AA07BE01D}" type="presParOf" srcId="{DBF4A476-67D6-4424-B899-B9C593DFB299}" destId="{ACF8DB0F-B67B-400C-8955-D78782ADC859}" srcOrd="3" destOrd="0" presId="urn:microsoft.com/office/officeart/2005/8/layout/vList2"/>
    <dgm:cxn modelId="{0474A436-04B6-4628-BBCE-2055C1BDEBB6}" type="presParOf" srcId="{DBF4A476-67D6-4424-B899-B9C593DFB299}" destId="{DDC83B19-72DB-493B-B6F1-DE38822A3C75}" srcOrd="4" destOrd="0" presId="urn:microsoft.com/office/officeart/2005/8/layout/vList2"/>
    <dgm:cxn modelId="{43761B30-C0DB-4887-860C-310907640C33}" type="presParOf" srcId="{DBF4A476-67D6-4424-B899-B9C593DFB299}" destId="{56AFF1B3-2020-4AD9-B1B5-4E2CEE2C0289}" srcOrd="5" destOrd="0" presId="urn:microsoft.com/office/officeart/2005/8/layout/vList2"/>
    <dgm:cxn modelId="{F253F74C-8A34-4433-9BDB-3D17B05F1E0E}" type="presParOf" srcId="{DBF4A476-67D6-4424-B899-B9C593DFB299}" destId="{8171781F-4AEF-41A9-B5B7-AF0543CC5C10}" srcOrd="6" destOrd="0" presId="urn:microsoft.com/office/officeart/2005/8/layout/vList2"/>
    <dgm:cxn modelId="{D0BB5252-63FB-4964-AFD2-1A6680207896}" type="presParOf" srcId="{DBF4A476-67D6-4424-B899-B9C593DFB299}" destId="{B6F4838B-3B6B-4572-A011-0068E4B474C8}" srcOrd="7" destOrd="0" presId="urn:microsoft.com/office/officeart/2005/8/layout/vList2"/>
    <dgm:cxn modelId="{86A76D3C-86DB-4CFD-879B-09AF3B9E35DE}" type="presParOf" srcId="{DBF4A476-67D6-4424-B899-B9C593DFB299}" destId="{51F5C130-8066-4A03-997E-512C8C66CE7D}" srcOrd="8" destOrd="0" presId="urn:microsoft.com/office/officeart/2005/8/layout/vList2"/>
    <dgm:cxn modelId="{A8ADEF03-2373-4482-AEA9-B79EA2C60ED6}" type="presParOf" srcId="{DBF4A476-67D6-4424-B899-B9C593DFB299}" destId="{2BA31906-018D-46AF-8683-DAAC628664C3}" srcOrd="9" destOrd="0" presId="urn:microsoft.com/office/officeart/2005/8/layout/vList2"/>
    <dgm:cxn modelId="{66DF6B27-9D95-4035-988C-EFB153BA481B}" type="presParOf" srcId="{DBF4A476-67D6-4424-B899-B9C593DFB299}" destId="{E4BB4093-9D2B-48C2-B3BB-ED73056273F0}" srcOrd="10" destOrd="0" presId="urn:microsoft.com/office/officeart/2005/8/layout/vList2"/>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6674AEE-51B1-4F31-AB71-18A8D2F6F9B3}">
      <dsp:nvSpPr>
        <dsp:cNvPr id="0" name=""/>
        <dsp:cNvSpPr/>
      </dsp:nvSpPr>
      <dsp:spPr>
        <a:xfrm>
          <a:off x="0" y="16200"/>
          <a:ext cx="5486400" cy="468000"/>
        </a:xfrm>
        <a:prstGeom prst="roundRect">
          <a:avLst/>
        </a:prstGeom>
        <a:solidFill>
          <a:schemeClr val="lt1">
            <a:hueOff val="0"/>
            <a:satOff val="0"/>
            <a:lumOff val="0"/>
            <a:alphaOff val="0"/>
          </a:schemeClr>
        </a:solidFill>
        <a:ln w="19050" cap="flat" cmpd="sng" algn="ctr">
          <a:solidFill>
            <a:schemeClr val="accent3">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ru-RU" sz="1200" b="0" i="0" kern="1200">
              <a:latin typeface="Times New Roman" panose="02020603050405020304" pitchFamily="18" charset="0"/>
              <a:ea typeface="+mn-ea"/>
              <a:cs typeface="Times New Roman" panose="02020603050405020304" pitchFamily="18" charset="0"/>
            </a:rPr>
            <a:t>Количество проведенных таможенных проверок</a:t>
          </a:r>
          <a:endParaRPr lang="ru-RU" sz="1200" kern="1200">
            <a:latin typeface="Times New Roman" panose="02020603050405020304" pitchFamily="18" charset="0"/>
            <a:ea typeface="+mn-ea"/>
            <a:cs typeface="Times New Roman" panose="02020603050405020304" pitchFamily="18" charset="0"/>
          </a:endParaRPr>
        </a:p>
      </dsp:txBody>
      <dsp:txXfrm>
        <a:off x="22846" y="39046"/>
        <a:ext cx="5440708" cy="422308"/>
      </dsp:txXfrm>
    </dsp:sp>
    <dsp:sp modelId="{970851F6-1980-40D0-B0EE-43394E67A1BF}">
      <dsp:nvSpPr>
        <dsp:cNvPr id="0" name=""/>
        <dsp:cNvSpPr/>
      </dsp:nvSpPr>
      <dsp:spPr>
        <a:xfrm>
          <a:off x="0" y="556200"/>
          <a:ext cx="5486400" cy="468000"/>
        </a:xfrm>
        <a:prstGeom prst="roundRect">
          <a:avLst/>
        </a:prstGeom>
        <a:solidFill>
          <a:schemeClr val="lt1">
            <a:hueOff val="0"/>
            <a:satOff val="0"/>
            <a:lumOff val="0"/>
            <a:alphaOff val="0"/>
          </a:schemeClr>
        </a:solidFill>
        <a:ln w="19050" cap="flat" cmpd="sng" algn="ctr">
          <a:solidFill>
            <a:schemeClr val="accent3">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ru-RU" sz="1200" b="0" i="0" kern="1200">
              <a:latin typeface="Times New Roman" panose="02020603050405020304" pitchFamily="18" charset="0"/>
              <a:ea typeface="+mn-ea"/>
              <a:cs typeface="Times New Roman" panose="02020603050405020304" pitchFamily="18" charset="0"/>
            </a:rPr>
            <a:t>Сумма дополнительно начисленных денежных средств</a:t>
          </a:r>
          <a:endParaRPr lang="ru-RU" sz="1200" kern="1200">
            <a:latin typeface="Times New Roman" panose="02020603050405020304" pitchFamily="18" charset="0"/>
            <a:ea typeface="+mn-ea"/>
            <a:cs typeface="Times New Roman" panose="02020603050405020304" pitchFamily="18" charset="0"/>
          </a:endParaRPr>
        </a:p>
      </dsp:txBody>
      <dsp:txXfrm>
        <a:off x="22846" y="579046"/>
        <a:ext cx="5440708" cy="422308"/>
      </dsp:txXfrm>
    </dsp:sp>
    <dsp:sp modelId="{DDC83B19-72DB-493B-B6F1-DE38822A3C75}">
      <dsp:nvSpPr>
        <dsp:cNvPr id="0" name=""/>
        <dsp:cNvSpPr/>
      </dsp:nvSpPr>
      <dsp:spPr>
        <a:xfrm>
          <a:off x="0" y="1096200"/>
          <a:ext cx="5486400" cy="468000"/>
        </a:xfrm>
        <a:prstGeom prst="roundRect">
          <a:avLst/>
        </a:prstGeom>
        <a:solidFill>
          <a:schemeClr val="lt1">
            <a:hueOff val="0"/>
            <a:satOff val="0"/>
            <a:lumOff val="0"/>
            <a:alphaOff val="0"/>
          </a:schemeClr>
        </a:solidFill>
        <a:ln w="19050" cap="flat" cmpd="sng" algn="ctr">
          <a:solidFill>
            <a:schemeClr val="accent3">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ru-RU" sz="1200" b="0" i="0" kern="1200">
              <a:latin typeface="Times New Roman" panose="02020603050405020304" pitchFamily="18" charset="0"/>
              <a:ea typeface="+mn-ea"/>
              <a:cs typeface="Times New Roman" panose="02020603050405020304" pitchFamily="18" charset="0"/>
            </a:rPr>
            <a:t>Сумма фактически взысканных денежных средств</a:t>
          </a:r>
          <a:endParaRPr lang="ru-RU" sz="1200" kern="1200">
            <a:latin typeface="Times New Roman" panose="02020603050405020304" pitchFamily="18" charset="0"/>
            <a:ea typeface="+mn-ea"/>
            <a:cs typeface="Times New Roman" panose="02020603050405020304" pitchFamily="18" charset="0"/>
          </a:endParaRPr>
        </a:p>
      </dsp:txBody>
      <dsp:txXfrm>
        <a:off x="22846" y="1119046"/>
        <a:ext cx="5440708" cy="422308"/>
      </dsp:txXfrm>
    </dsp:sp>
    <dsp:sp modelId="{8171781F-4AEF-41A9-B5B7-AF0543CC5C10}">
      <dsp:nvSpPr>
        <dsp:cNvPr id="0" name=""/>
        <dsp:cNvSpPr/>
      </dsp:nvSpPr>
      <dsp:spPr>
        <a:xfrm>
          <a:off x="0" y="1636200"/>
          <a:ext cx="5486400" cy="468000"/>
        </a:xfrm>
        <a:prstGeom prst="roundRect">
          <a:avLst/>
        </a:prstGeom>
        <a:solidFill>
          <a:schemeClr val="lt1">
            <a:hueOff val="0"/>
            <a:satOff val="0"/>
            <a:lumOff val="0"/>
            <a:alphaOff val="0"/>
          </a:schemeClr>
        </a:solidFill>
        <a:ln w="19050" cap="flat" cmpd="sng" algn="ctr">
          <a:solidFill>
            <a:schemeClr val="accent3">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ru-RU" sz="1200" b="0" i="0" kern="1200">
              <a:latin typeface="Times New Roman" panose="02020603050405020304" pitchFamily="18" charset="0"/>
              <a:ea typeface="+mn-ea"/>
              <a:cs typeface="Times New Roman" panose="02020603050405020304" pitchFamily="18" charset="0"/>
            </a:rPr>
            <a:t>Количество уголовных дел о нарушениях таможенных правил</a:t>
          </a:r>
          <a:endParaRPr lang="ru-RU" sz="1200" kern="1200">
            <a:latin typeface="Times New Roman" panose="02020603050405020304" pitchFamily="18" charset="0"/>
            <a:ea typeface="+mn-ea"/>
            <a:cs typeface="Times New Roman" panose="02020603050405020304" pitchFamily="18" charset="0"/>
          </a:endParaRPr>
        </a:p>
      </dsp:txBody>
      <dsp:txXfrm>
        <a:off x="22846" y="1659046"/>
        <a:ext cx="5440708" cy="422308"/>
      </dsp:txXfrm>
    </dsp:sp>
    <dsp:sp modelId="{51F5C130-8066-4A03-997E-512C8C66CE7D}">
      <dsp:nvSpPr>
        <dsp:cNvPr id="0" name=""/>
        <dsp:cNvSpPr/>
      </dsp:nvSpPr>
      <dsp:spPr>
        <a:xfrm>
          <a:off x="0" y="2176200"/>
          <a:ext cx="5486400" cy="468000"/>
        </a:xfrm>
        <a:prstGeom prst="roundRect">
          <a:avLst/>
        </a:prstGeom>
        <a:solidFill>
          <a:schemeClr val="lt1">
            <a:hueOff val="0"/>
            <a:satOff val="0"/>
            <a:lumOff val="0"/>
            <a:alphaOff val="0"/>
          </a:schemeClr>
        </a:solidFill>
        <a:ln w="19050" cap="flat" cmpd="sng" algn="ctr">
          <a:solidFill>
            <a:schemeClr val="accent3">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ru-RU" sz="1200" b="0" i="0" kern="1200">
              <a:latin typeface="Times New Roman" panose="02020603050405020304" pitchFamily="18" charset="0"/>
              <a:ea typeface="+mn-ea"/>
              <a:cs typeface="Times New Roman" panose="02020603050405020304" pitchFamily="18" charset="0"/>
            </a:rPr>
            <a:t>Количество возбужденных административных дел о нарушениях таможенных правил</a:t>
          </a:r>
          <a:endParaRPr lang="ru-RU" sz="1200" kern="1200">
            <a:latin typeface="Times New Roman" panose="02020603050405020304" pitchFamily="18" charset="0"/>
            <a:ea typeface="+mn-ea"/>
            <a:cs typeface="Times New Roman" panose="02020603050405020304" pitchFamily="18" charset="0"/>
          </a:endParaRPr>
        </a:p>
      </dsp:txBody>
      <dsp:txXfrm>
        <a:off x="22846" y="2199046"/>
        <a:ext cx="5440708" cy="422308"/>
      </dsp:txXfrm>
    </dsp:sp>
    <dsp:sp modelId="{E4BB4093-9D2B-48C2-B3BB-ED73056273F0}">
      <dsp:nvSpPr>
        <dsp:cNvPr id="0" name=""/>
        <dsp:cNvSpPr/>
      </dsp:nvSpPr>
      <dsp:spPr>
        <a:xfrm>
          <a:off x="0" y="2716200"/>
          <a:ext cx="5486400" cy="468000"/>
        </a:xfrm>
        <a:prstGeom prst="roundRect">
          <a:avLst/>
        </a:prstGeom>
        <a:solidFill>
          <a:schemeClr val="lt1">
            <a:hueOff val="0"/>
            <a:satOff val="0"/>
            <a:lumOff val="0"/>
            <a:alphaOff val="0"/>
          </a:schemeClr>
        </a:solidFill>
        <a:ln w="19050" cap="flat" cmpd="sng" algn="ctr">
          <a:solidFill>
            <a:schemeClr val="accent3">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ru-RU" sz="1200" b="0" i="0" kern="1200">
              <a:latin typeface="Times New Roman" panose="02020603050405020304" pitchFamily="18" charset="0"/>
              <a:ea typeface="+mn-ea"/>
              <a:cs typeface="Times New Roman" panose="02020603050405020304" pitchFamily="18" charset="0"/>
            </a:rPr>
            <a:t>Количество переданной информаии в иные государственные органы власти</a:t>
          </a:r>
          <a:endParaRPr lang="ru-RU" sz="1200" kern="1200">
            <a:latin typeface="Times New Roman" panose="02020603050405020304" pitchFamily="18" charset="0"/>
            <a:ea typeface="+mn-ea"/>
            <a:cs typeface="Times New Roman" panose="02020603050405020304" pitchFamily="18" charset="0"/>
          </a:endParaRPr>
        </a:p>
      </dsp:txBody>
      <dsp:txXfrm>
        <a:off x="22846" y="2739046"/>
        <a:ext cx="5440708" cy="422308"/>
      </dsp:txXfrm>
    </dsp:sp>
  </dsp:spTree>
</dsp:drawing>
</file>

<file path=word/diagrams/layout1.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1D6A08-46A4-4D6F-849B-CDF4703673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115</TotalTime>
  <Pages>4</Pages>
  <Words>1630</Words>
  <Characters>9296</Characters>
  <Application>Microsoft Office Word</Application>
  <DocSecurity>0</DocSecurity>
  <Lines>77</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10905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Виолетта</dc:creator>
  <cp:keywords/>
  <dc:description/>
  <cp:lastModifiedBy>Виолетта</cp:lastModifiedBy>
  <cp:revision>54</cp:revision>
  <dcterms:created xsi:type="dcterms:W3CDTF">2023-05-14T04:10:00Z</dcterms:created>
  <dcterms:modified xsi:type="dcterms:W3CDTF">2023-05-14T13:20:00Z</dcterms:modified>
</cp:coreProperties>
</file>