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957" w:rsidRDefault="005D3957" w:rsidP="00013935">
      <w:pPr>
        <w:pStyle w:val="10"/>
        <w:rPr>
          <w:lang w:eastAsia="ru-RU"/>
        </w:rPr>
      </w:pPr>
      <w:bookmarkStart w:id="0" w:name="_Toc76714064"/>
      <w:r>
        <w:rPr>
          <w:lang w:eastAsia="ru-RU"/>
        </w:rPr>
        <w:t xml:space="preserve">Селиванова Ю.В. </w:t>
      </w:r>
      <w:r>
        <w:rPr>
          <w:rStyle w:val="a7"/>
          <w:lang w:eastAsia="ru-RU"/>
        </w:rPr>
        <w:footnoteReference w:id="1"/>
      </w:r>
      <w:r>
        <w:rPr>
          <w:lang w:eastAsia="ru-RU"/>
        </w:rPr>
        <w:t>,</w:t>
      </w:r>
    </w:p>
    <w:p w:rsidR="00013935" w:rsidRPr="00013935" w:rsidRDefault="00013935" w:rsidP="00013935">
      <w:pPr>
        <w:pStyle w:val="10"/>
        <w:rPr>
          <w:rFonts w:asciiTheme="majorHAnsi" w:hAnsiTheme="majorHAnsi" w:cstheme="majorBidi"/>
          <w:caps/>
          <w:szCs w:val="24"/>
        </w:rPr>
      </w:pPr>
      <w:r>
        <w:rPr>
          <w:lang w:eastAsia="ru-RU"/>
        </w:rPr>
        <w:t>Павленко Т.Н.</w:t>
      </w:r>
      <w:bookmarkEnd w:id="0"/>
      <w:r w:rsidR="005D3957">
        <w:rPr>
          <w:rStyle w:val="a7"/>
          <w:rFonts w:asciiTheme="majorHAnsi" w:hAnsiTheme="majorHAnsi" w:cstheme="majorBidi"/>
          <w:caps/>
          <w:szCs w:val="24"/>
        </w:rPr>
        <w:footnoteReference w:id="2"/>
      </w:r>
    </w:p>
    <w:p w:rsidR="00013935" w:rsidRDefault="00013935" w:rsidP="006C0F2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</w:p>
    <w:p w:rsidR="002A1A8E" w:rsidRPr="00406CA3" w:rsidRDefault="00921DB0" w:rsidP="006C0F2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Индикативный анализ и интегральная оценка экономической безопасности предприятия</w:t>
      </w:r>
    </w:p>
    <w:p w:rsidR="00704A0B" w:rsidRPr="00406CA3" w:rsidRDefault="00704A0B" w:rsidP="00406CA3">
      <w:pPr>
        <w:spacing w:after="0" w:line="21" w:lineRule="atLeast"/>
        <w:jc w:val="center"/>
        <w:rPr>
          <w:rFonts w:ascii="Times New Roman" w:hAnsi="Times New Roman" w:cs="Times New Roman"/>
        </w:rPr>
      </w:pPr>
    </w:p>
    <w:p w:rsidR="00955C96" w:rsidRDefault="00013935" w:rsidP="00013935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>
        <w:rPr>
          <w:rFonts w:ascii="Times New Roman" w:hAnsi="Times New Roman" w:cs="Times New Roman"/>
          <w:i/>
        </w:rPr>
        <w:t xml:space="preserve">В данной статье рассмотрены теоретико-методические аспекты </w:t>
      </w:r>
      <w:r w:rsidR="00955C96">
        <w:rPr>
          <w:rFonts w:ascii="Times New Roman" w:hAnsi="Times New Roman" w:cs="Times New Roman"/>
          <w:i/>
        </w:rPr>
        <w:t xml:space="preserve">индикативного анализа, </w:t>
      </w:r>
      <w:r w:rsidR="006C0F25">
        <w:rPr>
          <w:rFonts w:ascii="Times New Roman" w:hAnsi="Times New Roman" w:cs="Times New Roman"/>
          <w:i/>
        </w:rPr>
        <w:t xml:space="preserve">интегрального </w:t>
      </w:r>
      <w:r w:rsidR="00955C96">
        <w:rPr>
          <w:rFonts w:ascii="Times New Roman" w:hAnsi="Times New Roman" w:cs="Times New Roman"/>
          <w:i/>
        </w:rPr>
        <w:t xml:space="preserve">метода и метода, основанного на анализе банкротства </w:t>
      </w:r>
      <w:r w:rsidR="006C0F25">
        <w:rPr>
          <w:rFonts w:ascii="Times New Roman" w:hAnsi="Times New Roman" w:cs="Times New Roman"/>
          <w:i/>
        </w:rPr>
        <w:t>для оценки экономической безопасности предприятия. Показана практическая реализация данных методов на примере ОАО «Кондитерский концерн Бабаевский»</w:t>
      </w:r>
      <w:r w:rsidR="00CD3D9B">
        <w:rPr>
          <w:rFonts w:ascii="Times New Roman" w:hAnsi="Times New Roman" w:cs="Times New Roman"/>
          <w:i/>
        </w:rPr>
        <w:t>.</w:t>
      </w:r>
    </w:p>
    <w:p w:rsidR="00013935" w:rsidRDefault="006C0F25" w:rsidP="00013935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Ключевые слова: экономическая безопасность, предприятие,</w:t>
      </w:r>
      <w:r w:rsidR="00013935">
        <w:rPr>
          <w:rFonts w:ascii="Times New Roman" w:hAnsi="Times New Roman" w:cs="Times New Roman"/>
          <w:i/>
        </w:rPr>
        <w:t xml:space="preserve"> банкротство</w:t>
      </w:r>
      <w:r>
        <w:rPr>
          <w:rFonts w:ascii="Times New Roman" w:hAnsi="Times New Roman" w:cs="Times New Roman"/>
          <w:i/>
        </w:rPr>
        <w:t>, индикатор, метод</w:t>
      </w:r>
      <w:r w:rsidR="00013935">
        <w:rPr>
          <w:rFonts w:ascii="Times New Roman" w:hAnsi="Times New Roman" w:cs="Times New Roman"/>
          <w:i/>
        </w:rPr>
        <w:t xml:space="preserve">. </w:t>
      </w:r>
    </w:p>
    <w:p w:rsidR="00406CA3" w:rsidRDefault="00406CA3" w:rsidP="00C25A0F">
      <w:pPr>
        <w:spacing w:after="0" w:line="21" w:lineRule="atLeast"/>
        <w:jc w:val="both"/>
        <w:rPr>
          <w:rFonts w:ascii="Times New Roman" w:hAnsi="Times New Roman" w:cs="Times New Roman"/>
          <w:i/>
        </w:rPr>
      </w:pPr>
    </w:p>
    <w:p w:rsidR="00EA39AA" w:rsidRPr="00A8439F" w:rsidRDefault="00921DB0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>В современных условиях хозяйствования важным аспектом функционирования любого хозяйствующего субъекта является обеспечение и поддержание высокого уровня экономической безопасности. В условиях постоянного наращивания производства, увеличения количества предприятий, стремительного технического прогресса, экономическая безопасность является той неотъемлемой частью, без которой невозможно функционирование ни одного хозяйс</w:t>
      </w:r>
      <w:r w:rsidR="00EA39AA" w:rsidRPr="00A8439F">
        <w:rPr>
          <w:rFonts w:ascii="Times New Roman" w:hAnsi="Times New Roman" w:cs="Times New Roman"/>
          <w:sz w:val="24"/>
          <w:szCs w:val="24"/>
        </w:rPr>
        <w:t>твующего субъекта. Вместе с тем в современной</w:t>
      </w:r>
      <w:r w:rsidRPr="00A8439F">
        <w:rPr>
          <w:rFonts w:ascii="Times New Roman" w:hAnsi="Times New Roman" w:cs="Times New Roman"/>
          <w:sz w:val="24"/>
          <w:szCs w:val="24"/>
        </w:rPr>
        <w:t xml:space="preserve"> эко</w:t>
      </w:r>
      <w:r w:rsidR="00EA39AA" w:rsidRPr="00A8439F">
        <w:rPr>
          <w:rFonts w:ascii="Times New Roman" w:hAnsi="Times New Roman" w:cs="Times New Roman"/>
          <w:sz w:val="24"/>
          <w:szCs w:val="24"/>
        </w:rPr>
        <w:t>номической</w:t>
      </w:r>
      <w:r w:rsidRPr="00A8439F">
        <w:rPr>
          <w:rFonts w:ascii="Times New Roman" w:hAnsi="Times New Roman" w:cs="Times New Roman"/>
          <w:sz w:val="24"/>
          <w:szCs w:val="24"/>
        </w:rPr>
        <w:t xml:space="preserve"> </w:t>
      </w:r>
      <w:r w:rsidR="00EA39AA" w:rsidRPr="00A8439F">
        <w:rPr>
          <w:rFonts w:ascii="Times New Roman" w:hAnsi="Times New Roman" w:cs="Times New Roman"/>
          <w:sz w:val="24"/>
          <w:szCs w:val="24"/>
        </w:rPr>
        <w:t>науке до</w:t>
      </w:r>
      <w:r w:rsidRPr="00A8439F">
        <w:rPr>
          <w:rFonts w:ascii="Times New Roman" w:hAnsi="Times New Roman" w:cs="Times New Roman"/>
          <w:sz w:val="24"/>
          <w:szCs w:val="24"/>
        </w:rPr>
        <w:t xml:space="preserve"> сих пор </w:t>
      </w:r>
      <w:r w:rsidR="00EA39AA" w:rsidRPr="00A8439F">
        <w:rPr>
          <w:rFonts w:ascii="Times New Roman" w:hAnsi="Times New Roman" w:cs="Times New Roman"/>
          <w:sz w:val="24"/>
          <w:szCs w:val="24"/>
        </w:rPr>
        <w:t>как не существует общепринятой трактовки категории «экономическая безопасность»</w:t>
      </w:r>
      <w:r w:rsidRPr="00A8439F">
        <w:rPr>
          <w:rFonts w:ascii="Times New Roman" w:hAnsi="Times New Roman" w:cs="Times New Roman"/>
          <w:sz w:val="24"/>
          <w:szCs w:val="24"/>
        </w:rPr>
        <w:t xml:space="preserve">, </w:t>
      </w:r>
      <w:r w:rsidR="00EA39AA" w:rsidRPr="00A8439F">
        <w:rPr>
          <w:rFonts w:ascii="Times New Roman" w:hAnsi="Times New Roman" w:cs="Times New Roman"/>
          <w:sz w:val="24"/>
          <w:szCs w:val="24"/>
        </w:rPr>
        <w:t>так и не выработан единый подход к методам ее оценки</w:t>
      </w:r>
      <w:r w:rsidR="00514DB1" w:rsidRPr="00A8439F">
        <w:rPr>
          <w:rFonts w:ascii="Times New Roman" w:hAnsi="Times New Roman" w:cs="Times New Roman"/>
          <w:sz w:val="24"/>
          <w:szCs w:val="24"/>
        </w:rPr>
        <w:t xml:space="preserve"> и формирования</w:t>
      </w:r>
      <w:r w:rsidR="00EA39AA" w:rsidRPr="00A8439F">
        <w:rPr>
          <w:rFonts w:ascii="Times New Roman" w:hAnsi="Times New Roman" w:cs="Times New Roman"/>
          <w:sz w:val="24"/>
          <w:szCs w:val="24"/>
        </w:rPr>
        <w:t xml:space="preserve">, </w:t>
      </w:r>
      <w:r w:rsidRPr="00A8439F">
        <w:rPr>
          <w:rFonts w:ascii="Times New Roman" w:hAnsi="Times New Roman" w:cs="Times New Roman"/>
          <w:sz w:val="24"/>
          <w:szCs w:val="24"/>
        </w:rPr>
        <w:t>что подчеркивает актуальность выбранной темы.</w:t>
      </w:r>
    </w:p>
    <w:p w:rsidR="00EA39AA" w:rsidRPr="00A8439F" w:rsidRDefault="00EA39AA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>Исследование подходов к оценке экономической безопасности хозяйствующих субъектов нашло отражение в работах таких ученых:</w:t>
      </w:r>
      <w:r w:rsidR="00547C58" w:rsidRPr="00A8439F">
        <w:rPr>
          <w:rFonts w:ascii="Times New Roman" w:hAnsi="Times New Roman" w:cs="Times New Roman"/>
          <w:sz w:val="24"/>
          <w:szCs w:val="24"/>
        </w:rPr>
        <w:t xml:space="preserve"> Гапоненко В.Ф., Красновой В.В., </w:t>
      </w:r>
      <w:proofErr w:type="spellStart"/>
      <w:r w:rsidR="00547C58" w:rsidRPr="00A8439F">
        <w:rPr>
          <w:rFonts w:ascii="Times New Roman" w:hAnsi="Times New Roman" w:cs="Times New Roman"/>
          <w:sz w:val="24"/>
          <w:szCs w:val="24"/>
        </w:rPr>
        <w:t>Моденова</w:t>
      </w:r>
      <w:proofErr w:type="spellEnd"/>
      <w:r w:rsidR="00547C58" w:rsidRPr="00A8439F">
        <w:rPr>
          <w:rFonts w:ascii="Times New Roman" w:hAnsi="Times New Roman" w:cs="Times New Roman"/>
          <w:sz w:val="24"/>
          <w:szCs w:val="24"/>
        </w:rPr>
        <w:t xml:space="preserve"> А.К., Селивановой Ю.В., Сергеева И.А., </w:t>
      </w:r>
      <w:proofErr w:type="spellStart"/>
      <w:r w:rsidR="00547C58" w:rsidRPr="00A8439F">
        <w:rPr>
          <w:rFonts w:ascii="Times New Roman" w:hAnsi="Times New Roman" w:cs="Times New Roman"/>
          <w:sz w:val="24"/>
          <w:szCs w:val="24"/>
        </w:rPr>
        <w:t>Тофан</w:t>
      </w:r>
      <w:proofErr w:type="spellEnd"/>
      <w:r w:rsidR="00547C58" w:rsidRPr="00A8439F">
        <w:rPr>
          <w:rFonts w:ascii="Times New Roman" w:hAnsi="Times New Roman" w:cs="Times New Roman"/>
          <w:sz w:val="24"/>
          <w:szCs w:val="24"/>
        </w:rPr>
        <w:t xml:space="preserve"> А.Л., </w:t>
      </w:r>
      <w:proofErr w:type="spellStart"/>
      <w:r w:rsidR="00547C58" w:rsidRPr="00A8439F">
        <w:rPr>
          <w:rFonts w:ascii="Times New Roman" w:hAnsi="Times New Roman" w:cs="Times New Roman"/>
          <w:sz w:val="24"/>
          <w:szCs w:val="24"/>
        </w:rPr>
        <w:t>Хиревич</w:t>
      </w:r>
      <w:proofErr w:type="spellEnd"/>
      <w:r w:rsidR="00547C58" w:rsidRPr="00A8439F">
        <w:rPr>
          <w:rFonts w:ascii="Times New Roman" w:hAnsi="Times New Roman" w:cs="Times New Roman"/>
          <w:sz w:val="24"/>
          <w:szCs w:val="24"/>
        </w:rPr>
        <w:t xml:space="preserve"> Э.Ю. </w:t>
      </w:r>
      <w:r w:rsidRPr="00A8439F">
        <w:rPr>
          <w:rFonts w:ascii="Times New Roman" w:hAnsi="Times New Roman" w:cs="Times New Roman"/>
          <w:sz w:val="24"/>
          <w:szCs w:val="24"/>
        </w:rPr>
        <w:t xml:space="preserve">и других. Вместе с тем, высокая динамичность внешней среды и многогранность протекающих в ней процессов обуславливает необходимость дальнейших исследований в этом направлении и предопределяет выбор темы данной статьи, её цель. </w:t>
      </w:r>
    </w:p>
    <w:p w:rsidR="00EA39AA" w:rsidRPr="00A8439F" w:rsidRDefault="00921DB0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 xml:space="preserve">  </w:t>
      </w:r>
      <w:r w:rsidR="00EA39AA" w:rsidRPr="00A8439F">
        <w:rPr>
          <w:rFonts w:ascii="Times New Roman" w:hAnsi="Times New Roman" w:cs="Times New Roman"/>
          <w:sz w:val="24"/>
          <w:szCs w:val="24"/>
        </w:rPr>
        <w:t>Целью исследования является рассмотрение теоретических и методических основ применения индикативного анализа и интегральной оценки экономической безопасности, их практическая реализация на примере ОАО «Кондитерский концерн Бабаевский».</w:t>
      </w:r>
    </w:p>
    <w:p w:rsidR="00921DB0" w:rsidRPr="00A8439F" w:rsidRDefault="00EA39AA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>Подчеркнем, что экономическая безопасность предприятия - это состояние защищенности жизненно важных интересов предприятия от внутренних и внешних угроз, формируемое руководством предприятия путем реализации мероприятий правового, экономического, организационного, инженерно-технического и социально-психологического направлений</w:t>
      </w:r>
      <w:r w:rsidR="00333C59">
        <w:rPr>
          <w:rFonts w:ascii="Times New Roman" w:hAnsi="Times New Roman" w:cs="Times New Roman"/>
          <w:sz w:val="24"/>
          <w:szCs w:val="24"/>
        </w:rPr>
        <w:t xml:space="preserve"> </w:t>
      </w:r>
      <w:r w:rsidR="00333C59" w:rsidRPr="00333C59">
        <w:rPr>
          <w:rFonts w:ascii="Times New Roman" w:hAnsi="Times New Roman" w:cs="Times New Roman"/>
          <w:sz w:val="24"/>
          <w:szCs w:val="24"/>
        </w:rPr>
        <w:t>[</w:t>
      </w:r>
      <w:r w:rsidR="00EC2F7E">
        <w:rPr>
          <w:rFonts w:ascii="Times New Roman" w:hAnsi="Times New Roman" w:cs="Times New Roman"/>
          <w:sz w:val="24"/>
          <w:szCs w:val="24"/>
        </w:rPr>
        <w:fldChar w:fldCharType="begin"/>
      </w:r>
      <w:r w:rsidR="00333C59">
        <w:rPr>
          <w:rFonts w:ascii="Times New Roman" w:hAnsi="Times New Roman" w:cs="Times New Roman"/>
          <w:sz w:val="24"/>
          <w:szCs w:val="24"/>
        </w:rPr>
        <w:instrText xml:space="preserve"> REF _Ref69940106 \r \h </w:instrText>
      </w:r>
      <w:r w:rsidR="00EC2F7E">
        <w:rPr>
          <w:rFonts w:ascii="Times New Roman" w:hAnsi="Times New Roman" w:cs="Times New Roman"/>
          <w:sz w:val="24"/>
          <w:szCs w:val="24"/>
        </w:rPr>
      </w:r>
      <w:r w:rsidR="00EC2F7E">
        <w:rPr>
          <w:rFonts w:ascii="Times New Roman" w:hAnsi="Times New Roman" w:cs="Times New Roman"/>
          <w:sz w:val="24"/>
          <w:szCs w:val="24"/>
        </w:rPr>
        <w:fldChar w:fldCharType="separate"/>
      </w:r>
      <w:r w:rsidR="00333C59">
        <w:rPr>
          <w:rFonts w:ascii="Times New Roman" w:hAnsi="Times New Roman" w:cs="Times New Roman"/>
          <w:sz w:val="24"/>
          <w:szCs w:val="24"/>
        </w:rPr>
        <w:t>1</w:t>
      </w:r>
      <w:r w:rsidR="00EC2F7E">
        <w:rPr>
          <w:rFonts w:ascii="Times New Roman" w:hAnsi="Times New Roman" w:cs="Times New Roman"/>
          <w:sz w:val="24"/>
          <w:szCs w:val="24"/>
        </w:rPr>
        <w:fldChar w:fldCharType="end"/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, </w:t>
      </w:r>
      <w:r w:rsidR="00333C5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33C59" w:rsidRPr="00333C59">
        <w:rPr>
          <w:rFonts w:ascii="Times New Roman" w:hAnsi="Times New Roman" w:cs="Times New Roman"/>
          <w:sz w:val="24"/>
          <w:szCs w:val="24"/>
        </w:rPr>
        <w:t>. 16]</w:t>
      </w:r>
      <w:r w:rsidRPr="00A8439F">
        <w:rPr>
          <w:rFonts w:ascii="Times New Roman" w:hAnsi="Times New Roman" w:cs="Times New Roman"/>
          <w:sz w:val="24"/>
          <w:szCs w:val="24"/>
        </w:rPr>
        <w:t>. На сегодняшний день существует множество методов оценки экономической безопасности предприятия</w:t>
      </w:r>
      <w:r w:rsidR="00C25A0F" w:rsidRPr="00A8439F">
        <w:rPr>
          <w:rFonts w:ascii="Times New Roman" w:hAnsi="Times New Roman" w:cs="Times New Roman"/>
          <w:sz w:val="24"/>
          <w:szCs w:val="24"/>
        </w:rPr>
        <w:t xml:space="preserve"> (рис 1)</w:t>
      </w:r>
      <w:r w:rsidRPr="00A8439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25A0F" w:rsidRDefault="00C25A0F" w:rsidP="00EA39A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921DB0" w:rsidRDefault="00C25A0F" w:rsidP="00193EB2">
      <w:pPr>
        <w:spacing w:after="0" w:line="252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6072989" cy="1176951"/>
            <wp:effectExtent l="38100" t="0" r="23011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C25A0F" w:rsidRPr="00333C59" w:rsidRDefault="00C25A0F" w:rsidP="00C25A0F">
      <w:pPr>
        <w:spacing w:after="0" w:line="252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>Рис. 1 Методы оценки экономической безопасности предприятия</w:t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 [</w:t>
      </w:r>
      <w:r w:rsidR="00EC2F7E">
        <w:rPr>
          <w:rFonts w:ascii="Times New Roman" w:hAnsi="Times New Roman" w:cs="Times New Roman"/>
          <w:sz w:val="24"/>
          <w:szCs w:val="24"/>
          <w:lang w:val="en-US"/>
        </w:rPr>
        <w:fldChar w:fldCharType="begin"/>
      </w:r>
      <w:r w:rsidR="00333C59">
        <w:rPr>
          <w:rFonts w:ascii="Times New Roman" w:hAnsi="Times New Roman" w:cs="Times New Roman"/>
          <w:sz w:val="24"/>
          <w:szCs w:val="24"/>
        </w:rPr>
        <w:instrText xml:space="preserve"> REF _Ref69940106 \r \h </w:instrText>
      </w:r>
      <w:r w:rsidR="00EC2F7E">
        <w:rPr>
          <w:rFonts w:ascii="Times New Roman" w:hAnsi="Times New Roman" w:cs="Times New Roman"/>
          <w:sz w:val="24"/>
          <w:szCs w:val="24"/>
          <w:lang w:val="en-US"/>
        </w:rPr>
      </w:r>
      <w:r w:rsidR="00EC2F7E">
        <w:rPr>
          <w:rFonts w:ascii="Times New Roman" w:hAnsi="Times New Roman" w:cs="Times New Roman"/>
          <w:sz w:val="24"/>
          <w:szCs w:val="24"/>
          <w:lang w:val="en-US"/>
        </w:rPr>
        <w:fldChar w:fldCharType="separate"/>
      </w:r>
      <w:r w:rsidR="00333C59">
        <w:rPr>
          <w:rFonts w:ascii="Times New Roman" w:hAnsi="Times New Roman" w:cs="Times New Roman"/>
          <w:sz w:val="24"/>
          <w:szCs w:val="24"/>
        </w:rPr>
        <w:t>1</w:t>
      </w:r>
      <w:r w:rsidR="00EC2F7E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, </w:t>
      </w:r>
      <w:r w:rsidR="00333C5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33C59" w:rsidRPr="00333C59">
        <w:rPr>
          <w:rFonts w:ascii="Times New Roman" w:hAnsi="Times New Roman" w:cs="Times New Roman"/>
          <w:sz w:val="24"/>
          <w:szCs w:val="24"/>
        </w:rPr>
        <w:t>. 60]</w:t>
      </w:r>
    </w:p>
    <w:p w:rsidR="0026182D" w:rsidRPr="0026182D" w:rsidRDefault="00C25A0F" w:rsidP="008943C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lastRenderedPageBreak/>
        <w:t xml:space="preserve">Вместе с тем, на практике, наибольшее значение принято придавать методам комплексной оценки, позволяющим оценить состояние предприятия в различных аспектах его функционирования. Одним из таковых является индикативный метод. Сущность данного метода заключается в расчете показателей-индикаторов, имеющих важнейшее значение для анализа экономической безопасности предприятия, и сравнения полученных (фактических) значений с </w:t>
      </w:r>
      <w:proofErr w:type="gramStart"/>
      <w:r w:rsidRPr="0026182D">
        <w:rPr>
          <w:rFonts w:ascii="Times New Roman" w:hAnsi="Times New Roman" w:cs="Times New Roman"/>
          <w:sz w:val="24"/>
          <w:szCs w:val="24"/>
        </w:rPr>
        <w:t>нормативными</w:t>
      </w:r>
      <w:proofErr w:type="gramEnd"/>
      <w:r w:rsidRPr="0026182D">
        <w:rPr>
          <w:rFonts w:ascii="Times New Roman" w:hAnsi="Times New Roman" w:cs="Times New Roman"/>
          <w:sz w:val="24"/>
          <w:szCs w:val="24"/>
        </w:rPr>
        <w:t xml:space="preserve"> (пороговыми). </w:t>
      </w:r>
      <w:proofErr w:type="gramStart"/>
      <w:r w:rsidR="0026182D" w:rsidRPr="0026182D">
        <w:rPr>
          <w:rFonts w:ascii="Times New Roman" w:hAnsi="Times New Roman" w:cs="Times New Roman"/>
          <w:sz w:val="24"/>
          <w:szCs w:val="24"/>
        </w:rPr>
        <w:t>В соответствии с величиной отклонений фактических показателей от пороговых состояние предприятия можно характеризовать как: нормальное, когда все индикаторы экономической безопасности находятся в пределах пороговых значений;  предкризисное, когда превышается барьерное значение хотя бы одного индикатора, а другие находятся близко к барьерному значению; кризисное, когда превышены пороговые значения большинства основных индикаторов экономической безопасности;</w:t>
      </w:r>
      <w:proofErr w:type="gramEnd"/>
      <w:r w:rsidR="0026182D" w:rsidRPr="0026182D">
        <w:rPr>
          <w:rFonts w:ascii="Times New Roman" w:hAnsi="Times New Roman" w:cs="Times New Roman"/>
          <w:sz w:val="24"/>
          <w:szCs w:val="24"/>
        </w:rPr>
        <w:t xml:space="preserve"> критическое, когда нарушаются все барьеры, отделяющие нормальное и кризисное состояние развития предприятия</w:t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 [</w:t>
      </w:r>
      <w:r w:rsidR="00EC2F7E">
        <w:rPr>
          <w:rFonts w:ascii="Times New Roman" w:hAnsi="Times New Roman" w:cs="Times New Roman"/>
          <w:sz w:val="24"/>
          <w:szCs w:val="24"/>
        </w:rPr>
        <w:fldChar w:fldCharType="begin"/>
      </w:r>
      <w:r w:rsidR="00333C59">
        <w:rPr>
          <w:rFonts w:ascii="Times New Roman" w:hAnsi="Times New Roman" w:cs="Times New Roman"/>
          <w:sz w:val="24"/>
          <w:szCs w:val="24"/>
        </w:rPr>
        <w:instrText xml:space="preserve"> REF _Ref124599452 \r \h </w:instrText>
      </w:r>
      <w:r w:rsidR="00EC2F7E">
        <w:rPr>
          <w:rFonts w:ascii="Times New Roman" w:hAnsi="Times New Roman" w:cs="Times New Roman"/>
          <w:sz w:val="24"/>
          <w:szCs w:val="24"/>
        </w:rPr>
      </w:r>
      <w:r w:rsidR="00EC2F7E">
        <w:rPr>
          <w:rFonts w:ascii="Times New Roman" w:hAnsi="Times New Roman" w:cs="Times New Roman"/>
          <w:sz w:val="24"/>
          <w:szCs w:val="24"/>
        </w:rPr>
        <w:fldChar w:fldCharType="separate"/>
      </w:r>
      <w:r w:rsidR="00333C59">
        <w:rPr>
          <w:rFonts w:ascii="Times New Roman" w:hAnsi="Times New Roman" w:cs="Times New Roman"/>
          <w:sz w:val="24"/>
          <w:szCs w:val="24"/>
        </w:rPr>
        <w:t>2</w:t>
      </w:r>
      <w:r w:rsidR="00EC2F7E">
        <w:rPr>
          <w:rFonts w:ascii="Times New Roman" w:hAnsi="Times New Roman" w:cs="Times New Roman"/>
          <w:sz w:val="24"/>
          <w:szCs w:val="24"/>
        </w:rPr>
        <w:fldChar w:fldCharType="end"/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, </w:t>
      </w:r>
      <w:r w:rsidR="00333C5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33C59" w:rsidRPr="00333C59">
        <w:rPr>
          <w:rFonts w:ascii="Times New Roman" w:hAnsi="Times New Roman" w:cs="Times New Roman"/>
          <w:sz w:val="24"/>
          <w:szCs w:val="24"/>
        </w:rPr>
        <w:t>. 187]</w:t>
      </w:r>
      <w:r w:rsidR="0026182D" w:rsidRPr="0026182D">
        <w:rPr>
          <w:rFonts w:ascii="Times New Roman" w:hAnsi="Times New Roman" w:cs="Times New Roman"/>
          <w:sz w:val="24"/>
          <w:szCs w:val="24"/>
        </w:rPr>
        <w:t>.</w:t>
      </w:r>
    </w:p>
    <w:p w:rsidR="0026182D" w:rsidRPr="0026182D" w:rsidRDefault="00514DB1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Отметим, что д</w:t>
      </w:r>
      <w:r w:rsidR="0026182D" w:rsidRPr="0026182D">
        <w:rPr>
          <w:rFonts w:ascii="Times New Roman" w:hAnsi="Times New Roman" w:cs="Times New Roman"/>
          <w:sz w:val="24"/>
          <w:szCs w:val="24"/>
        </w:rPr>
        <w:t xml:space="preserve">ля практической реализации методов оценки экономической безопасности нами были использованы финансово-экономические показатели крупнейшего предприятия РФ по производству кондитерских изделий ОАО «Кондитерский концерн Бабаевский» за 2019 – 2021 г. </w:t>
      </w:r>
    </w:p>
    <w:p w:rsidR="0026182D" w:rsidRDefault="0026182D" w:rsidP="00D753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t xml:space="preserve">Так, в рамках индикативного анализа экономической безопасности ОАО «Кондитерский концерн Бабаевский» все индикаторы-показатели были разделены нами на 5 групп: индикаторы имущественного состояния, индикаторы платежеспособности, индикаторы ликвидности, индикаторы рентабельности и деловой активности. Индикативный анализ экономической безопасности ОАО «Кондитерский концерн Бабаевский» нашел отражение в табл. 1. </w:t>
      </w:r>
    </w:p>
    <w:p w:rsidR="008943C5" w:rsidRPr="0026182D" w:rsidRDefault="008943C5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182D" w:rsidRPr="0026182D" w:rsidRDefault="0026182D" w:rsidP="00A8439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26182D" w:rsidRPr="002C5157" w:rsidRDefault="0026182D" w:rsidP="00A843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t xml:space="preserve">Индикативный анализ экономической безопасности ОАО «Кондитерский концерн Бабаевский» </w:t>
      </w:r>
      <w:r w:rsidR="002C5157" w:rsidRPr="002C5157">
        <w:rPr>
          <w:rFonts w:ascii="Times New Roman" w:hAnsi="Times New Roman" w:cs="Times New Roman"/>
          <w:sz w:val="24"/>
          <w:szCs w:val="24"/>
        </w:rPr>
        <w:t>[</w:t>
      </w:r>
      <w:r w:rsidR="00EC2F7E">
        <w:rPr>
          <w:rFonts w:ascii="Times New Roman" w:hAnsi="Times New Roman" w:cs="Times New Roman"/>
          <w:sz w:val="24"/>
          <w:szCs w:val="24"/>
        </w:rPr>
        <w:fldChar w:fldCharType="begin"/>
      </w:r>
      <w:r w:rsidR="002C5157">
        <w:rPr>
          <w:rFonts w:ascii="Times New Roman" w:hAnsi="Times New Roman" w:cs="Times New Roman"/>
          <w:sz w:val="24"/>
          <w:szCs w:val="24"/>
        </w:rPr>
        <w:instrText xml:space="preserve"> REF _Ref23521603 \r \h </w:instrText>
      </w:r>
      <w:r w:rsidR="00EC2F7E">
        <w:rPr>
          <w:rFonts w:ascii="Times New Roman" w:hAnsi="Times New Roman" w:cs="Times New Roman"/>
          <w:sz w:val="24"/>
          <w:szCs w:val="24"/>
        </w:rPr>
      </w:r>
      <w:r w:rsidR="00EC2F7E">
        <w:rPr>
          <w:rFonts w:ascii="Times New Roman" w:hAnsi="Times New Roman" w:cs="Times New Roman"/>
          <w:sz w:val="24"/>
          <w:szCs w:val="24"/>
        </w:rPr>
        <w:fldChar w:fldCharType="separate"/>
      </w:r>
      <w:r w:rsidR="002C5157">
        <w:rPr>
          <w:rFonts w:ascii="Times New Roman" w:hAnsi="Times New Roman" w:cs="Times New Roman"/>
          <w:sz w:val="24"/>
          <w:szCs w:val="24"/>
        </w:rPr>
        <w:t>3</w:t>
      </w:r>
      <w:r w:rsidR="00EC2F7E">
        <w:rPr>
          <w:rFonts w:ascii="Times New Roman" w:hAnsi="Times New Roman" w:cs="Times New Roman"/>
          <w:sz w:val="24"/>
          <w:szCs w:val="24"/>
        </w:rPr>
        <w:fldChar w:fldCharType="end"/>
      </w:r>
      <w:r w:rsidR="002C5157" w:rsidRPr="002C5157">
        <w:rPr>
          <w:rFonts w:ascii="Times New Roman" w:hAnsi="Times New Roman" w:cs="Times New Roman"/>
          <w:sz w:val="24"/>
          <w:szCs w:val="24"/>
        </w:rPr>
        <w:t>]</w:t>
      </w:r>
    </w:p>
    <w:tbl>
      <w:tblPr>
        <w:tblW w:w="9644" w:type="dxa"/>
        <w:tblInd w:w="103" w:type="dxa"/>
        <w:tblLayout w:type="fixed"/>
        <w:tblLook w:val="04A0"/>
      </w:tblPr>
      <w:tblGrid>
        <w:gridCol w:w="5392"/>
        <w:gridCol w:w="1701"/>
        <w:gridCol w:w="850"/>
        <w:gridCol w:w="851"/>
        <w:gridCol w:w="142"/>
        <w:gridCol w:w="708"/>
      </w:tblGrid>
      <w:tr w:rsidR="0026182D" w:rsidRPr="00B2411D" w:rsidTr="00B2411D">
        <w:trPr>
          <w:trHeight w:val="288"/>
        </w:trPr>
        <w:tc>
          <w:tcPr>
            <w:tcW w:w="53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Индикатор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Пороговое значение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Фактическое значение</w:t>
            </w:r>
          </w:p>
        </w:tc>
      </w:tr>
      <w:tr w:rsidR="0026182D" w:rsidRPr="00B2411D" w:rsidTr="008943C5">
        <w:trPr>
          <w:trHeight w:val="166"/>
        </w:trPr>
        <w:tc>
          <w:tcPr>
            <w:tcW w:w="53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</w:t>
            </w:r>
          </w:p>
        </w:tc>
      </w:tr>
      <w:tr w:rsidR="0026182D" w:rsidRPr="00B2411D" w:rsidTr="008943C5">
        <w:trPr>
          <w:trHeight w:val="240"/>
        </w:trPr>
        <w:tc>
          <w:tcPr>
            <w:tcW w:w="96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Индикаторы имущественного состояния</w:t>
            </w:r>
          </w:p>
        </w:tc>
      </w:tr>
      <w:tr w:rsidR="0026182D" w:rsidRPr="00B2411D" w:rsidTr="008943C5">
        <w:trPr>
          <w:trHeight w:val="216"/>
        </w:trPr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износа ОС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&lt; 0,5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0,68</w:t>
            </w:r>
          </w:p>
        </w:tc>
      </w:tr>
      <w:tr w:rsidR="0026182D" w:rsidRPr="00B2411D" w:rsidTr="008943C5">
        <w:trPr>
          <w:trHeight w:val="134"/>
        </w:trPr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выбытия ОС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К. выбытия &lt; К. обновления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</w:tr>
      <w:tr w:rsidR="0026182D" w:rsidRPr="00B2411D" w:rsidTr="008943C5">
        <w:trPr>
          <w:trHeight w:val="207"/>
        </w:trPr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обновления ОС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0,02</w:t>
            </w:r>
          </w:p>
        </w:tc>
      </w:tr>
      <w:tr w:rsidR="0026182D" w:rsidRPr="00B2411D" w:rsidTr="008943C5">
        <w:trPr>
          <w:trHeight w:val="126"/>
        </w:trPr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Фондоотдача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Рост в динамике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11,35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12,08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13,12</w:t>
            </w:r>
          </w:p>
        </w:tc>
      </w:tr>
      <w:tr w:rsidR="0026182D" w:rsidRPr="00B2411D" w:rsidTr="008943C5">
        <w:trPr>
          <w:trHeight w:val="200"/>
        </w:trPr>
        <w:tc>
          <w:tcPr>
            <w:tcW w:w="96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Индикаторы платежеспособности</w:t>
            </w:r>
          </w:p>
        </w:tc>
      </w:tr>
      <w:tr w:rsidR="0026182D" w:rsidRPr="00B2411D" w:rsidTr="008943C5">
        <w:trPr>
          <w:trHeight w:val="173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маневренности собственных средств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0,2 - 0,5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-0,31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-0,99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-1,83</w:t>
            </w:r>
          </w:p>
        </w:tc>
      </w:tr>
      <w:tr w:rsidR="0026182D" w:rsidRPr="00B2411D" w:rsidTr="008943C5">
        <w:trPr>
          <w:trHeight w:val="106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обеспеченности собственными средствами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 0,1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-1,82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-2,68</w:t>
            </w:r>
          </w:p>
        </w:tc>
      </w:tr>
      <w:tr w:rsidR="0026182D" w:rsidRPr="00B2411D" w:rsidTr="008943C5">
        <w:trPr>
          <w:trHeight w:val="151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автономии (независимости)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 0,5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0,58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0,39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0,28</w:t>
            </w:r>
          </w:p>
        </w:tc>
      </w:tr>
      <w:tr w:rsidR="0026182D" w:rsidRPr="00B2411D" w:rsidTr="008943C5">
        <w:trPr>
          <w:trHeight w:val="226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финансовой устойчивости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 0,75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0,68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0,68</w:t>
            </w:r>
          </w:p>
        </w:tc>
      </w:tr>
      <w:tr w:rsidR="0026182D" w:rsidRPr="00B2411D" w:rsidTr="008943C5">
        <w:trPr>
          <w:trHeight w:val="144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финансового риска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&lt; 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1,54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2,51</w:t>
            </w:r>
          </w:p>
        </w:tc>
      </w:tr>
      <w:tr w:rsidR="0026182D" w:rsidRPr="00B2411D" w:rsidTr="008943C5">
        <w:trPr>
          <w:trHeight w:val="189"/>
        </w:trPr>
        <w:tc>
          <w:tcPr>
            <w:tcW w:w="964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Индикаторы ликвидности</w:t>
            </w:r>
          </w:p>
        </w:tc>
      </w:tr>
      <w:tr w:rsidR="0026182D" w:rsidRPr="00B2411D" w:rsidTr="008943C5">
        <w:trPr>
          <w:trHeight w:val="122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общей ликвидности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0,7 - 1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0,58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0,36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0,27</w:t>
            </w:r>
          </w:p>
        </w:tc>
      </w:tr>
      <w:tr w:rsidR="0026182D" w:rsidRPr="00B2411D" w:rsidTr="008943C5">
        <w:trPr>
          <w:trHeight w:val="196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текущей ликвидности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1,5 - 3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0,78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0,60</w:t>
            </w:r>
          </w:p>
        </w:tc>
      </w:tr>
      <w:tr w:rsidR="0026182D" w:rsidRPr="00B2411D" w:rsidTr="008943C5">
        <w:trPr>
          <w:trHeight w:val="114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абсолютной ликвидности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 0,2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0,07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  <w:hideMark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0,08</w:t>
            </w:r>
          </w:p>
        </w:tc>
      </w:tr>
      <w:tr w:rsidR="0026182D" w:rsidRPr="00B2411D" w:rsidTr="008943C5">
        <w:trPr>
          <w:trHeight w:val="188"/>
        </w:trPr>
        <w:tc>
          <w:tcPr>
            <w:tcW w:w="964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Индикаторы рентабельности</w:t>
            </w:r>
          </w:p>
        </w:tc>
      </w:tr>
      <w:tr w:rsidR="0026182D" w:rsidRPr="00B2411D" w:rsidTr="008943C5">
        <w:trPr>
          <w:trHeight w:val="105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рентабельности продаж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&gt; 0,2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0,07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</w:tr>
      <w:tr w:rsidR="0026182D" w:rsidRPr="00B2411D" w:rsidTr="008943C5">
        <w:trPr>
          <w:trHeight w:val="124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рентабельности СК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 0,12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0,10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-0,08</w:t>
            </w:r>
          </w:p>
        </w:tc>
      </w:tr>
      <w:tr w:rsidR="0026182D" w:rsidRPr="00B2411D" w:rsidTr="008943C5">
        <w:trPr>
          <w:trHeight w:val="240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рентабельности производства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 0,07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</w:tr>
      <w:tr w:rsidR="0026182D" w:rsidRPr="00B2411D" w:rsidTr="008943C5">
        <w:trPr>
          <w:trHeight w:val="130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рентабельности активов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 0,1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0,05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-0,02</w:t>
            </w:r>
          </w:p>
        </w:tc>
      </w:tr>
      <w:tr w:rsidR="00514DB1" w:rsidRPr="00B2411D" w:rsidTr="008943C5">
        <w:trPr>
          <w:trHeight w:val="204"/>
        </w:trPr>
        <w:tc>
          <w:tcPr>
            <w:tcW w:w="964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Индикаторы деловой активности</w:t>
            </w:r>
          </w:p>
        </w:tc>
      </w:tr>
      <w:tr w:rsidR="0026182D" w:rsidRPr="00B2411D" w:rsidTr="008943C5">
        <w:trPr>
          <w:trHeight w:val="121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оборачиваемости оборотных активов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Рост в динамике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3,06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3,37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4,14</w:t>
            </w:r>
          </w:p>
        </w:tc>
      </w:tr>
      <w:tr w:rsidR="0026182D" w:rsidRPr="00B2411D" w:rsidTr="008943C5">
        <w:trPr>
          <w:trHeight w:val="196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оборачиваемости запасов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Рост в динамике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7,83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7,34</w:t>
            </w:r>
          </w:p>
        </w:tc>
      </w:tr>
      <w:tr w:rsidR="0026182D" w:rsidRPr="00B2411D" w:rsidTr="008943C5">
        <w:trPr>
          <w:trHeight w:val="255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8943C5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оборачиваемости дебиторской зад</w:t>
            </w:r>
            <w:r w:rsidR="008943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Рост в динамике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6,07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8,04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16,4</w:t>
            </w:r>
          </w:p>
        </w:tc>
      </w:tr>
      <w:tr w:rsidR="0026182D" w:rsidRPr="00B2411D" w:rsidTr="008943C5">
        <w:trPr>
          <w:trHeight w:val="262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8943C5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Коэффициент оборачиваемости кредиторской зад</w:t>
            </w:r>
            <w:r w:rsidR="008943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Рост в динамике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2,29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2,28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26182D" w:rsidRPr="00B2411D" w:rsidRDefault="0026182D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2,52</w:t>
            </w:r>
          </w:p>
        </w:tc>
      </w:tr>
      <w:tr w:rsidR="00514DB1" w:rsidRPr="00B2411D" w:rsidTr="00514DB1">
        <w:trPr>
          <w:trHeight w:val="288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Средний срок оборачиваемости запасов (в днях)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tbl>
            <w:tblPr>
              <w:tblW w:w="1309" w:type="dxa"/>
              <w:tblLayout w:type="fixed"/>
              <w:tblLook w:val="04A0"/>
            </w:tblPr>
            <w:tblGrid>
              <w:gridCol w:w="1309"/>
            </w:tblGrid>
            <w:tr w:rsidR="00514DB1" w:rsidRPr="00B2411D" w:rsidTr="0026182D">
              <w:trPr>
                <w:trHeight w:val="293"/>
              </w:trPr>
              <w:tc>
                <w:tcPr>
                  <w:tcW w:w="1309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514DB1" w:rsidRPr="00B2411D" w:rsidRDefault="00514DB1" w:rsidP="00C34FA3">
                  <w:pPr>
                    <w:spacing w:after="0" w:line="216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</w:pPr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Об</w:t>
                  </w:r>
                  <w:proofErr w:type="gramStart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.</w:t>
                  </w:r>
                  <w:proofErr w:type="gram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 xml:space="preserve"> </w:t>
                  </w:r>
                  <w:proofErr w:type="spellStart"/>
                  <w:proofErr w:type="gramStart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к</w:t>
                  </w:r>
                  <w:proofErr w:type="gram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ред</w:t>
                  </w:r>
                  <w:proofErr w:type="spell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. зад. ≥ (Об</w:t>
                  </w:r>
                  <w:proofErr w:type="gramStart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.</w:t>
                  </w:r>
                  <w:proofErr w:type="gram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 xml:space="preserve"> </w:t>
                  </w:r>
                  <w:proofErr w:type="spellStart"/>
                  <w:proofErr w:type="gramStart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д</w:t>
                  </w:r>
                  <w:proofErr w:type="gram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еб</w:t>
                  </w:r>
                  <w:proofErr w:type="spell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. зад. + Об</w:t>
                  </w:r>
                  <w:proofErr w:type="gramStart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.</w:t>
                  </w:r>
                  <w:proofErr w:type="gram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 xml:space="preserve"> </w:t>
                  </w:r>
                  <w:proofErr w:type="gramStart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з</w:t>
                  </w:r>
                  <w:proofErr w:type="gramEnd"/>
                  <w:r w:rsidRPr="00B2411D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  <w:t>апасов)</w:t>
                  </w:r>
                </w:p>
              </w:tc>
            </w:tr>
            <w:tr w:rsidR="00514DB1" w:rsidRPr="00B2411D" w:rsidTr="0026182D">
              <w:trPr>
                <w:trHeight w:val="293"/>
              </w:trPr>
              <w:tc>
                <w:tcPr>
                  <w:tcW w:w="1309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514DB1" w:rsidRPr="00B2411D" w:rsidRDefault="00514DB1" w:rsidP="00C34FA3">
                  <w:pPr>
                    <w:spacing w:after="0" w:line="216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ru-RU"/>
                    </w:rPr>
                  </w:pPr>
                </w:p>
              </w:tc>
            </w:tr>
          </w:tbl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49</w:t>
            </w:r>
          </w:p>
        </w:tc>
      </w:tr>
      <w:tr w:rsidR="00514DB1" w:rsidRPr="00B2411D" w:rsidTr="00514DB1">
        <w:trPr>
          <w:trHeight w:val="288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14DB1" w:rsidRPr="00B2411D" w:rsidRDefault="00514DB1" w:rsidP="008943C5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Средний срок оборачиваемости дебиторской зад</w:t>
            </w:r>
            <w:proofErr w:type="gramStart"/>
            <w:r w:rsidR="008943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proofErr w:type="gramEnd"/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proofErr w:type="gramStart"/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</w:t>
            </w:r>
            <w:proofErr w:type="gramEnd"/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днях)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</w:tr>
      <w:tr w:rsidR="00514DB1" w:rsidRPr="00B2411D" w:rsidTr="00514DB1">
        <w:trPr>
          <w:trHeight w:val="288"/>
        </w:trPr>
        <w:tc>
          <w:tcPr>
            <w:tcW w:w="53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14DB1" w:rsidRPr="00B2411D" w:rsidRDefault="00514DB1" w:rsidP="008943C5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Средний срок оборачиваемости кредиторской зад</w:t>
            </w:r>
            <w:proofErr w:type="gramStart"/>
            <w:r w:rsidR="008943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proofErr w:type="gramEnd"/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</w:t>
            </w:r>
            <w:proofErr w:type="gramStart"/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</w:t>
            </w:r>
            <w:proofErr w:type="gramEnd"/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днях)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157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center"/>
          </w:tcPr>
          <w:p w:rsidR="00514DB1" w:rsidRPr="00B2411D" w:rsidRDefault="00514DB1" w:rsidP="00C34FA3">
            <w:pPr>
              <w:spacing w:after="0" w:line="21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B241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143</w:t>
            </w:r>
          </w:p>
        </w:tc>
      </w:tr>
    </w:tbl>
    <w:p w:rsidR="0026182D" w:rsidRPr="0026182D" w:rsidRDefault="0026182D" w:rsidP="00D7533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lastRenderedPageBreak/>
        <w:t xml:space="preserve">Проведенный индикативный анализ ОАО «Кондитерский концерн Бабаевский» показал, что большинство показателей-индикаторов за период 2019 – 2021 года характеризовались снижающейся тенденцией и имели фактические значения ниже нормативных (пороговых). Так, все показатели-индикаторы платежеспособности, ликвидности и рентабельности за рассматриваемый период имели низкие значения, что связано с ростом затрат на производство и себестоимости продукции, увеличением зависимости предприятия от заемных средств и снижением объема собственного капитала, замедлением оборачиваемости запасов и застывании денежных средств в них. Вместе с тем, за анализируемый период существенно улучшились показатели-индикаторы, характеризующие деловую активность, что является положительной тенденцией в деятельности предприятия. Так, существенно возрос коэффициент оборачиваемости дебиторской задолженности с 6,07 в 2019 году до 16,41 в 2021 годы, что говорит о том, что срок погашения дебиторской задолженности существенно сократился и если в 2019 г. дебиторская задолженность в среднем погашалась в течение 59 дней, то в 2021 г. в течение 22 дней. </w:t>
      </w:r>
      <w:proofErr w:type="gramStart"/>
      <w:r w:rsidRPr="0026182D">
        <w:rPr>
          <w:rFonts w:ascii="Times New Roman" w:hAnsi="Times New Roman" w:cs="Times New Roman"/>
          <w:sz w:val="24"/>
          <w:szCs w:val="24"/>
        </w:rPr>
        <w:t>Кроме того, возрос и коэффициент оборачиваемости кредиторской задолженности с 2,29 в 2019 г. до 2,52 в 2021 г., что говорит о том, что предприятие стало быстрее погашать свои долги перед кредиторами, в результате чего средний срок оборачиваемости кредиторской задолженности сократился с 157 дней в 2019 г. до 143 дней в 2021 г. Положительная тенденция прослеживается и в отношении показателя фондоотдачи</w:t>
      </w:r>
      <w:proofErr w:type="gramEnd"/>
      <w:r w:rsidRPr="0026182D">
        <w:rPr>
          <w:rFonts w:ascii="Times New Roman" w:hAnsi="Times New Roman" w:cs="Times New Roman"/>
          <w:sz w:val="24"/>
          <w:szCs w:val="24"/>
        </w:rPr>
        <w:t xml:space="preserve"> и коэффициента оборачиваемости оборотных активов, что свидетельствует об эффективном использовании предприятием основных и оборотных средств. </w:t>
      </w:r>
    </w:p>
    <w:p w:rsidR="0026182D" w:rsidRPr="0026182D" w:rsidRDefault="0026182D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t xml:space="preserve">Обобщая вышесказанное, подчеркнем, что, несмотря на существенный рост показателей-индикаторов деловой активности ОАО «Кондитерский концерн Бабаевский» иные показатели-индикаторы, характеризующие его платежеспособность, ликвидность и рентабельность имели критические значения вследствие чего, в соответствии с индикативным методом, состояние экономической безопасности предприятия можно охарактеризовать как «кризисное». При этом «кризисное» состояние – это состояние, при котором большинство показателей-индикаторов экономической безопасности превышают пороговые значения, у предприятия появляются признаки необратимости спада производства и потери потенциала ввиду исчерпания технического ресурса оборудования и площадей.   </w:t>
      </w:r>
    </w:p>
    <w:p w:rsidR="0026182D" w:rsidRPr="0026182D" w:rsidRDefault="0026182D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Вместе с тем, для того чтобы иметь полное преставление об экономической безопасности предприятия необходимо оценить ее и другим методом. Так, мы оценили экономическую безопасность </w:t>
      </w:r>
      <w:r w:rsidRPr="0026182D">
        <w:rPr>
          <w:rFonts w:ascii="Times New Roman" w:hAnsi="Times New Roman" w:cs="Times New Roman"/>
          <w:sz w:val="24"/>
          <w:szCs w:val="24"/>
        </w:rPr>
        <w:t>ОАО «Кондитерский концерн Бабаевский» с помощью интегрального (сводного) метода. В основе данного метода лежит анализ 4 составляющих предприятия: финансовой, производственно-сбытовой, техн</w:t>
      </w:r>
      <w:r w:rsidR="00514DB1">
        <w:rPr>
          <w:rFonts w:ascii="Times New Roman" w:hAnsi="Times New Roman" w:cs="Times New Roman"/>
          <w:sz w:val="24"/>
          <w:szCs w:val="24"/>
        </w:rPr>
        <w:t>ико-технологической и кадровой</w:t>
      </w:r>
      <w:r w:rsidR="00DF02F2">
        <w:rPr>
          <w:rFonts w:ascii="Times New Roman" w:hAnsi="Times New Roman" w:cs="Times New Roman"/>
          <w:sz w:val="24"/>
          <w:szCs w:val="24"/>
        </w:rPr>
        <w:t>, в каждой из которых рассматриваются соответствующие показатели</w:t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 [</w:t>
      </w:r>
      <w:r w:rsidR="00EC2F7E">
        <w:rPr>
          <w:rFonts w:ascii="Times New Roman" w:hAnsi="Times New Roman" w:cs="Times New Roman"/>
          <w:sz w:val="24"/>
          <w:szCs w:val="24"/>
        </w:rPr>
        <w:fldChar w:fldCharType="begin"/>
      </w:r>
      <w:r w:rsidR="00333C59">
        <w:rPr>
          <w:rFonts w:ascii="Times New Roman" w:hAnsi="Times New Roman" w:cs="Times New Roman"/>
          <w:sz w:val="24"/>
          <w:szCs w:val="24"/>
        </w:rPr>
        <w:instrText xml:space="preserve"> REF _Ref69940106 \r \h </w:instrText>
      </w:r>
      <w:r w:rsidR="00EC2F7E">
        <w:rPr>
          <w:rFonts w:ascii="Times New Roman" w:hAnsi="Times New Roman" w:cs="Times New Roman"/>
          <w:sz w:val="24"/>
          <w:szCs w:val="24"/>
        </w:rPr>
      </w:r>
      <w:r w:rsidR="00EC2F7E">
        <w:rPr>
          <w:rFonts w:ascii="Times New Roman" w:hAnsi="Times New Roman" w:cs="Times New Roman"/>
          <w:sz w:val="24"/>
          <w:szCs w:val="24"/>
        </w:rPr>
        <w:fldChar w:fldCharType="separate"/>
      </w:r>
      <w:r w:rsidR="00333C59">
        <w:rPr>
          <w:rFonts w:ascii="Times New Roman" w:hAnsi="Times New Roman" w:cs="Times New Roman"/>
          <w:sz w:val="24"/>
          <w:szCs w:val="24"/>
        </w:rPr>
        <w:t>1</w:t>
      </w:r>
      <w:r w:rsidR="00EC2F7E">
        <w:rPr>
          <w:rFonts w:ascii="Times New Roman" w:hAnsi="Times New Roman" w:cs="Times New Roman"/>
          <w:sz w:val="24"/>
          <w:szCs w:val="24"/>
        </w:rPr>
        <w:fldChar w:fldCharType="end"/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, </w:t>
      </w:r>
      <w:r w:rsidR="00333C5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33C59" w:rsidRPr="00333C59">
        <w:rPr>
          <w:rFonts w:ascii="Times New Roman" w:hAnsi="Times New Roman" w:cs="Times New Roman"/>
          <w:sz w:val="24"/>
          <w:szCs w:val="24"/>
        </w:rPr>
        <w:t>. 64]</w:t>
      </w:r>
      <w:r w:rsidR="00514DB1">
        <w:rPr>
          <w:rFonts w:ascii="Times New Roman" w:hAnsi="Times New Roman" w:cs="Times New Roman"/>
          <w:sz w:val="24"/>
          <w:szCs w:val="24"/>
        </w:rPr>
        <w:t>. А</w:t>
      </w:r>
      <w:r w:rsidRPr="0026182D">
        <w:rPr>
          <w:rFonts w:ascii="Times New Roman" w:hAnsi="Times New Roman" w:cs="Times New Roman"/>
          <w:sz w:val="24"/>
          <w:szCs w:val="24"/>
        </w:rPr>
        <w:t xml:space="preserve">нализ экономической безопасности </w:t>
      </w:r>
      <w:r w:rsidR="00514DB1" w:rsidRPr="0026182D">
        <w:rPr>
          <w:rFonts w:ascii="Times New Roman" w:hAnsi="Times New Roman" w:cs="Times New Roman"/>
          <w:sz w:val="24"/>
          <w:szCs w:val="24"/>
        </w:rPr>
        <w:t xml:space="preserve">ОАО «Кондитерский концерн Бабаевский» </w:t>
      </w:r>
      <w:r w:rsidR="00514DB1">
        <w:rPr>
          <w:rFonts w:ascii="Times New Roman" w:hAnsi="Times New Roman" w:cs="Times New Roman"/>
          <w:sz w:val="24"/>
          <w:szCs w:val="24"/>
        </w:rPr>
        <w:t xml:space="preserve">с помощью сводного (интегрального) </w:t>
      </w:r>
      <w:r w:rsidR="001A425A">
        <w:rPr>
          <w:rFonts w:ascii="Times New Roman" w:hAnsi="Times New Roman" w:cs="Times New Roman"/>
          <w:sz w:val="24"/>
          <w:szCs w:val="24"/>
        </w:rPr>
        <w:t xml:space="preserve">метода </w:t>
      </w:r>
      <w:r w:rsidR="00514DB1">
        <w:rPr>
          <w:rFonts w:ascii="Times New Roman" w:hAnsi="Times New Roman" w:cs="Times New Roman"/>
          <w:sz w:val="24"/>
          <w:szCs w:val="24"/>
        </w:rPr>
        <w:t>представлен в табл.</w:t>
      </w:r>
      <w:r w:rsidR="00DF02F2">
        <w:rPr>
          <w:rFonts w:ascii="Times New Roman" w:hAnsi="Times New Roman" w:cs="Times New Roman"/>
          <w:sz w:val="24"/>
          <w:szCs w:val="24"/>
        </w:rPr>
        <w:t xml:space="preserve"> </w:t>
      </w:r>
      <w:r w:rsidR="00514DB1">
        <w:rPr>
          <w:rFonts w:ascii="Times New Roman" w:hAnsi="Times New Roman" w:cs="Times New Roman"/>
          <w:sz w:val="24"/>
          <w:szCs w:val="24"/>
        </w:rPr>
        <w:t>2.</w:t>
      </w:r>
    </w:p>
    <w:p w:rsidR="001A425A" w:rsidRDefault="001A425A" w:rsidP="00A8439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6182D" w:rsidRPr="0026182D" w:rsidRDefault="00514DB1" w:rsidP="00A8439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</w:t>
      </w:r>
    </w:p>
    <w:p w:rsidR="0026182D" w:rsidRPr="002C5157" w:rsidRDefault="0026182D" w:rsidP="00A8439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t>Оценка экономической безопасности ОАО «Кондитерский концерн Бабаевский» интегральным (сводным) методом</w:t>
      </w:r>
      <w:r w:rsidR="002C5157" w:rsidRPr="002C5157">
        <w:rPr>
          <w:rFonts w:ascii="Times New Roman" w:hAnsi="Times New Roman" w:cs="Times New Roman"/>
          <w:sz w:val="24"/>
          <w:szCs w:val="24"/>
        </w:rPr>
        <w:t xml:space="preserve"> [</w:t>
      </w:r>
      <w:r w:rsidR="00EC2F7E">
        <w:rPr>
          <w:rFonts w:ascii="Times New Roman" w:hAnsi="Times New Roman" w:cs="Times New Roman"/>
          <w:sz w:val="24"/>
          <w:szCs w:val="24"/>
        </w:rPr>
        <w:fldChar w:fldCharType="begin"/>
      </w:r>
      <w:r w:rsidR="002C5157">
        <w:rPr>
          <w:rFonts w:ascii="Times New Roman" w:hAnsi="Times New Roman" w:cs="Times New Roman"/>
          <w:sz w:val="24"/>
          <w:szCs w:val="24"/>
        </w:rPr>
        <w:instrText xml:space="preserve"> REF _Ref23521603 \r \h </w:instrText>
      </w:r>
      <w:r w:rsidR="00EC2F7E">
        <w:rPr>
          <w:rFonts w:ascii="Times New Roman" w:hAnsi="Times New Roman" w:cs="Times New Roman"/>
          <w:sz w:val="24"/>
          <w:szCs w:val="24"/>
        </w:rPr>
      </w:r>
      <w:r w:rsidR="00EC2F7E">
        <w:rPr>
          <w:rFonts w:ascii="Times New Roman" w:hAnsi="Times New Roman" w:cs="Times New Roman"/>
          <w:sz w:val="24"/>
          <w:szCs w:val="24"/>
        </w:rPr>
        <w:fldChar w:fldCharType="separate"/>
      </w:r>
      <w:r w:rsidR="002C5157">
        <w:rPr>
          <w:rFonts w:ascii="Times New Roman" w:hAnsi="Times New Roman" w:cs="Times New Roman"/>
          <w:sz w:val="24"/>
          <w:szCs w:val="24"/>
        </w:rPr>
        <w:t>3</w:t>
      </w:r>
      <w:r w:rsidR="00EC2F7E">
        <w:rPr>
          <w:rFonts w:ascii="Times New Roman" w:hAnsi="Times New Roman" w:cs="Times New Roman"/>
          <w:sz w:val="24"/>
          <w:szCs w:val="24"/>
        </w:rPr>
        <w:fldChar w:fldCharType="end"/>
      </w:r>
      <w:r w:rsidR="002C5157" w:rsidRPr="002C5157">
        <w:rPr>
          <w:rFonts w:ascii="Times New Roman" w:hAnsi="Times New Roman" w:cs="Times New Roman"/>
          <w:sz w:val="24"/>
          <w:szCs w:val="24"/>
        </w:rPr>
        <w:t>]</w:t>
      </w:r>
    </w:p>
    <w:tbl>
      <w:tblPr>
        <w:tblStyle w:val="a6"/>
        <w:tblW w:w="9639" w:type="dxa"/>
        <w:tblInd w:w="108" w:type="dxa"/>
        <w:tblLayout w:type="fixed"/>
        <w:tblLook w:val="04A0"/>
      </w:tblPr>
      <w:tblGrid>
        <w:gridCol w:w="426"/>
        <w:gridCol w:w="5953"/>
        <w:gridCol w:w="992"/>
        <w:gridCol w:w="993"/>
        <w:gridCol w:w="1275"/>
      </w:tblGrid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Показатель</w:t>
            </w:r>
          </w:p>
        </w:tc>
        <w:tc>
          <w:tcPr>
            <w:tcW w:w="992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99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1275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26182D" w:rsidRPr="00B2411D" w:rsidTr="00B2411D">
        <w:tc>
          <w:tcPr>
            <w:tcW w:w="9639" w:type="dxa"/>
            <w:gridSpan w:val="5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Финансовая составляющая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автономии</w:t>
            </w:r>
          </w:p>
        </w:tc>
        <w:tc>
          <w:tcPr>
            <w:tcW w:w="992" w:type="dxa"/>
            <w:shd w:val="clear" w:color="auto" w:fill="9BBB59" w:themeFill="accent3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0,58</w:t>
            </w:r>
          </w:p>
        </w:tc>
        <w:tc>
          <w:tcPr>
            <w:tcW w:w="993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0,39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0,28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обеспеченности собственными средствами</w:t>
            </w:r>
          </w:p>
        </w:tc>
        <w:tc>
          <w:tcPr>
            <w:tcW w:w="992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-0,76</w:t>
            </w:r>
          </w:p>
        </w:tc>
        <w:tc>
          <w:tcPr>
            <w:tcW w:w="993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-1,82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-2,68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абсолютной ликвидности</w:t>
            </w:r>
          </w:p>
        </w:tc>
        <w:tc>
          <w:tcPr>
            <w:tcW w:w="992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993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0,08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текущей ликвидности</w:t>
            </w:r>
          </w:p>
        </w:tc>
        <w:tc>
          <w:tcPr>
            <w:tcW w:w="992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0,78</w:t>
            </w:r>
          </w:p>
        </w:tc>
        <w:tc>
          <w:tcPr>
            <w:tcW w:w="993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0,67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0,60</w:t>
            </w:r>
          </w:p>
        </w:tc>
      </w:tr>
      <w:tr w:rsidR="0026182D" w:rsidRPr="00B2411D" w:rsidTr="00B2411D">
        <w:tc>
          <w:tcPr>
            <w:tcW w:w="426" w:type="dxa"/>
            <w:vMerge w:val="restart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Пятифакторная модель Альтмана</w:t>
            </w:r>
          </w:p>
        </w:tc>
        <w:tc>
          <w:tcPr>
            <w:tcW w:w="992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1,09</w:t>
            </w:r>
          </w:p>
        </w:tc>
        <w:tc>
          <w:tcPr>
            <w:tcW w:w="993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0,82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0,75</w:t>
            </w:r>
          </w:p>
        </w:tc>
      </w:tr>
      <w:tr w:rsidR="0026182D" w:rsidRPr="00B2411D" w:rsidTr="00B2411D">
        <w:tc>
          <w:tcPr>
            <w:tcW w:w="426" w:type="dxa"/>
            <w:vMerge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953" w:type="dxa"/>
            <w:vAlign w:val="center"/>
          </w:tcPr>
          <w:p w:rsidR="0026182D" w:rsidRPr="00B2411D" w:rsidRDefault="00EC2F7E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-0,13</w:t>
            </w:r>
          </w:p>
        </w:tc>
      </w:tr>
      <w:tr w:rsidR="0026182D" w:rsidRPr="00B2411D" w:rsidTr="00B2411D">
        <w:tc>
          <w:tcPr>
            <w:tcW w:w="426" w:type="dxa"/>
            <w:vMerge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953" w:type="dxa"/>
            <w:vAlign w:val="center"/>
          </w:tcPr>
          <w:p w:rsidR="0026182D" w:rsidRPr="00B2411D" w:rsidRDefault="00EC2F7E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-0,02</w:t>
            </w:r>
          </w:p>
        </w:tc>
      </w:tr>
      <w:tr w:rsidR="0026182D" w:rsidRPr="00B2411D" w:rsidTr="00B2411D">
        <w:tc>
          <w:tcPr>
            <w:tcW w:w="426" w:type="dxa"/>
            <w:vMerge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953" w:type="dxa"/>
            <w:vAlign w:val="center"/>
          </w:tcPr>
          <w:p w:rsidR="0026182D" w:rsidRPr="00B2411D" w:rsidRDefault="00EC2F7E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-0,03</w:t>
            </w:r>
          </w:p>
        </w:tc>
      </w:tr>
      <w:tr w:rsidR="0026182D" w:rsidRPr="00B2411D" w:rsidTr="00B2411D">
        <w:tc>
          <w:tcPr>
            <w:tcW w:w="426" w:type="dxa"/>
            <w:vMerge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953" w:type="dxa"/>
            <w:vAlign w:val="center"/>
          </w:tcPr>
          <w:p w:rsidR="0026182D" w:rsidRPr="00B2411D" w:rsidRDefault="00EC2F7E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1,38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0,40</w:t>
            </w:r>
          </w:p>
        </w:tc>
      </w:tr>
      <w:tr w:rsidR="0026182D" w:rsidRPr="00B2411D" w:rsidTr="00B2411D">
        <w:tc>
          <w:tcPr>
            <w:tcW w:w="426" w:type="dxa"/>
            <w:vMerge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953" w:type="dxa"/>
            <w:vAlign w:val="center"/>
          </w:tcPr>
          <w:p w:rsidR="0026182D" w:rsidRPr="00B2411D" w:rsidRDefault="00EC2F7E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Cambria Math" w:hAnsi="Times New Roman" w:cs="Times New Roman"/>
                        <w:sz w:val="20"/>
                        <w:szCs w:val="20"/>
                      </w:rPr>
                      <m:t>5</m:t>
                    </m:r>
                  </m:sub>
                </m:sSub>
              </m:oMath>
            </m:oMathPara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0,91</w:t>
            </w:r>
          </w:p>
        </w:tc>
      </w:tr>
    </w:tbl>
    <w:p w:rsidR="001A425A" w:rsidRPr="001A425A" w:rsidRDefault="001A425A" w:rsidP="001A425A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br w:type="page"/>
      </w:r>
      <w:r w:rsidRPr="001A425A">
        <w:rPr>
          <w:rFonts w:ascii="Times New Roman" w:hAnsi="Times New Roman" w:cs="Times New Roman"/>
          <w:sz w:val="24"/>
          <w:szCs w:val="24"/>
        </w:rPr>
        <w:lastRenderedPageBreak/>
        <w:t>окончание табл. 2</w:t>
      </w:r>
    </w:p>
    <w:tbl>
      <w:tblPr>
        <w:tblStyle w:val="a6"/>
        <w:tblW w:w="9639" w:type="dxa"/>
        <w:tblInd w:w="108" w:type="dxa"/>
        <w:tblLayout w:type="fixed"/>
        <w:tblLook w:val="04A0"/>
      </w:tblPr>
      <w:tblGrid>
        <w:gridCol w:w="426"/>
        <w:gridCol w:w="5953"/>
        <w:gridCol w:w="992"/>
        <w:gridCol w:w="993"/>
        <w:gridCol w:w="1275"/>
      </w:tblGrid>
      <w:tr w:rsidR="0026182D" w:rsidRPr="00B2411D" w:rsidTr="00B2411D">
        <w:tc>
          <w:tcPr>
            <w:tcW w:w="6379" w:type="dxa"/>
            <w:gridSpan w:val="2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</w:t>
            </w:r>
            <w:proofErr w:type="gramStart"/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  <w:proofErr w:type="gramEnd"/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0,35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-0,19</w:t>
            </w:r>
          </w:p>
        </w:tc>
      </w:tr>
      <w:tr w:rsidR="0026182D" w:rsidRPr="00B2411D" w:rsidTr="00B2411D">
        <w:tc>
          <w:tcPr>
            <w:tcW w:w="9639" w:type="dxa"/>
            <w:gridSpan w:val="5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Производственно-сбытовая составляющая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рентабельности продаж</w:t>
            </w:r>
          </w:p>
        </w:tc>
        <w:tc>
          <w:tcPr>
            <w:tcW w:w="992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993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рентабельности активов</w:t>
            </w:r>
          </w:p>
        </w:tc>
        <w:tc>
          <w:tcPr>
            <w:tcW w:w="992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993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-0,02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соотношения дебиторской и кредиторской задолженности</w:t>
            </w:r>
          </w:p>
        </w:tc>
        <w:tc>
          <w:tcPr>
            <w:tcW w:w="992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0,44</w:t>
            </w:r>
          </w:p>
        </w:tc>
        <w:tc>
          <w:tcPr>
            <w:tcW w:w="993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1275" w:type="dxa"/>
            <w:shd w:val="clear" w:color="auto" w:fill="FF00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0,14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sz w:val="20"/>
                <w:szCs w:val="20"/>
              </w:rPr>
              <w:t>Коэффициент оборачиваемости оборотных активов</w:t>
            </w:r>
          </w:p>
        </w:tc>
        <w:tc>
          <w:tcPr>
            <w:tcW w:w="992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3,06</w:t>
            </w:r>
          </w:p>
        </w:tc>
        <w:tc>
          <w:tcPr>
            <w:tcW w:w="993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3,37</w:t>
            </w:r>
          </w:p>
        </w:tc>
        <w:tc>
          <w:tcPr>
            <w:tcW w:w="1275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4,14</w:t>
            </w:r>
          </w:p>
        </w:tc>
      </w:tr>
      <w:tr w:rsidR="0026182D" w:rsidRPr="00B2411D" w:rsidTr="00B2411D">
        <w:tc>
          <w:tcPr>
            <w:tcW w:w="6379" w:type="dxa"/>
            <w:gridSpan w:val="2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</w:t>
            </w:r>
            <w:proofErr w:type="gramStart"/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  <w:proofErr w:type="gramEnd"/>
          </w:p>
        </w:tc>
        <w:tc>
          <w:tcPr>
            <w:tcW w:w="992" w:type="dxa"/>
            <w:shd w:val="clear" w:color="auto" w:fill="FFFFFF" w:themeFill="background1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0,90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0,90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1,07</w:t>
            </w:r>
          </w:p>
        </w:tc>
      </w:tr>
      <w:tr w:rsidR="0026182D" w:rsidRPr="00B2411D" w:rsidTr="00B2411D">
        <w:tc>
          <w:tcPr>
            <w:tcW w:w="9639" w:type="dxa"/>
            <w:gridSpan w:val="5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Технико-технологическая составляющая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Коэффициент фондоотдачи</w:t>
            </w:r>
          </w:p>
        </w:tc>
        <w:tc>
          <w:tcPr>
            <w:tcW w:w="992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11,35</w:t>
            </w:r>
          </w:p>
        </w:tc>
        <w:tc>
          <w:tcPr>
            <w:tcW w:w="993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12,08</w:t>
            </w:r>
          </w:p>
        </w:tc>
        <w:tc>
          <w:tcPr>
            <w:tcW w:w="1275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13,12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Коэффициент годности ОС</w:t>
            </w:r>
          </w:p>
        </w:tc>
        <w:tc>
          <w:tcPr>
            <w:tcW w:w="992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0,36</w:t>
            </w:r>
          </w:p>
        </w:tc>
        <w:tc>
          <w:tcPr>
            <w:tcW w:w="993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0,34</w:t>
            </w:r>
          </w:p>
        </w:tc>
        <w:tc>
          <w:tcPr>
            <w:tcW w:w="1275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0,32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Коэффициент обновления ОС</w:t>
            </w:r>
          </w:p>
        </w:tc>
        <w:tc>
          <w:tcPr>
            <w:tcW w:w="992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993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275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0,02</w:t>
            </w:r>
          </w:p>
        </w:tc>
      </w:tr>
      <w:tr w:rsidR="0026182D" w:rsidRPr="00B2411D" w:rsidTr="00B2411D">
        <w:tc>
          <w:tcPr>
            <w:tcW w:w="6379" w:type="dxa"/>
            <w:gridSpan w:val="2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3,92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4,14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4,49</w:t>
            </w:r>
          </w:p>
        </w:tc>
      </w:tr>
      <w:tr w:rsidR="0026182D" w:rsidRPr="00B2411D" w:rsidTr="00B2411D">
        <w:tc>
          <w:tcPr>
            <w:tcW w:w="9639" w:type="dxa"/>
            <w:gridSpan w:val="5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Кадровая составляющая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Коэффициент среднего уровня </w:t>
            </w:r>
            <w:proofErr w:type="spellStart"/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з.п</w:t>
            </w:r>
            <w:proofErr w:type="spellEnd"/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92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  <w:tc>
          <w:tcPr>
            <w:tcW w:w="993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1,01</w:t>
            </w:r>
          </w:p>
        </w:tc>
        <w:tc>
          <w:tcPr>
            <w:tcW w:w="1275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1,15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Коэффициент стабильности кадров</w:t>
            </w:r>
          </w:p>
        </w:tc>
        <w:tc>
          <w:tcPr>
            <w:tcW w:w="992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0,97</w:t>
            </w:r>
          </w:p>
        </w:tc>
        <w:tc>
          <w:tcPr>
            <w:tcW w:w="993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0,93</w:t>
            </w:r>
          </w:p>
        </w:tc>
        <w:tc>
          <w:tcPr>
            <w:tcW w:w="1275" w:type="dxa"/>
            <w:shd w:val="clear" w:color="auto" w:fill="FFFF0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0,92</w:t>
            </w:r>
          </w:p>
        </w:tc>
      </w:tr>
      <w:tr w:rsidR="0026182D" w:rsidRPr="00B2411D" w:rsidTr="00B2411D">
        <w:tc>
          <w:tcPr>
            <w:tcW w:w="426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953" w:type="dxa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Коэффициент выработки продукции на 1 работника</w:t>
            </w:r>
          </w:p>
        </w:tc>
        <w:tc>
          <w:tcPr>
            <w:tcW w:w="992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0,0001</w:t>
            </w:r>
          </w:p>
        </w:tc>
        <w:tc>
          <w:tcPr>
            <w:tcW w:w="993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0,0002</w:t>
            </w:r>
          </w:p>
        </w:tc>
        <w:tc>
          <w:tcPr>
            <w:tcW w:w="1275" w:type="dxa"/>
            <w:shd w:val="clear" w:color="auto" w:fill="92D050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0,0002</w:t>
            </w:r>
          </w:p>
        </w:tc>
      </w:tr>
      <w:tr w:rsidR="0026182D" w:rsidRPr="00B2411D" w:rsidTr="00B2411D">
        <w:tc>
          <w:tcPr>
            <w:tcW w:w="6379" w:type="dxa"/>
            <w:gridSpan w:val="2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К</w:t>
            </w:r>
            <w:proofErr w:type="gramStart"/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4</w:t>
            </w:r>
            <w:proofErr w:type="gramEnd"/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0,63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0,69</w:t>
            </w:r>
          </w:p>
        </w:tc>
      </w:tr>
      <w:tr w:rsidR="0026182D" w:rsidRPr="00B2411D" w:rsidTr="00B2411D">
        <w:tc>
          <w:tcPr>
            <w:tcW w:w="6379" w:type="dxa"/>
            <w:gridSpan w:val="2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2411D">
              <w:rPr>
                <w:rFonts w:ascii="Times New Roman" w:eastAsia="Calibri" w:hAnsi="Times New Roman" w:cs="Times New Roman"/>
                <w:sz w:val="20"/>
                <w:szCs w:val="20"/>
              </w:rPr>
              <w:t>Интегральный уровень экономической безопасности (ИЭБ)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1,43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26182D" w:rsidRPr="00B2411D" w:rsidRDefault="0026182D" w:rsidP="00B2411D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2411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1,51</w:t>
            </w:r>
          </w:p>
        </w:tc>
      </w:tr>
    </w:tbl>
    <w:p w:rsidR="0026182D" w:rsidRPr="0026182D" w:rsidRDefault="0026182D" w:rsidP="002618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F02F2" w:rsidRPr="0026182D" w:rsidRDefault="001A425A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r w:rsidR="00DF02F2" w:rsidRPr="0026182D">
        <w:rPr>
          <w:rFonts w:ascii="Times New Roman" w:hAnsi="Times New Roman" w:cs="Times New Roman"/>
          <w:sz w:val="24"/>
          <w:szCs w:val="24"/>
        </w:rPr>
        <w:t>роведенный анализ экономической безопасности ОАО «Кондитерский</w:t>
      </w:r>
      <w:r w:rsidR="00DF02F2">
        <w:rPr>
          <w:rFonts w:ascii="Times New Roman" w:hAnsi="Times New Roman" w:cs="Times New Roman"/>
          <w:sz w:val="24"/>
          <w:szCs w:val="24"/>
        </w:rPr>
        <w:t xml:space="preserve"> концерн Бабаевский» с помощью</w:t>
      </w:r>
      <w:r w:rsidR="00DF02F2" w:rsidRPr="0026182D">
        <w:rPr>
          <w:rFonts w:ascii="Times New Roman" w:hAnsi="Times New Roman" w:cs="Times New Roman"/>
          <w:sz w:val="24"/>
          <w:szCs w:val="24"/>
        </w:rPr>
        <w:t xml:space="preserve"> интегрально</w:t>
      </w:r>
      <w:r w:rsidR="00DF02F2">
        <w:rPr>
          <w:rFonts w:ascii="Times New Roman" w:hAnsi="Times New Roman" w:cs="Times New Roman"/>
          <w:sz w:val="24"/>
          <w:szCs w:val="24"/>
        </w:rPr>
        <w:t xml:space="preserve">го (сводного) метода </w:t>
      </w:r>
      <w:r w:rsidR="00DF02F2" w:rsidRPr="0026182D">
        <w:rPr>
          <w:rFonts w:ascii="Times New Roman" w:hAnsi="Times New Roman" w:cs="Times New Roman"/>
          <w:sz w:val="24"/>
          <w:szCs w:val="24"/>
        </w:rPr>
        <w:t xml:space="preserve">показал, что, несмотря на существенное снижение большинства показателей финансовой и производственно-сбытовой составляющей, интегральный показатель экономической безопасности предприятия за анализируемый период несколько увеличился с 1,45 в 2019 г. до 1,51 в 2021 г., что связано с ростом показателей технико-технологической и кадровой составляющей, стремительным ростом коэффициента оборачиваемости оборотных активов.   </w:t>
      </w:r>
      <w:proofErr w:type="gramEnd"/>
    </w:p>
    <w:p w:rsidR="0026182D" w:rsidRPr="00C34FA3" w:rsidRDefault="00DF02F2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Подчеркнем, что для оценки экономической безопасности предприятия широкое распространение имеет </w:t>
      </w:r>
      <w:r w:rsidR="00C34FA3">
        <w:rPr>
          <w:rFonts w:ascii="Times New Roman" w:hAnsi="Times New Roman" w:cs="Times New Roman"/>
          <w:sz w:val="24"/>
          <w:szCs w:val="24"/>
        </w:rPr>
        <w:t xml:space="preserve">метод, основанный на анализе моделей банкротства. </w:t>
      </w:r>
      <w:r w:rsidR="00C34FA3" w:rsidRPr="00C34FA3">
        <w:rPr>
          <w:rFonts w:ascii="Times New Roman" w:hAnsi="Times New Roman" w:cs="Times New Roman"/>
          <w:sz w:val="24"/>
          <w:szCs w:val="24"/>
        </w:rPr>
        <w:t xml:space="preserve"> Цель данного метода – оценить состояние субъекта хозяйствования, выявить его близость и предрасположенность к банкротству. При этом на сегодняшний день существует множество как зарубежных, так и отечественных вариаций данного метода</w:t>
      </w:r>
      <w:r w:rsidR="00C34FA3">
        <w:rPr>
          <w:rFonts w:ascii="Times New Roman" w:hAnsi="Times New Roman" w:cs="Times New Roman"/>
          <w:sz w:val="24"/>
          <w:szCs w:val="24"/>
        </w:rPr>
        <w:t>, нами же будет рассмотрено 5 наиболее популярных из них</w:t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 [</w:t>
      </w:r>
      <w:r w:rsidR="00EC2F7E">
        <w:rPr>
          <w:rFonts w:ascii="Times New Roman" w:hAnsi="Times New Roman" w:cs="Times New Roman"/>
          <w:sz w:val="24"/>
          <w:szCs w:val="24"/>
        </w:rPr>
        <w:fldChar w:fldCharType="begin"/>
      </w:r>
      <w:r w:rsidR="00333C59">
        <w:rPr>
          <w:rFonts w:ascii="Times New Roman" w:hAnsi="Times New Roman" w:cs="Times New Roman"/>
          <w:sz w:val="24"/>
          <w:szCs w:val="24"/>
        </w:rPr>
        <w:instrText xml:space="preserve"> REF _Ref69940106 \r \h </w:instrText>
      </w:r>
      <w:r w:rsidR="00EC2F7E">
        <w:rPr>
          <w:rFonts w:ascii="Times New Roman" w:hAnsi="Times New Roman" w:cs="Times New Roman"/>
          <w:sz w:val="24"/>
          <w:szCs w:val="24"/>
        </w:rPr>
      </w:r>
      <w:r w:rsidR="00EC2F7E">
        <w:rPr>
          <w:rFonts w:ascii="Times New Roman" w:hAnsi="Times New Roman" w:cs="Times New Roman"/>
          <w:sz w:val="24"/>
          <w:szCs w:val="24"/>
        </w:rPr>
        <w:fldChar w:fldCharType="separate"/>
      </w:r>
      <w:r w:rsidR="00333C59">
        <w:rPr>
          <w:rFonts w:ascii="Times New Roman" w:hAnsi="Times New Roman" w:cs="Times New Roman"/>
          <w:sz w:val="24"/>
          <w:szCs w:val="24"/>
        </w:rPr>
        <w:t>1</w:t>
      </w:r>
      <w:r w:rsidR="00EC2F7E">
        <w:rPr>
          <w:rFonts w:ascii="Times New Roman" w:hAnsi="Times New Roman" w:cs="Times New Roman"/>
          <w:sz w:val="24"/>
          <w:szCs w:val="24"/>
        </w:rPr>
        <w:fldChar w:fldCharType="end"/>
      </w:r>
      <w:r w:rsidR="00333C59" w:rsidRPr="00333C59">
        <w:rPr>
          <w:rFonts w:ascii="Times New Roman" w:hAnsi="Times New Roman" w:cs="Times New Roman"/>
          <w:sz w:val="24"/>
          <w:szCs w:val="24"/>
        </w:rPr>
        <w:t xml:space="preserve">, </w:t>
      </w:r>
      <w:r w:rsidR="00333C5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33C59" w:rsidRPr="00333C59">
        <w:rPr>
          <w:rFonts w:ascii="Times New Roman" w:hAnsi="Times New Roman" w:cs="Times New Roman"/>
          <w:sz w:val="24"/>
          <w:szCs w:val="24"/>
        </w:rPr>
        <w:t>. 386]</w:t>
      </w:r>
      <w:r w:rsidR="00C34FA3">
        <w:rPr>
          <w:rFonts w:ascii="Times New Roman" w:hAnsi="Times New Roman" w:cs="Times New Roman"/>
          <w:sz w:val="24"/>
          <w:szCs w:val="24"/>
        </w:rPr>
        <w:t xml:space="preserve">. Так, оценка экономической безопасности </w:t>
      </w:r>
      <w:r w:rsidR="001A425A">
        <w:rPr>
          <w:rFonts w:ascii="Times New Roman" w:hAnsi="Times New Roman" w:cs="Times New Roman"/>
          <w:sz w:val="24"/>
          <w:szCs w:val="24"/>
        </w:rPr>
        <w:br/>
      </w:r>
      <w:r w:rsidR="00C34FA3">
        <w:rPr>
          <w:rFonts w:ascii="Times New Roman" w:hAnsi="Times New Roman" w:cs="Times New Roman"/>
          <w:sz w:val="24"/>
          <w:szCs w:val="24"/>
        </w:rPr>
        <w:t>ОАО «Кондитерский концерн Бабаевский» с помощью метода, основанного на анализе моделей банкротства</w:t>
      </w:r>
      <w:r w:rsidR="00FF69CF">
        <w:rPr>
          <w:rFonts w:ascii="Times New Roman" w:hAnsi="Times New Roman" w:cs="Times New Roman"/>
          <w:sz w:val="24"/>
          <w:szCs w:val="24"/>
        </w:rPr>
        <w:t>,</w:t>
      </w:r>
      <w:r w:rsidR="00C34FA3">
        <w:rPr>
          <w:rFonts w:ascii="Times New Roman" w:hAnsi="Times New Roman" w:cs="Times New Roman"/>
          <w:sz w:val="24"/>
          <w:szCs w:val="24"/>
        </w:rPr>
        <w:t xml:space="preserve"> отражена в табл. 3. </w:t>
      </w:r>
      <w:r w:rsidR="0026182D" w:rsidRPr="0026182D">
        <w:rPr>
          <w:rFonts w:ascii="Times New Roman" w:hAnsi="Times New Roman" w:cs="Times New Roman"/>
          <w:sz w:val="24"/>
          <w:szCs w:val="24"/>
        </w:rPr>
        <w:t xml:space="preserve">При этом значения выделенные зеленым цветом указывают на низкую вероятность банкротства предприятия, красным – высокую, желтым – предприятие находится в «зоне неопределенности», вероятность банкротства составляет </w:t>
      </w:r>
      <w:r w:rsidR="001A425A">
        <w:rPr>
          <w:rFonts w:ascii="Times New Roman" w:hAnsi="Times New Roman" w:cs="Times New Roman"/>
          <w:sz w:val="24"/>
          <w:szCs w:val="24"/>
        </w:rPr>
        <w:br/>
      </w:r>
      <w:r w:rsidR="0026182D" w:rsidRPr="0026182D">
        <w:rPr>
          <w:rFonts w:ascii="Times New Roman" w:hAnsi="Times New Roman" w:cs="Times New Roman"/>
          <w:sz w:val="24"/>
          <w:szCs w:val="24"/>
        </w:rPr>
        <w:t xml:space="preserve">15% - 50%.  </w:t>
      </w:r>
    </w:p>
    <w:p w:rsidR="001A425A" w:rsidRDefault="001A425A" w:rsidP="0026182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6182D" w:rsidRPr="0026182D" w:rsidRDefault="00C34FA3" w:rsidP="0026182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3</w:t>
      </w:r>
    </w:p>
    <w:p w:rsidR="0026182D" w:rsidRPr="002C5157" w:rsidRDefault="0026182D" w:rsidP="0026182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6182D">
        <w:rPr>
          <w:rFonts w:ascii="Times New Roman" w:hAnsi="Times New Roman" w:cs="Times New Roman"/>
          <w:sz w:val="24"/>
          <w:szCs w:val="24"/>
        </w:rPr>
        <w:t>Оценка экономической безопасности ОАО «Кондитерский концерн Бабаевский» на основании моделей банкротства</w:t>
      </w:r>
      <w:r w:rsidR="002C5157" w:rsidRPr="002C5157">
        <w:rPr>
          <w:rFonts w:ascii="Times New Roman" w:hAnsi="Times New Roman" w:cs="Times New Roman"/>
          <w:sz w:val="24"/>
          <w:szCs w:val="24"/>
        </w:rPr>
        <w:t xml:space="preserve"> [</w:t>
      </w:r>
      <w:r w:rsidR="00EC2F7E">
        <w:rPr>
          <w:rFonts w:ascii="Times New Roman" w:hAnsi="Times New Roman" w:cs="Times New Roman"/>
          <w:sz w:val="24"/>
          <w:szCs w:val="24"/>
        </w:rPr>
        <w:fldChar w:fldCharType="begin"/>
      </w:r>
      <w:r w:rsidR="002C5157">
        <w:rPr>
          <w:rFonts w:ascii="Times New Roman" w:hAnsi="Times New Roman" w:cs="Times New Roman"/>
          <w:sz w:val="24"/>
          <w:szCs w:val="24"/>
        </w:rPr>
        <w:instrText xml:space="preserve"> REF _Ref23521603 \r \h </w:instrText>
      </w:r>
      <w:r w:rsidR="00EC2F7E">
        <w:rPr>
          <w:rFonts w:ascii="Times New Roman" w:hAnsi="Times New Roman" w:cs="Times New Roman"/>
          <w:sz w:val="24"/>
          <w:szCs w:val="24"/>
        </w:rPr>
      </w:r>
      <w:r w:rsidR="00EC2F7E">
        <w:rPr>
          <w:rFonts w:ascii="Times New Roman" w:hAnsi="Times New Roman" w:cs="Times New Roman"/>
          <w:sz w:val="24"/>
          <w:szCs w:val="24"/>
        </w:rPr>
        <w:fldChar w:fldCharType="separate"/>
      </w:r>
      <w:r w:rsidR="002C5157">
        <w:rPr>
          <w:rFonts w:ascii="Times New Roman" w:hAnsi="Times New Roman" w:cs="Times New Roman"/>
          <w:sz w:val="24"/>
          <w:szCs w:val="24"/>
        </w:rPr>
        <w:t>3</w:t>
      </w:r>
      <w:r w:rsidR="00EC2F7E">
        <w:rPr>
          <w:rFonts w:ascii="Times New Roman" w:hAnsi="Times New Roman" w:cs="Times New Roman"/>
          <w:sz w:val="24"/>
          <w:szCs w:val="24"/>
        </w:rPr>
        <w:fldChar w:fldCharType="end"/>
      </w:r>
      <w:r w:rsidR="002C5157" w:rsidRPr="002C5157">
        <w:rPr>
          <w:rFonts w:ascii="Times New Roman" w:hAnsi="Times New Roman" w:cs="Times New Roman"/>
          <w:sz w:val="24"/>
          <w:szCs w:val="24"/>
        </w:rPr>
        <w:t>]</w:t>
      </w:r>
    </w:p>
    <w:tbl>
      <w:tblPr>
        <w:tblStyle w:val="a6"/>
        <w:tblW w:w="0" w:type="auto"/>
        <w:tblInd w:w="108" w:type="dxa"/>
        <w:tblLayout w:type="fixed"/>
        <w:tblLook w:val="04A0"/>
      </w:tblPr>
      <w:tblGrid>
        <w:gridCol w:w="1182"/>
        <w:gridCol w:w="6048"/>
        <w:gridCol w:w="708"/>
        <w:gridCol w:w="851"/>
        <w:gridCol w:w="850"/>
      </w:tblGrid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Показатель</w:t>
            </w:r>
          </w:p>
        </w:tc>
        <w:tc>
          <w:tcPr>
            <w:tcW w:w="6048" w:type="dxa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Условные обозначения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C34FA3" w:rsidRPr="00C34FA3" w:rsidTr="00FF69CF">
        <w:tc>
          <w:tcPr>
            <w:tcW w:w="9639" w:type="dxa"/>
            <w:gridSpan w:val="5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Модель Альтмана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3" w:history="1">
              <w:r w:rsidR="00C34FA3" w:rsidRPr="00FF69CF">
                <w:rPr>
                  <w:rFonts w:ascii="Times New Roman" w:hAnsi="Times New Roman" w:cs="Times New Roman"/>
                  <w:sz w:val="20"/>
                  <w:szCs w:val="20"/>
                </w:rPr>
                <w:t>оборотный капитал</w:t>
              </w:r>
            </w:hyperlink>
            <w:r w:rsidR="00C34FA3" w:rsidRPr="00FF69CF">
              <w:rPr>
                <w:rFonts w:ascii="Times New Roman" w:hAnsi="Times New Roman" w:cs="Times New Roman"/>
                <w:sz w:val="20"/>
                <w:szCs w:val="20"/>
              </w:rPr>
              <w:t xml:space="preserve"> 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-0,13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4" w:history="1">
              <w:r w:rsidR="00C34FA3" w:rsidRPr="00FF69CF">
                <w:rPr>
                  <w:rFonts w:ascii="Times New Roman" w:hAnsi="Times New Roman" w:cs="Times New Roman"/>
                  <w:sz w:val="20"/>
                  <w:szCs w:val="20"/>
                </w:rPr>
                <w:t>нераспределенная прибыль</w:t>
              </w:r>
            </w:hyperlink>
            <w:r w:rsidR="00C34FA3" w:rsidRPr="00FF69CF">
              <w:rPr>
                <w:rFonts w:ascii="Times New Roman" w:hAnsi="Times New Roman" w:cs="Times New Roman"/>
                <w:sz w:val="20"/>
                <w:szCs w:val="20"/>
              </w:rPr>
              <w:t> 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-0,02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5" w:history="1">
              <w:r w:rsidR="00C34FA3" w:rsidRPr="00FF69CF">
                <w:rPr>
                  <w:rFonts w:ascii="Times New Roman" w:hAnsi="Times New Roman" w:cs="Times New Roman"/>
                  <w:sz w:val="20"/>
                  <w:szCs w:val="20"/>
                </w:rPr>
                <w:t>прибыль до налогообложения</w:t>
              </w:r>
            </w:hyperlink>
            <w:r w:rsidR="00C34FA3" w:rsidRPr="00FF69CF">
              <w:rPr>
                <w:rFonts w:ascii="Times New Roman" w:hAnsi="Times New Roman" w:cs="Times New Roman"/>
                <w:sz w:val="20"/>
                <w:szCs w:val="20"/>
              </w:rPr>
              <w:t xml:space="preserve"> 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-0,03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рыночная стоимость СК / стоимость всех обязательств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1,38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0,40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5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объем продаж 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0,91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Z</w:t>
            </w:r>
          </w:p>
        </w:tc>
        <w:tc>
          <w:tcPr>
            <w:tcW w:w="6048" w:type="dxa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Z= 0,717X1 + 0,847X2 + 3,107X3 + 0,120X4 + 0,998X5</w:t>
            </w:r>
          </w:p>
        </w:tc>
        <w:tc>
          <w:tcPr>
            <w:tcW w:w="708" w:type="dxa"/>
            <w:shd w:val="clear" w:color="auto" w:fill="FFFF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1,09</w:t>
            </w:r>
          </w:p>
        </w:tc>
        <w:tc>
          <w:tcPr>
            <w:tcW w:w="851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0,82</w:t>
            </w:r>
          </w:p>
        </w:tc>
        <w:tc>
          <w:tcPr>
            <w:tcW w:w="850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0,75</w:t>
            </w:r>
          </w:p>
        </w:tc>
      </w:tr>
      <w:tr w:rsidR="00C34FA3" w:rsidRPr="00C34FA3" w:rsidTr="00FF69CF">
        <w:tc>
          <w:tcPr>
            <w:tcW w:w="9639" w:type="dxa"/>
            <w:gridSpan w:val="5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Модель  </w:t>
            </w:r>
            <w:proofErr w:type="spellStart"/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Сайфуллин</w:t>
            </w:r>
            <w:proofErr w:type="gramStart"/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а</w:t>
            </w:r>
            <w:proofErr w:type="spellEnd"/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proofErr w:type="gramEnd"/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Кадыкова</w:t>
            </w:r>
            <w:proofErr w:type="spellEnd"/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коэффициент обеспеченности собственными средствами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-0,76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-1,82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-2,68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коэффициент текущей ликвидности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0,78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0,67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0,60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6" w:tooltip="коэффициент оборачиваемости (определение, описание, подробности)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коэффициент оборачиваемости</w:t>
              </w:r>
            </w:hyperlink>
            <w:r w:rsidR="00FF69CF" w:rsidRPr="00FF69CF">
              <w:rPr>
                <w:rFonts w:ascii="Times New Roman" w:hAnsi="Times New Roman" w:cs="Times New Roman"/>
                <w:sz w:val="20"/>
                <w:szCs w:val="20"/>
              </w:rPr>
              <w:t xml:space="preserve">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0,73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0,85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7" w:tooltip="рентабельность продаж (определение, описание, подробности)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рентабельность продаж</w:t>
              </w:r>
            </w:hyperlink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-0,03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5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рентабельность собственного капитала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-0,08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Z</w:t>
            </w:r>
          </w:p>
        </w:tc>
        <w:tc>
          <w:tcPr>
            <w:tcW w:w="6048" w:type="dxa"/>
          </w:tcPr>
          <w:p w:rsidR="00C34FA3" w:rsidRPr="00FF69CF" w:rsidRDefault="00FF69CF" w:rsidP="00FF69CF">
            <w:pPr>
              <w:pStyle w:val="a5"/>
              <w:spacing w:line="216" w:lineRule="auto"/>
              <w:ind w:left="0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Z=2X1+0,1X2+0,08X3+0,45X4+X5</w:t>
            </w:r>
          </w:p>
        </w:tc>
        <w:tc>
          <w:tcPr>
            <w:tcW w:w="708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-1,25</w:t>
            </w:r>
          </w:p>
        </w:tc>
        <w:tc>
          <w:tcPr>
            <w:tcW w:w="851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-3,48</w:t>
            </w:r>
          </w:p>
        </w:tc>
        <w:tc>
          <w:tcPr>
            <w:tcW w:w="850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-5,34</w:t>
            </w:r>
          </w:p>
        </w:tc>
      </w:tr>
    </w:tbl>
    <w:p w:rsidR="001A425A" w:rsidRPr="001A425A" w:rsidRDefault="001A425A" w:rsidP="001A425A">
      <w:pPr>
        <w:spacing w:after="0" w:line="240" w:lineRule="auto"/>
        <w:jc w:val="right"/>
        <w:rPr>
          <w:rFonts w:ascii="Times New Roman" w:hAnsi="Times New Roman" w:cs="Times New Roman"/>
        </w:rPr>
      </w:pPr>
      <w:r>
        <w:br w:type="page"/>
      </w:r>
      <w:r w:rsidRPr="001A425A">
        <w:rPr>
          <w:rFonts w:ascii="Times New Roman" w:hAnsi="Times New Roman" w:cs="Times New Roman"/>
          <w:sz w:val="24"/>
        </w:rPr>
        <w:lastRenderedPageBreak/>
        <w:t>окончание табл. 3</w:t>
      </w:r>
    </w:p>
    <w:tbl>
      <w:tblPr>
        <w:tblStyle w:val="a6"/>
        <w:tblW w:w="0" w:type="auto"/>
        <w:tblInd w:w="108" w:type="dxa"/>
        <w:tblLayout w:type="fixed"/>
        <w:tblLook w:val="04A0"/>
      </w:tblPr>
      <w:tblGrid>
        <w:gridCol w:w="1182"/>
        <w:gridCol w:w="6048"/>
        <w:gridCol w:w="708"/>
        <w:gridCol w:w="851"/>
        <w:gridCol w:w="850"/>
      </w:tblGrid>
      <w:tr w:rsidR="00C34FA3" w:rsidRPr="00C34FA3" w:rsidTr="00FF69CF">
        <w:tc>
          <w:tcPr>
            <w:tcW w:w="9639" w:type="dxa"/>
            <w:gridSpan w:val="5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Модель  Лиса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8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оборотный капитал</w:t>
              </w:r>
            </w:hyperlink>
            <w:r w:rsidR="00FF69CF" w:rsidRPr="00FF69CF">
              <w:rPr>
                <w:rFonts w:ascii="Times New Roman" w:hAnsi="Times New Roman" w:cs="Times New Roman"/>
                <w:sz w:val="20"/>
                <w:szCs w:val="20"/>
              </w:rPr>
              <w:t> 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-0,13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9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прибыль от реализации</w:t>
              </w:r>
            </w:hyperlink>
            <w:r w:rsidR="00FF69CF" w:rsidRPr="00FF69CF">
              <w:rPr>
                <w:rFonts w:ascii="Times New Roman" w:hAnsi="Times New Roman" w:cs="Times New Roman"/>
                <w:sz w:val="20"/>
                <w:szCs w:val="20"/>
              </w:rPr>
              <w:t> 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-0,03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0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нераспределенная прибыль</w:t>
              </w:r>
            </w:hyperlink>
            <w:r w:rsidR="00FF69CF" w:rsidRPr="00FF69CF">
              <w:rPr>
                <w:rFonts w:ascii="Times New Roman" w:hAnsi="Times New Roman" w:cs="Times New Roman"/>
                <w:sz w:val="20"/>
                <w:szCs w:val="20"/>
              </w:rPr>
              <w:t> 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-0,02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hyperlink r:id="rId21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собственный капитал</w:t>
              </w:r>
            </w:hyperlink>
            <w:r w:rsidR="00FF69CF" w:rsidRPr="00FF69CF">
              <w:rPr>
                <w:rFonts w:ascii="Times New Roman" w:hAnsi="Times New Roman" w:cs="Times New Roman"/>
                <w:sz w:val="20"/>
                <w:szCs w:val="20"/>
              </w:rPr>
              <w:t> / </w:t>
            </w:r>
            <w:hyperlink r:id="rId22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заемный капитал</w:t>
              </w:r>
            </w:hyperlink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1,38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0,40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Z</w:t>
            </w:r>
          </w:p>
        </w:tc>
        <w:tc>
          <w:tcPr>
            <w:tcW w:w="6048" w:type="dxa"/>
            <w:vAlign w:val="center"/>
          </w:tcPr>
          <w:p w:rsidR="00C34FA3" w:rsidRPr="00FF69CF" w:rsidRDefault="00FF69CF" w:rsidP="00FF69CF">
            <w:pPr>
              <w:pStyle w:val="a5"/>
              <w:spacing w:line="216" w:lineRule="auto"/>
              <w:ind w:left="0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Z=0,063Х</w:t>
            </w:r>
            <w:proofErr w:type="gramStart"/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1</w:t>
            </w:r>
            <w:proofErr w:type="gramEnd"/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+0,092Х2+0,057Х3+0,001Х4</w:t>
            </w:r>
          </w:p>
        </w:tc>
        <w:tc>
          <w:tcPr>
            <w:tcW w:w="708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0,006</w:t>
            </w:r>
          </w:p>
        </w:tc>
        <w:tc>
          <w:tcPr>
            <w:tcW w:w="851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-0,004</w:t>
            </w:r>
          </w:p>
        </w:tc>
        <w:tc>
          <w:tcPr>
            <w:tcW w:w="850" w:type="dxa"/>
            <w:shd w:val="clear" w:color="auto" w:fill="FF00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-0,012</w:t>
            </w:r>
          </w:p>
        </w:tc>
      </w:tr>
      <w:tr w:rsidR="00C34FA3" w:rsidRPr="00C34FA3" w:rsidTr="00FF69CF">
        <w:tc>
          <w:tcPr>
            <w:tcW w:w="9639" w:type="dxa"/>
            <w:gridSpan w:val="5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Модель  </w:t>
            </w:r>
            <w:proofErr w:type="spellStart"/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Таффлера</w:t>
            </w:r>
            <w:proofErr w:type="spellEnd"/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прибыль от продаж / краткосрочные обязательства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оборотные активы / обязательства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0,57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0,35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0,27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3" w:history="1">
              <w:r w:rsidR="00FF69CF" w:rsidRPr="00FF69CF">
                <w:rPr>
                  <w:rFonts w:ascii="Times New Roman" w:hAnsi="Times New Roman" w:cs="Times New Roman"/>
                  <w:sz w:val="20"/>
                  <w:szCs w:val="20"/>
                </w:rPr>
                <w:t>долгосрочные обязательства</w:t>
              </w:r>
            </w:hyperlink>
            <w:r w:rsidR="00FF69CF" w:rsidRPr="00FF69CF">
              <w:rPr>
                <w:rFonts w:ascii="Times New Roman" w:hAnsi="Times New Roman" w:cs="Times New Roman"/>
                <w:sz w:val="20"/>
                <w:szCs w:val="20"/>
              </w:rPr>
              <w:t> 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0,30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0,32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0,32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сумма активов / выручка от продаж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0,91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Z</w:t>
            </w:r>
          </w:p>
        </w:tc>
        <w:tc>
          <w:tcPr>
            <w:tcW w:w="6048" w:type="dxa"/>
          </w:tcPr>
          <w:p w:rsidR="00C34FA3" w:rsidRPr="00FF69CF" w:rsidRDefault="00FF69CF" w:rsidP="00FF69CF">
            <w:pPr>
              <w:pStyle w:val="a5"/>
              <w:spacing w:line="216" w:lineRule="auto"/>
              <w:ind w:left="0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Z=0,53Х</w:t>
            </w:r>
            <w:proofErr w:type="gramStart"/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1</w:t>
            </w:r>
            <w:proofErr w:type="gramEnd"/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+0,13Х2+ 0,18Х3+0,16Х4</w:t>
            </w:r>
          </w:p>
        </w:tc>
        <w:tc>
          <w:tcPr>
            <w:tcW w:w="708" w:type="dxa"/>
            <w:shd w:val="clear" w:color="auto" w:fill="92D05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0,35</w:t>
            </w:r>
          </w:p>
        </w:tc>
        <w:tc>
          <w:tcPr>
            <w:tcW w:w="851" w:type="dxa"/>
            <w:shd w:val="clear" w:color="auto" w:fill="FFFF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FFFF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850" w:type="dxa"/>
            <w:shd w:val="clear" w:color="auto" w:fill="FFFF0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</w:t>
            </w:r>
          </w:p>
        </w:tc>
      </w:tr>
      <w:tr w:rsidR="00C34FA3" w:rsidRPr="00C34FA3" w:rsidTr="00FF69CF">
        <w:tc>
          <w:tcPr>
            <w:tcW w:w="9639" w:type="dxa"/>
            <w:gridSpan w:val="5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Модель  </w:t>
            </w:r>
            <w:proofErr w:type="spellStart"/>
            <w:r w:rsidRPr="00FF69CF">
              <w:rPr>
                <w:rFonts w:ascii="Times New Roman" w:hAnsi="Times New Roman" w:cs="Times New Roman"/>
                <w:b/>
                <w:sz w:val="20"/>
                <w:szCs w:val="20"/>
              </w:rPr>
              <w:t>Спрингейта</w:t>
            </w:r>
            <w:proofErr w:type="spellEnd"/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оборотный капитал / сумма активов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-0,13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 xml:space="preserve">(прибыль до </w:t>
            </w:r>
            <w:proofErr w:type="spellStart"/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налогообложения+проценты</w:t>
            </w:r>
            <w:proofErr w:type="spellEnd"/>
            <w:r w:rsidRPr="00FF69CF">
              <w:rPr>
                <w:rFonts w:ascii="Times New Roman" w:hAnsi="Times New Roman" w:cs="Times New Roman"/>
                <w:sz w:val="20"/>
                <w:szCs w:val="20"/>
              </w:rPr>
              <w:t xml:space="preserve"> к уплате) / активы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0,57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0,38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прибыль до налогообложения / краткосрочные обязательства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-0,09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EC2F7E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Times New Roman" w:hAnsi="Times New Roman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х</m:t>
                    </m:r>
                  </m:e>
                  <m:sub>
                    <m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6048" w:type="dxa"/>
          </w:tcPr>
          <w:p w:rsidR="00C34FA3" w:rsidRPr="00FF69CF" w:rsidRDefault="00FF69CF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</w:rPr>
              <w:t>выручка от реализации /  активы</w:t>
            </w:r>
          </w:p>
        </w:tc>
        <w:tc>
          <w:tcPr>
            <w:tcW w:w="708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0,77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0,91</w:t>
            </w:r>
          </w:p>
        </w:tc>
      </w:tr>
      <w:tr w:rsidR="00C34FA3" w:rsidRPr="00C34FA3" w:rsidTr="00FF69CF">
        <w:tc>
          <w:tcPr>
            <w:tcW w:w="1182" w:type="dxa"/>
            <w:shd w:val="clear" w:color="auto" w:fill="auto"/>
            <w:vAlign w:val="center"/>
          </w:tcPr>
          <w:p w:rsidR="00C34FA3" w:rsidRPr="00FF69CF" w:rsidRDefault="00C34FA3" w:rsidP="00FF69CF">
            <w:pPr>
              <w:spacing w:line="21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Z</w:t>
            </w:r>
          </w:p>
        </w:tc>
        <w:tc>
          <w:tcPr>
            <w:tcW w:w="6048" w:type="dxa"/>
          </w:tcPr>
          <w:p w:rsidR="00C34FA3" w:rsidRPr="00FF69CF" w:rsidRDefault="00FF69CF" w:rsidP="00FF69CF">
            <w:pPr>
              <w:pStyle w:val="a5"/>
              <w:spacing w:line="216" w:lineRule="auto"/>
              <w:ind w:left="0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Z=1,03Х</w:t>
            </w:r>
            <w:proofErr w:type="gramStart"/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1</w:t>
            </w:r>
            <w:proofErr w:type="gramEnd"/>
            <w:r w:rsidRPr="00FF69CF">
              <w:rPr>
                <w:rFonts w:ascii="Times New Roman" w:hAnsi="Times New Roman" w:cs="Times New Roman"/>
                <w:i/>
                <w:sz w:val="20"/>
                <w:szCs w:val="20"/>
              </w:rPr>
              <w:t>+3,07Х2+0,66Х3+0,4Х4</w:t>
            </w:r>
          </w:p>
        </w:tc>
        <w:tc>
          <w:tcPr>
            <w:tcW w:w="708" w:type="dxa"/>
            <w:shd w:val="clear" w:color="auto" w:fill="92D05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2,15</w:t>
            </w:r>
          </w:p>
        </w:tc>
        <w:tc>
          <w:tcPr>
            <w:tcW w:w="851" w:type="dxa"/>
            <w:shd w:val="clear" w:color="auto" w:fill="92D05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1,40</w:t>
            </w:r>
          </w:p>
        </w:tc>
        <w:tc>
          <w:tcPr>
            <w:tcW w:w="850" w:type="dxa"/>
            <w:shd w:val="clear" w:color="auto" w:fill="92D050"/>
            <w:vAlign w:val="bottom"/>
          </w:tcPr>
          <w:p w:rsidR="00C34FA3" w:rsidRPr="00C34FA3" w:rsidRDefault="00C34FA3" w:rsidP="00C34FA3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34FA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0,98</w:t>
            </w:r>
          </w:p>
        </w:tc>
      </w:tr>
    </w:tbl>
    <w:p w:rsidR="0026182D" w:rsidRPr="0026182D" w:rsidRDefault="0026182D" w:rsidP="002618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4FA3" w:rsidRPr="00A8439F" w:rsidRDefault="00CC54CC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>Так</w:t>
      </w:r>
      <w:r w:rsidR="00C34FA3" w:rsidRPr="00A8439F">
        <w:rPr>
          <w:rFonts w:ascii="Times New Roman" w:hAnsi="Times New Roman" w:cs="Times New Roman"/>
          <w:sz w:val="24"/>
          <w:szCs w:val="24"/>
        </w:rPr>
        <w:t xml:space="preserve">, 3 из 5 рассмотренных моделей банкротства указали на высокую вероятность банкротства ОАО «Кондитерский концерн Бабаевский» в ближайшие годы и нестабильную финансово-экономическую ситуацию. Иные же модели (2 из 5) показали, что риск банкротства у предприятия средний (модель </w:t>
      </w:r>
      <w:proofErr w:type="spellStart"/>
      <w:r w:rsidR="00C34FA3" w:rsidRPr="00A8439F">
        <w:rPr>
          <w:rFonts w:ascii="Times New Roman" w:hAnsi="Times New Roman" w:cs="Times New Roman"/>
          <w:sz w:val="24"/>
          <w:szCs w:val="24"/>
        </w:rPr>
        <w:t>Таффлера</w:t>
      </w:r>
      <w:proofErr w:type="spellEnd"/>
      <w:r w:rsidR="00C34FA3" w:rsidRPr="00A8439F">
        <w:rPr>
          <w:rFonts w:ascii="Times New Roman" w:hAnsi="Times New Roman" w:cs="Times New Roman"/>
          <w:sz w:val="24"/>
          <w:szCs w:val="24"/>
        </w:rPr>
        <w:t xml:space="preserve">) или невысокий (модель </w:t>
      </w:r>
      <w:proofErr w:type="spellStart"/>
      <w:r w:rsidR="00C34FA3" w:rsidRPr="00A8439F">
        <w:rPr>
          <w:rFonts w:ascii="Times New Roman" w:hAnsi="Times New Roman" w:cs="Times New Roman"/>
          <w:sz w:val="24"/>
          <w:szCs w:val="24"/>
        </w:rPr>
        <w:t>Спрингейта</w:t>
      </w:r>
      <w:proofErr w:type="spellEnd"/>
      <w:r w:rsidR="00C34FA3" w:rsidRPr="00A8439F">
        <w:rPr>
          <w:rFonts w:ascii="Times New Roman" w:hAnsi="Times New Roman" w:cs="Times New Roman"/>
          <w:sz w:val="24"/>
          <w:szCs w:val="24"/>
        </w:rPr>
        <w:t>). Примечательно, что неоднозначность полученных результатов обусловлена различием параметров оценки заложенных в каждую из моделей. Вместе с тем, несмотря на специфику каждой из рассмотренных моделей банкротства и неоднозначность полученных оценок все они имеют общую особенность, обусловленную тем, что интегральный показатели каждой из моделей в динамике существенно сокращался, что, несомненно, указывает на снижение уровня экономической безопасности ОАО «Кондитерский концерн Бабаевский» за период 2019 – 2021 г.</w:t>
      </w:r>
    </w:p>
    <w:p w:rsidR="00BF16C4" w:rsidRPr="00A8439F" w:rsidRDefault="00BF16C4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 xml:space="preserve">Обобщая вышеизложенное, отметим, что оценка экономической безопасности ОАО «Кондитерский концерн Бабаевский» показала, что состояние экономической безопасности предприятия за анализируемый период существенно ухудшилось, что отражено в снижении производственных показателей, показателей ликвидности, платежеспособности и рентабельности. Состояние экономическая безопасность предприятия за период </w:t>
      </w:r>
      <w:r w:rsidR="001A425A">
        <w:rPr>
          <w:rFonts w:ascii="Times New Roman" w:hAnsi="Times New Roman" w:cs="Times New Roman"/>
          <w:sz w:val="24"/>
          <w:szCs w:val="24"/>
        </w:rPr>
        <w:br/>
      </w:r>
      <w:r w:rsidRPr="00A8439F">
        <w:rPr>
          <w:rFonts w:ascii="Times New Roman" w:hAnsi="Times New Roman" w:cs="Times New Roman"/>
          <w:sz w:val="24"/>
          <w:szCs w:val="24"/>
        </w:rPr>
        <w:t xml:space="preserve">2019 – 2021 г. характеризовалось как «кризисное», предприятие имело высокий риск банкротства в ближайшие годы. </w:t>
      </w:r>
    </w:p>
    <w:p w:rsidR="00CC54CC" w:rsidRPr="00A8439F" w:rsidRDefault="00CC54CC" w:rsidP="00A8439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439F">
        <w:rPr>
          <w:rFonts w:ascii="Times New Roman" w:hAnsi="Times New Roman" w:cs="Times New Roman"/>
          <w:sz w:val="24"/>
          <w:szCs w:val="24"/>
        </w:rPr>
        <w:t xml:space="preserve">Таким образом, на сегодняшний день, существует множество методов оценки экономической безопасности предприятия. Между тем, ни один из них нельзя считать совершенным, каждый характеризуется собственными преимуществами и недостатками, а выбор же конкретного метода обуславливается целью исследования и полнотой располагаемой информации. </w:t>
      </w:r>
      <w:proofErr w:type="gramStart"/>
      <w:r w:rsidRPr="00A8439F">
        <w:rPr>
          <w:rFonts w:ascii="Times New Roman" w:hAnsi="Times New Roman" w:cs="Times New Roman"/>
          <w:sz w:val="24"/>
          <w:szCs w:val="24"/>
        </w:rPr>
        <w:t xml:space="preserve">На практике же наибольшее значение придают методам комплексной оценки, позволяющим оценить состояние предприятия в различным аспектах функционирования, выявить его сильные и слабые сторон, разработать меры по укреплению экономической безопасности и преумножению конкурентных преимуществ. </w:t>
      </w:r>
      <w:proofErr w:type="gramEnd"/>
    </w:p>
    <w:p w:rsidR="00CC54CC" w:rsidRPr="00A8439F" w:rsidRDefault="00CC54CC" w:rsidP="00A8439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F16C4" w:rsidRPr="00A8439F" w:rsidRDefault="00BF16C4" w:rsidP="00A8439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439F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BF16C4" w:rsidRPr="00A8439F" w:rsidRDefault="00BF16C4" w:rsidP="00A8439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" w:name="_Ref69940106"/>
      <w:r w:rsidRPr="00A8439F">
        <w:rPr>
          <w:rFonts w:ascii="Times New Roman" w:eastAsia="Calibri" w:hAnsi="Times New Roman" w:cs="Times New Roman"/>
          <w:sz w:val="24"/>
          <w:szCs w:val="24"/>
        </w:rPr>
        <w:t>Э</w:t>
      </w:r>
      <w:r w:rsidR="00A8439F">
        <w:rPr>
          <w:rFonts w:ascii="Times New Roman" w:eastAsia="Calibri" w:hAnsi="Times New Roman" w:cs="Times New Roman"/>
          <w:sz w:val="24"/>
          <w:szCs w:val="24"/>
        </w:rPr>
        <w:t>кономическая безопасность: учебное пособие</w:t>
      </w:r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 / В. В. Краснова, О. В. Бычкова, </w:t>
      </w:r>
      <w:r w:rsidR="00A8439F">
        <w:rPr>
          <w:rFonts w:ascii="Times New Roman" w:eastAsia="Calibri" w:hAnsi="Times New Roman" w:cs="Times New Roman"/>
          <w:sz w:val="24"/>
          <w:szCs w:val="24"/>
        </w:rPr>
        <w:br/>
      </w:r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Я. С. </w:t>
      </w:r>
      <w:proofErr w:type="spellStart"/>
      <w:r w:rsidRPr="00A8439F">
        <w:rPr>
          <w:rFonts w:ascii="Times New Roman" w:eastAsia="Calibri" w:hAnsi="Times New Roman" w:cs="Times New Roman"/>
          <w:sz w:val="24"/>
          <w:szCs w:val="24"/>
        </w:rPr>
        <w:t>Давлианидзе</w:t>
      </w:r>
      <w:proofErr w:type="spellEnd"/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 и др.; под</w:t>
      </w:r>
      <w:proofErr w:type="gramStart"/>
      <w:r w:rsidRPr="00A8439F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A8439F">
        <w:rPr>
          <w:rFonts w:ascii="Times New Roman" w:eastAsia="Calibri" w:hAnsi="Times New Roman" w:cs="Times New Roman"/>
          <w:sz w:val="24"/>
          <w:szCs w:val="24"/>
        </w:rPr>
        <w:t>о</w:t>
      </w:r>
      <w:proofErr w:type="gramEnd"/>
      <w:r w:rsidRPr="00A8439F">
        <w:rPr>
          <w:rFonts w:ascii="Times New Roman" w:eastAsia="Calibri" w:hAnsi="Times New Roman" w:cs="Times New Roman"/>
          <w:sz w:val="24"/>
          <w:szCs w:val="24"/>
        </w:rPr>
        <w:t>бщ. ред. В. В. Красновой. – Донецк: ГОУ ВПО «</w:t>
      </w:r>
      <w:proofErr w:type="spellStart"/>
      <w:r w:rsidRPr="00A8439F">
        <w:rPr>
          <w:rFonts w:ascii="Times New Roman" w:eastAsia="Calibri" w:hAnsi="Times New Roman" w:cs="Times New Roman"/>
          <w:sz w:val="24"/>
          <w:szCs w:val="24"/>
        </w:rPr>
        <w:t>ДонНУ</w:t>
      </w:r>
      <w:proofErr w:type="spellEnd"/>
      <w:r w:rsidRPr="00A8439F">
        <w:rPr>
          <w:rFonts w:ascii="Times New Roman" w:eastAsia="Calibri" w:hAnsi="Times New Roman" w:cs="Times New Roman"/>
          <w:sz w:val="24"/>
          <w:szCs w:val="24"/>
        </w:rPr>
        <w:t>», 2017. – 454 с.</w:t>
      </w:r>
      <w:bookmarkEnd w:id="1"/>
    </w:p>
    <w:p w:rsidR="00BF16C4" w:rsidRPr="00A8439F" w:rsidRDefault="00BF16C4" w:rsidP="00A8439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2" w:name="_Ref124599452"/>
      <w:proofErr w:type="spellStart"/>
      <w:r w:rsidRPr="00A8439F">
        <w:rPr>
          <w:rFonts w:ascii="Times New Roman" w:eastAsia="Calibri" w:hAnsi="Times New Roman" w:cs="Times New Roman"/>
          <w:sz w:val="24"/>
          <w:szCs w:val="24"/>
        </w:rPr>
        <w:t>Тофан</w:t>
      </w:r>
      <w:proofErr w:type="spellEnd"/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, А. Л. Оценка экономической безопасности предприятия: критерии и методы / А. Л. </w:t>
      </w:r>
      <w:proofErr w:type="spellStart"/>
      <w:r w:rsidRPr="00A8439F">
        <w:rPr>
          <w:rFonts w:ascii="Times New Roman" w:eastAsia="Calibri" w:hAnsi="Times New Roman" w:cs="Times New Roman"/>
          <w:sz w:val="24"/>
          <w:szCs w:val="24"/>
        </w:rPr>
        <w:t>Тофан</w:t>
      </w:r>
      <w:proofErr w:type="spellEnd"/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 // Вестник Донецкого национального университета. – 2018. - №2. – </w:t>
      </w:r>
      <w:r w:rsidRPr="00A8439F">
        <w:rPr>
          <w:rFonts w:ascii="Times New Roman" w:eastAsia="Calibri" w:hAnsi="Times New Roman" w:cs="Times New Roman"/>
          <w:sz w:val="24"/>
          <w:szCs w:val="24"/>
        </w:rPr>
        <w:br/>
        <w:t>С. 185 – 190.</w:t>
      </w:r>
      <w:bookmarkEnd w:id="2"/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953E2E" w:rsidRPr="001A425A" w:rsidRDefault="00BF16C4" w:rsidP="001A425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3" w:name="_Ref23521603"/>
      <w:bookmarkStart w:id="4" w:name="_Ref101721271"/>
      <w:r w:rsidRPr="00A8439F">
        <w:rPr>
          <w:rFonts w:ascii="Times New Roman" w:eastAsia="Calibri" w:hAnsi="Times New Roman" w:cs="Times New Roman"/>
          <w:sz w:val="24"/>
          <w:szCs w:val="24"/>
        </w:rPr>
        <w:t xml:space="preserve">Центр раскрытия корпоративной информации [Электронный ресурс]. -  Режим доступа: </w:t>
      </w:r>
      <w:hyperlink r:id="rId24" w:history="1">
        <w:r w:rsidRPr="00A8439F">
          <w:rPr>
            <w:rFonts w:ascii="Times New Roman" w:eastAsia="Calibri" w:hAnsi="Times New Roman" w:cs="Times New Roman"/>
            <w:sz w:val="24"/>
            <w:szCs w:val="24"/>
          </w:rPr>
          <w:t>https://www.e-disclosure.ru</w:t>
        </w:r>
      </w:hyperlink>
      <w:bookmarkEnd w:id="3"/>
      <w:bookmarkEnd w:id="4"/>
    </w:p>
    <w:sectPr w:rsidR="00953E2E" w:rsidRPr="001A425A" w:rsidSect="00921D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A4E" w:rsidRDefault="000F5A4E" w:rsidP="00013935">
      <w:pPr>
        <w:spacing w:after="0" w:line="240" w:lineRule="auto"/>
      </w:pPr>
      <w:r>
        <w:separator/>
      </w:r>
    </w:p>
  </w:endnote>
  <w:endnote w:type="continuationSeparator" w:id="0">
    <w:p w:rsidR="000F5A4E" w:rsidRDefault="000F5A4E" w:rsidP="00013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A4E" w:rsidRDefault="000F5A4E" w:rsidP="00013935">
      <w:pPr>
        <w:spacing w:after="0" w:line="240" w:lineRule="auto"/>
      </w:pPr>
      <w:r>
        <w:separator/>
      </w:r>
    </w:p>
  </w:footnote>
  <w:footnote w:type="continuationSeparator" w:id="0">
    <w:p w:rsidR="000F5A4E" w:rsidRDefault="000F5A4E" w:rsidP="00013935">
      <w:pPr>
        <w:spacing w:after="0" w:line="240" w:lineRule="auto"/>
      </w:pPr>
      <w:r>
        <w:continuationSeparator/>
      </w:r>
    </w:p>
  </w:footnote>
  <w:footnote w:id="1">
    <w:p w:rsidR="00D75330" w:rsidRPr="005D3957" w:rsidRDefault="00D75330" w:rsidP="0032358D">
      <w:pPr>
        <w:widowControl w:val="0"/>
        <w:spacing w:after="0" w:line="240" w:lineRule="auto"/>
        <w:jc w:val="both"/>
        <w:rPr>
          <w:rStyle w:val="a7"/>
          <w:rFonts w:ascii="Times New Roman" w:hAnsi="Times New Roman" w:cs="Times New Roman"/>
          <w:sz w:val="20"/>
          <w:szCs w:val="20"/>
        </w:rPr>
      </w:pPr>
      <w:r w:rsidRPr="005D3957">
        <w:rPr>
          <w:rStyle w:val="a7"/>
          <w:rFonts w:ascii="Times New Roman" w:hAnsi="Times New Roman" w:cs="Times New Roman"/>
          <w:sz w:val="20"/>
          <w:szCs w:val="20"/>
        </w:rPr>
        <w:footnoteRef/>
      </w:r>
      <w:r w:rsidRPr="005D3957">
        <w:rPr>
          <w:rStyle w:val="a7"/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Селиванова Юлия Владимировна, канд. </w:t>
      </w:r>
      <w:proofErr w:type="spellStart"/>
      <w:r>
        <w:rPr>
          <w:rFonts w:ascii="Times New Roman" w:hAnsi="Times New Roman" w:cs="Times New Roman"/>
          <w:sz w:val="20"/>
          <w:szCs w:val="20"/>
        </w:rPr>
        <w:t>экон</w:t>
      </w:r>
      <w:proofErr w:type="spellEnd"/>
      <w:r>
        <w:rPr>
          <w:rFonts w:ascii="Times New Roman" w:hAnsi="Times New Roman" w:cs="Times New Roman"/>
          <w:sz w:val="20"/>
          <w:szCs w:val="20"/>
        </w:rPr>
        <w:t>. наук, доцент кафедры экономики предприятия, Федеральное государственное бюджетное образовательное учреждение высшего образования «Донецкий государственный университет»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ДНР, г</w:t>
      </w:r>
      <w:proofErr w:type="gramStart"/>
      <w:r>
        <w:rPr>
          <w:rFonts w:ascii="Times New Roman" w:hAnsi="Times New Roman" w:cs="Times New Roman"/>
          <w:sz w:val="20"/>
          <w:szCs w:val="20"/>
        </w:rPr>
        <w:t>.Д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онецк, ул.Челюскинцев д.186; </w:t>
      </w:r>
      <w:proofErr w:type="spellStart"/>
      <w:r w:rsidRPr="005D3957">
        <w:rPr>
          <w:rFonts w:ascii="Times New Roman" w:hAnsi="Times New Roman" w:cs="Times New Roman"/>
          <w:sz w:val="20"/>
          <w:szCs w:val="20"/>
        </w:rPr>
        <w:t>yu.selivanova@donnu.ru</w:t>
      </w:r>
      <w:proofErr w:type="spellEnd"/>
      <w:r w:rsidRPr="005D3957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:rsidR="00D75330" w:rsidRPr="00CA7DF7" w:rsidRDefault="00D75330" w:rsidP="0032358D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7"/>
          <w:sz w:val="20"/>
          <w:szCs w:val="20"/>
        </w:rPr>
        <w:footnoteRef/>
      </w:r>
      <w:r>
        <w:rPr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Павленко Татьяна Николаевна, студентка экономического факультета, Федеральное государственное бюджетное образовательное учреждение высшего образования «Донецкий государственный университет»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ДНР, г</w:t>
      </w:r>
      <w:proofErr w:type="gramStart"/>
      <w:r>
        <w:rPr>
          <w:rFonts w:ascii="Times New Roman" w:hAnsi="Times New Roman" w:cs="Times New Roman"/>
          <w:sz w:val="20"/>
          <w:szCs w:val="20"/>
        </w:rPr>
        <w:t>.Д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онецк, ул.Челюскинцев д.186; </w:t>
      </w:r>
      <w:hyperlink r:id="rId1" w:tgtFrame="_blank" w:history="1">
        <w:r w:rsidRPr="00363883">
          <w:rPr>
            <w:rFonts w:ascii="Times New Roman" w:hAnsi="Times New Roman" w:cs="Times New Roman"/>
            <w:sz w:val="20"/>
            <w:szCs w:val="20"/>
          </w:rPr>
          <w:t>fcl.ef@donnu.ru</w:t>
        </w:r>
      </w:hyperlink>
      <w:r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2E3B2E"/>
    <w:multiLevelType w:val="hybridMultilevel"/>
    <w:tmpl w:val="24CAA10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5A052BF"/>
    <w:multiLevelType w:val="hybridMultilevel"/>
    <w:tmpl w:val="FF18CD72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4E1D6C"/>
    <w:multiLevelType w:val="hybridMultilevel"/>
    <w:tmpl w:val="BB809CF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49878E4"/>
    <w:multiLevelType w:val="hybridMultilevel"/>
    <w:tmpl w:val="1BF4C960"/>
    <w:lvl w:ilvl="0" w:tplc="F342BE62">
      <w:start w:val="1"/>
      <w:numFmt w:val="decimal"/>
      <w:lvlText w:val="%1."/>
      <w:lvlJc w:val="left"/>
      <w:pPr>
        <w:ind w:left="1777" w:hanging="360"/>
      </w:pPr>
      <w:rPr>
        <w:rFonts w:ascii="Times New Roman" w:hAnsi="Times New Roman"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2CB7"/>
    <w:rsid w:val="000040FC"/>
    <w:rsid w:val="00013935"/>
    <w:rsid w:val="0009400A"/>
    <w:rsid w:val="00097BC3"/>
    <w:rsid w:val="000A6523"/>
    <w:rsid w:val="000C1961"/>
    <w:rsid w:val="000D49DC"/>
    <w:rsid w:val="000E3701"/>
    <w:rsid w:val="000F5A4E"/>
    <w:rsid w:val="00101306"/>
    <w:rsid w:val="00115668"/>
    <w:rsid w:val="0017175D"/>
    <w:rsid w:val="001738E4"/>
    <w:rsid w:val="00177DA9"/>
    <w:rsid w:val="00193EB2"/>
    <w:rsid w:val="001A425A"/>
    <w:rsid w:val="001A60FE"/>
    <w:rsid w:val="001C1E7A"/>
    <w:rsid w:val="001C3F85"/>
    <w:rsid w:val="001D161F"/>
    <w:rsid w:val="001E1DE5"/>
    <w:rsid w:val="00200178"/>
    <w:rsid w:val="00207EBF"/>
    <w:rsid w:val="002336DD"/>
    <w:rsid w:val="0023639C"/>
    <w:rsid w:val="0026182D"/>
    <w:rsid w:val="00297F31"/>
    <w:rsid w:val="002A1A8E"/>
    <w:rsid w:val="002C5157"/>
    <w:rsid w:val="002D17EB"/>
    <w:rsid w:val="002D70DA"/>
    <w:rsid w:val="0032358D"/>
    <w:rsid w:val="00333C59"/>
    <w:rsid w:val="003349FB"/>
    <w:rsid w:val="0033520D"/>
    <w:rsid w:val="00353752"/>
    <w:rsid w:val="003600AB"/>
    <w:rsid w:val="00363883"/>
    <w:rsid w:val="0036400A"/>
    <w:rsid w:val="00366DAD"/>
    <w:rsid w:val="00376A15"/>
    <w:rsid w:val="00406CA3"/>
    <w:rsid w:val="00451255"/>
    <w:rsid w:val="00470CFB"/>
    <w:rsid w:val="00481A21"/>
    <w:rsid w:val="004C140F"/>
    <w:rsid w:val="004C14D4"/>
    <w:rsid w:val="004D1A0A"/>
    <w:rsid w:val="004D41CB"/>
    <w:rsid w:val="004E6CF5"/>
    <w:rsid w:val="00514DB1"/>
    <w:rsid w:val="00524BE1"/>
    <w:rsid w:val="005460F5"/>
    <w:rsid w:val="00547C58"/>
    <w:rsid w:val="00575EB5"/>
    <w:rsid w:val="005B5350"/>
    <w:rsid w:val="005C76F7"/>
    <w:rsid w:val="005D3957"/>
    <w:rsid w:val="005F499E"/>
    <w:rsid w:val="0069110A"/>
    <w:rsid w:val="00692D10"/>
    <w:rsid w:val="00693DBE"/>
    <w:rsid w:val="006C0F25"/>
    <w:rsid w:val="006C562F"/>
    <w:rsid w:val="006C6501"/>
    <w:rsid w:val="006D25D6"/>
    <w:rsid w:val="00704A0B"/>
    <w:rsid w:val="00707AD6"/>
    <w:rsid w:val="00732317"/>
    <w:rsid w:val="00762B71"/>
    <w:rsid w:val="007A7816"/>
    <w:rsid w:val="007B25D4"/>
    <w:rsid w:val="007E12AE"/>
    <w:rsid w:val="00813A37"/>
    <w:rsid w:val="008269E6"/>
    <w:rsid w:val="008339D9"/>
    <w:rsid w:val="008356CC"/>
    <w:rsid w:val="00837CEB"/>
    <w:rsid w:val="008436DE"/>
    <w:rsid w:val="008764DB"/>
    <w:rsid w:val="008943C5"/>
    <w:rsid w:val="008946B1"/>
    <w:rsid w:val="008B0539"/>
    <w:rsid w:val="008C0E31"/>
    <w:rsid w:val="008D2D70"/>
    <w:rsid w:val="008D43B5"/>
    <w:rsid w:val="008D62A5"/>
    <w:rsid w:val="00917FDC"/>
    <w:rsid w:val="00921DB0"/>
    <w:rsid w:val="00953E2E"/>
    <w:rsid w:val="00955C96"/>
    <w:rsid w:val="00956472"/>
    <w:rsid w:val="0096742E"/>
    <w:rsid w:val="009B25DE"/>
    <w:rsid w:val="009C1CBA"/>
    <w:rsid w:val="00A02CB7"/>
    <w:rsid w:val="00A27312"/>
    <w:rsid w:val="00A275AE"/>
    <w:rsid w:val="00A6106D"/>
    <w:rsid w:val="00A8439F"/>
    <w:rsid w:val="00AB577A"/>
    <w:rsid w:val="00AC5929"/>
    <w:rsid w:val="00AE3800"/>
    <w:rsid w:val="00AF7DFC"/>
    <w:rsid w:val="00B01E8A"/>
    <w:rsid w:val="00B05778"/>
    <w:rsid w:val="00B125B3"/>
    <w:rsid w:val="00B2411D"/>
    <w:rsid w:val="00B403BD"/>
    <w:rsid w:val="00B719D6"/>
    <w:rsid w:val="00B72415"/>
    <w:rsid w:val="00B7613C"/>
    <w:rsid w:val="00BB4FC5"/>
    <w:rsid w:val="00BC7F6D"/>
    <w:rsid w:val="00BE1BDB"/>
    <w:rsid w:val="00BF16C4"/>
    <w:rsid w:val="00C25A0F"/>
    <w:rsid w:val="00C27AF2"/>
    <w:rsid w:val="00C34ABE"/>
    <w:rsid w:val="00C34FA3"/>
    <w:rsid w:val="00C36ABD"/>
    <w:rsid w:val="00C4002F"/>
    <w:rsid w:val="00C776FF"/>
    <w:rsid w:val="00C84262"/>
    <w:rsid w:val="00CA32D6"/>
    <w:rsid w:val="00CC54CC"/>
    <w:rsid w:val="00CD3D9B"/>
    <w:rsid w:val="00CE50FE"/>
    <w:rsid w:val="00D11468"/>
    <w:rsid w:val="00D12C46"/>
    <w:rsid w:val="00D57E5A"/>
    <w:rsid w:val="00D75330"/>
    <w:rsid w:val="00DA6FBC"/>
    <w:rsid w:val="00DC23AD"/>
    <w:rsid w:val="00DC2D59"/>
    <w:rsid w:val="00DF02F2"/>
    <w:rsid w:val="00DF0BB5"/>
    <w:rsid w:val="00DF11ED"/>
    <w:rsid w:val="00DF52A8"/>
    <w:rsid w:val="00E04598"/>
    <w:rsid w:val="00E36FB6"/>
    <w:rsid w:val="00E40D15"/>
    <w:rsid w:val="00E54A0C"/>
    <w:rsid w:val="00EA39AA"/>
    <w:rsid w:val="00EB5648"/>
    <w:rsid w:val="00EC2F7E"/>
    <w:rsid w:val="00EC7E82"/>
    <w:rsid w:val="00F273C2"/>
    <w:rsid w:val="00F55F77"/>
    <w:rsid w:val="00F809F8"/>
    <w:rsid w:val="00F8755B"/>
    <w:rsid w:val="00FA6C17"/>
    <w:rsid w:val="00FF6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2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9F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62B71"/>
    <w:pPr>
      <w:ind w:left="720"/>
      <w:contextualSpacing/>
    </w:pPr>
  </w:style>
  <w:style w:type="table" w:styleId="a6">
    <w:name w:val="Table Grid"/>
    <w:basedOn w:val="a1"/>
    <w:uiPriority w:val="59"/>
    <w:rsid w:val="00762B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">
    <w:name w:val="Заголовок №1_"/>
    <w:basedOn w:val="a0"/>
    <w:link w:val="10"/>
    <w:uiPriority w:val="99"/>
    <w:locked/>
    <w:rsid w:val="00013935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qFormat/>
    <w:rsid w:val="00013935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7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013935"/>
    <w:rPr>
      <w:vertAlign w:val="superscript"/>
    </w:rPr>
  </w:style>
  <w:style w:type="character" w:styleId="a8">
    <w:name w:val="Hyperlink"/>
    <w:basedOn w:val="a0"/>
    <w:uiPriority w:val="99"/>
    <w:unhideWhenUsed/>
    <w:rsid w:val="00A6106D"/>
    <w:rPr>
      <w:color w:val="0000FF" w:themeColor="hyperlink"/>
      <w:u w:val="single"/>
    </w:rPr>
  </w:style>
  <w:style w:type="paragraph" w:styleId="a9">
    <w:name w:val="footnote text"/>
    <w:basedOn w:val="a"/>
    <w:link w:val="aa"/>
    <w:uiPriority w:val="99"/>
    <w:semiHidden/>
    <w:unhideWhenUsed/>
    <w:rsid w:val="005D3957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5D3957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941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53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05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26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32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yperlink" Target="https://1fin.ru/?id=281&amp;t=840" TargetMode="External"/><Relationship Id="rId18" Type="http://schemas.openxmlformats.org/officeDocument/2006/relationships/hyperlink" Target="https://1-fin.ru/?id=281&amp;t=840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1-fin.ru/?id=281&amp;t=289" TargetMode="Externa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hyperlink" Target="https://www.audit-it.ru/finanaliz/terms/performance/return_on_sales.html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audit-it.ru/finanaliz/terms/turnover/rate_of_turnover.html" TargetMode="External"/><Relationship Id="rId20" Type="http://schemas.openxmlformats.org/officeDocument/2006/relationships/hyperlink" Target="https://1-fin.ru/?id=281&amp;t=139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hyperlink" Target="https://www.e-disclosure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1fin.ru/?id=281&amp;t=137" TargetMode="External"/><Relationship Id="rId23" Type="http://schemas.openxmlformats.org/officeDocument/2006/relationships/hyperlink" Target="https://1-fin.ru/?id=281&amp;t=514" TargetMode="External"/><Relationship Id="rId10" Type="http://schemas.openxmlformats.org/officeDocument/2006/relationships/diagramQuickStyle" Target="diagrams/quickStyle1.xml"/><Relationship Id="rId19" Type="http://schemas.openxmlformats.org/officeDocument/2006/relationships/hyperlink" Target="https://1-fin.ru/?id=281&amp;t=706" TargetMode="Externa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yperlink" Target="https://1fin.ru/?id=281&amp;t=139" TargetMode="External"/><Relationship Id="rId22" Type="http://schemas.openxmlformats.org/officeDocument/2006/relationships/hyperlink" Target="https://1-fin.ru/?id=281&amp;t=433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.mail.ru/compose/?mailto=mailto%3afcl.ef@donnu.ru" TargetMode="External"/></Relationships>
</file>

<file path=word/diagrams/_rels/data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/Relationships>
</file>

<file path=word/diagrams/_rels/drawing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881C3A2-0895-49AD-ADEE-4778606DFBC3}" type="doc">
      <dgm:prSet loTypeId="urn:microsoft.com/office/officeart/2005/8/layout/bList2" loCatId="list" qsTypeId="urn:microsoft.com/office/officeart/2005/8/quickstyle/simple1" qsCatId="simple" csTypeId="urn:microsoft.com/office/officeart/2005/8/colors/accent1_2" csCatId="accent1" phldr="1"/>
      <dgm:spPr/>
    </dgm:pt>
    <dgm:pt modelId="{543B661B-0FAB-4E9A-B4DD-3106DDDAC704}">
      <dgm:prSet phldrT="[Текст]"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Экспертные методы</a:t>
          </a:r>
        </a:p>
      </dgm:t>
    </dgm:pt>
    <dgm:pt modelId="{77A06961-E380-4B80-B9C9-C7B5F0AC4A35}" type="parTrans" cxnId="{3ACB2E7D-719F-4C90-B18D-39C372ED9B69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BD1E48AE-DD34-42CF-A452-DF43356A4B30}" type="sibTrans" cxnId="{3ACB2E7D-719F-4C90-B18D-39C372ED9B69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63396B4B-68A5-491F-90A3-5CD3E2F21B5F}">
      <dgm:prSet phldrT="[Текст]"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Структурно-аналитические методы</a:t>
          </a:r>
        </a:p>
      </dgm:t>
    </dgm:pt>
    <dgm:pt modelId="{120936E8-402D-46F7-A7C1-6D5FA6ED17DC}" type="parTrans" cxnId="{7CB7D462-75FC-4B4E-B1CF-93C1E6816791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B177EA62-43DD-435E-B275-F49F8D9A4B2F}" type="sibTrans" cxnId="{7CB7D462-75FC-4B4E-B1CF-93C1E6816791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B84BF17D-33C9-4081-8F22-D65092BD27F1}">
      <dgm:prSet phldrT="[Текст]"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Комплексные методы</a:t>
          </a:r>
        </a:p>
      </dgm:t>
    </dgm:pt>
    <dgm:pt modelId="{B8D9DA42-D03E-4DF0-A015-32A51037E3F6}" type="parTrans" cxnId="{BBD2BEC3-1225-48B4-8745-43F9431B2057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9C111A92-A8B5-4DCC-90A6-F5E47A2DB25A}" type="sibTrans" cxnId="{BBD2BEC3-1225-48B4-8745-43F9431B2057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50B2AE59-C048-4E24-8B84-0157FB7A1B15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Метод экспертный оценок</a:t>
          </a:r>
        </a:p>
      </dgm:t>
    </dgm:pt>
    <dgm:pt modelId="{7247678A-867E-4FEC-BB08-C6C7DD216674}" type="parTrans" cxnId="{B45BFB98-F481-4808-B244-719B8385CBC6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299C6DEF-B859-4736-9CA0-2407851AF42C}" type="sibTrans" cxnId="{B45BFB98-F481-4808-B244-719B8385CBC6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CB5B3249-A955-42E6-A791-C60F81D03DB0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Метод Дельфи</a:t>
          </a:r>
        </a:p>
      </dgm:t>
    </dgm:pt>
    <dgm:pt modelId="{7FFFAC18-1E09-4493-894C-A9404367ADAC}" type="parTrans" cxnId="{2DE5DE47-98A8-4A8C-9F9F-DD364E5A48CE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A2ED144A-4755-4CD5-8976-E8EBEE4F6C2F}" type="sibTrans" cxnId="{2DE5DE47-98A8-4A8C-9F9F-DD364E5A48CE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40CA8A6D-CF2E-4EDD-B1DA-F214A357C9DE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Метод мозговой атаки</a:t>
          </a:r>
        </a:p>
      </dgm:t>
    </dgm:pt>
    <dgm:pt modelId="{41966AEB-C7C5-438A-A60E-42ADFFDEF0FE}" type="parTrans" cxnId="{C2DD5C38-324A-4F80-B663-AD98B1187DA0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EF94DB59-1ABB-4069-9221-C4263DF037AD}" type="sibTrans" cxnId="{C2DD5C38-324A-4F80-B663-AD98B1187DA0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DB0BC841-7A5F-48D4-8D83-D6D14F64D75E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Метод моделирования</a:t>
          </a:r>
        </a:p>
      </dgm:t>
    </dgm:pt>
    <dgm:pt modelId="{AA1885E6-688A-4A5F-9113-0F7532ED5DA4}" type="parTrans" cxnId="{A3C6E15E-03AD-4690-B259-ECC379BEB53D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0C62BF7E-1B56-408E-B29C-F0FDBC87F543}" type="sibTrans" cxnId="{A3C6E15E-03AD-4690-B259-ECC379BEB53D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A589C4A5-FACA-4ED8-83F2-3A98A2C22BB1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Иерархическая декомпозиция</a:t>
          </a:r>
        </a:p>
      </dgm:t>
    </dgm:pt>
    <dgm:pt modelId="{738A2E28-0E23-4544-9996-8F8E9E69FB14}" type="parTrans" cxnId="{898B8844-B7F8-4A12-A804-A87F27FC9BAD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6A9F704D-5B72-40B7-A42E-5999D0BC9D69}" type="sibTrans" cxnId="{898B8844-B7F8-4A12-A804-A87F27FC9BAD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DE36FBBD-FD51-4565-9D78-E66EEE6A3F9B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Матричные методы</a:t>
          </a:r>
        </a:p>
      </dgm:t>
    </dgm:pt>
    <dgm:pt modelId="{FAB5DBFA-B698-4795-B63D-F0FF649E650A}" type="parTrans" cxnId="{600B22BE-8F6F-4108-9480-F6394811405E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6A01ABA6-8590-4F30-AB0F-8AD212BACB7F}" type="sibTrans" cxnId="{600B22BE-8F6F-4108-9480-F6394811405E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3042FA02-E938-4D00-BA70-483D7852B2C5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Метод интегральной (сводной) оценки</a:t>
          </a:r>
        </a:p>
      </dgm:t>
    </dgm:pt>
    <dgm:pt modelId="{ABD46254-D9D5-4EF6-9B98-A8648C29C934}" type="parTrans" cxnId="{2F6F34F0-64FF-4458-BBCA-170F6842EA6D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D2A04F1F-C67F-497B-ACD2-6F5934907BE9}" type="sibTrans" cxnId="{2F6F34F0-64FF-4458-BBCA-170F6842EA6D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236A3FFD-4C59-41DE-B2F7-1E6D8FF7787C}">
      <dgm:prSet custT="1"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62D80430-2F6A-4FDF-A288-D6DEC209B811}" type="parTrans" cxnId="{9006D88A-DBFB-40D1-9772-02495910F8A6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CEA97441-3D98-4A90-9383-CB8FD86DA14E}" type="sibTrans" cxnId="{9006D88A-DBFB-40D1-9772-02495910F8A6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CB2C3DE5-C9E1-4246-9A72-AD25A9A5F5E5}">
      <dgm:prSet custT="1"/>
      <dgm:spPr/>
      <dgm:t>
        <a:bodyPr/>
        <a:lstStyle/>
        <a:p>
          <a:r>
            <a:rPr lang="ru-RU" sz="1000">
              <a:latin typeface="Times New Roman" pitchFamily="18" charset="0"/>
              <a:cs typeface="Times New Roman" pitchFamily="18" charset="0"/>
            </a:rPr>
            <a:t>Индикативный метод</a:t>
          </a:r>
        </a:p>
      </dgm:t>
    </dgm:pt>
    <dgm:pt modelId="{3C64B82E-9C0F-425C-AF17-E465775C1E87}" type="parTrans" cxnId="{EE76F999-A216-44C9-8EBD-C4123310DD0B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6C310005-DAA7-4A68-9C4E-4F4117B5A1C6}" type="sibTrans" cxnId="{EE76F999-A216-44C9-8EBD-C4123310DD0B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4A3ECE56-9BD4-433C-BF62-A95446B15B9E}">
      <dgm:prSet custT="1"/>
      <dgm:spPr/>
      <dgm:t>
        <a:bodyPr/>
        <a:lstStyle/>
        <a:p>
          <a:r>
            <a:rPr lang="en-US" sz="1000">
              <a:latin typeface="Times New Roman" pitchFamily="18" charset="0"/>
              <a:cs typeface="Times New Roman" pitchFamily="18" charset="0"/>
            </a:rPr>
            <a:t>SWOT-</a:t>
          </a:r>
          <a:r>
            <a:rPr lang="ru-RU" sz="1000">
              <a:latin typeface="Times New Roman" pitchFamily="18" charset="0"/>
              <a:cs typeface="Times New Roman" pitchFamily="18" charset="0"/>
            </a:rPr>
            <a:t>анализ</a:t>
          </a:r>
        </a:p>
      </dgm:t>
    </dgm:pt>
    <dgm:pt modelId="{58437D6D-8A83-42BB-B837-6AF62D2C0D9F}" type="parTrans" cxnId="{394257D6-29A2-4E42-9A2E-861352E7EDE6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62A1A37C-FB69-4139-9C29-3CEF1B209BC4}" type="sibTrans" cxnId="{394257D6-29A2-4E42-9A2E-861352E7EDE6}">
      <dgm:prSet/>
      <dgm:spPr/>
      <dgm:t>
        <a:bodyPr/>
        <a:lstStyle/>
        <a:p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55807D42-0978-4E8B-82C4-8E9DE8424E6F}" type="pres">
      <dgm:prSet presAssocID="{5881C3A2-0895-49AD-ADEE-4778606DFBC3}" presName="diagram" presStyleCnt="0">
        <dgm:presLayoutVars>
          <dgm:dir/>
          <dgm:animLvl val="lvl"/>
          <dgm:resizeHandles val="exact"/>
        </dgm:presLayoutVars>
      </dgm:prSet>
      <dgm:spPr/>
    </dgm:pt>
    <dgm:pt modelId="{96137246-BE42-41F2-B8EB-B45C0D03544C}" type="pres">
      <dgm:prSet presAssocID="{543B661B-0FAB-4E9A-B4DD-3106DDDAC704}" presName="compNode" presStyleCnt="0"/>
      <dgm:spPr/>
    </dgm:pt>
    <dgm:pt modelId="{F3F26B28-5DFC-4D6E-99CA-CB7A59121AE8}" type="pres">
      <dgm:prSet presAssocID="{543B661B-0FAB-4E9A-B4DD-3106DDDAC704}" presName="childRect" presStyleLbl="bgAcc1" presStyleIdx="0" presStyleCnt="3" custScaleX="162428" custLinFactX="-4301" custLinFactNeighborX="-100000" custLinFactNeighborY="-10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6AE84C0-D297-4A78-B287-4C78FB7620B6}" type="pres">
      <dgm:prSet presAssocID="{543B661B-0FAB-4E9A-B4DD-3106DDDAC704}" presName="parentText" presStyleLbl="node1" presStyleIdx="0" presStyleCnt="0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3CEB6CD-56B3-4192-831F-42F2DC56E576}" type="pres">
      <dgm:prSet presAssocID="{543B661B-0FAB-4E9A-B4DD-3106DDDAC704}" presName="parentRect" presStyleLbl="alignNode1" presStyleIdx="0" presStyleCnt="3" custScaleX="162354" custLinFactNeighborX="-32825" custLinFactNeighborY="2752"/>
      <dgm:spPr/>
      <dgm:t>
        <a:bodyPr/>
        <a:lstStyle/>
        <a:p>
          <a:endParaRPr lang="ru-RU"/>
        </a:p>
      </dgm:t>
    </dgm:pt>
    <dgm:pt modelId="{8FDD384E-52D6-496A-8536-9ED62A41996E}" type="pres">
      <dgm:prSet presAssocID="{543B661B-0FAB-4E9A-B4DD-3106DDDAC704}" presName="adorn" presStyleLbl="fgAccFollowNode1" presStyleIdx="0" presStyleCnt="3" custScaleX="131764" custLinFactNeighborX="-5051" custLinFactNeighborY="-22729"/>
      <dgm:spPr>
        <a:blipFill rotWithShape="0">
          <a:blip xmlns:r="http://schemas.openxmlformats.org/officeDocument/2006/relationships" r:embed="rId1"/>
          <a:stretch>
            <a:fillRect/>
          </a:stretch>
        </a:blipFill>
      </dgm:spPr>
    </dgm:pt>
    <dgm:pt modelId="{ADE78BEA-30CE-488B-A5BE-12B2F809755D}" type="pres">
      <dgm:prSet presAssocID="{BD1E48AE-DD34-42CF-A452-DF43356A4B30}" presName="sibTrans" presStyleLbl="sibTrans2D1" presStyleIdx="0" presStyleCnt="0"/>
      <dgm:spPr/>
      <dgm:t>
        <a:bodyPr/>
        <a:lstStyle/>
        <a:p>
          <a:endParaRPr lang="ru-RU"/>
        </a:p>
      </dgm:t>
    </dgm:pt>
    <dgm:pt modelId="{BE279C1A-2D14-4DD9-89DA-60D65F258C54}" type="pres">
      <dgm:prSet presAssocID="{63396B4B-68A5-491F-90A3-5CD3E2F21B5F}" presName="compNode" presStyleCnt="0"/>
      <dgm:spPr/>
    </dgm:pt>
    <dgm:pt modelId="{5BBAFC45-FF39-46DE-AFB9-F48D4BF5BE25}" type="pres">
      <dgm:prSet presAssocID="{63396B4B-68A5-491F-90A3-5CD3E2F21B5F}" presName="childRect" presStyleLbl="bgAcc1" presStyleIdx="1" presStyleCnt="3" custScaleX="195934" custLinFactNeighborX="-3535" custLinFactNeighborY="-10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EA54F9E-54AA-43A7-AF9B-6B39D15E70ED}" type="pres">
      <dgm:prSet presAssocID="{63396B4B-68A5-491F-90A3-5CD3E2F21B5F}" presName="parentText" presStyleLbl="node1" presStyleIdx="0" presStyleCnt="0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8C8DB85-9534-4764-9B7D-6EB599194D1F}" type="pres">
      <dgm:prSet presAssocID="{63396B4B-68A5-491F-90A3-5CD3E2F21B5F}" presName="parentRect" presStyleLbl="alignNode1" presStyleIdx="1" presStyleCnt="3" custScaleX="194172" custLinFactNeighborX="-5304" custLinFactNeighborY="-2754"/>
      <dgm:spPr/>
      <dgm:t>
        <a:bodyPr/>
        <a:lstStyle/>
        <a:p>
          <a:endParaRPr lang="ru-RU"/>
        </a:p>
      </dgm:t>
    </dgm:pt>
    <dgm:pt modelId="{5BFB1F1C-1E0C-4F28-810D-FA0A4A964741}" type="pres">
      <dgm:prSet presAssocID="{63396B4B-68A5-491F-90A3-5CD3E2F21B5F}" presName="adorn" presStyleLbl="fgAccFollowNode1" presStyleIdx="1" presStyleCnt="3" custScaleX="138898" custScaleY="95329" custLinFactX="13640" custLinFactNeighborX="100000" custLinFactNeighborY="-27780"/>
      <dgm:spPr>
        <a:blipFill rotWithShape="0">
          <a:blip xmlns:r="http://schemas.openxmlformats.org/officeDocument/2006/relationships" r:embed="rId2"/>
          <a:stretch>
            <a:fillRect/>
          </a:stretch>
        </a:blipFill>
      </dgm:spPr>
    </dgm:pt>
    <dgm:pt modelId="{E6AE877E-DFAC-4E6E-9375-D0E8AA531561}" type="pres">
      <dgm:prSet presAssocID="{B177EA62-43DD-435E-B275-F49F8D9A4B2F}" presName="sibTrans" presStyleLbl="sibTrans2D1" presStyleIdx="0" presStyleCnt="0"/>
      <dgm:spPr/>
      <dgm:t>
        <a:bodyPr/>
        <a:lstStyle/>
        <a:p>
          <a:endParaRPr lang="ru-RU"/>
        </a:p>
      </dgm:t>
    </dgm:pt>
    <dgm:pt modelId="{0A034098-EADD-49BC-9171-6AF69EBBD90F}" type="pres">
      <dgm:prSet presAssocID="{B84BF17D-33C9-4081-8F22-D65092BD27F1}" presName="compNode" presStyleCnt="0"/>
      <dgm:spPr/>
    </dgm:pt>
    <dgm:pt modelId="{3B6B3D36-F315-45D4-B72E-8C1D22F565C1}" type="pres">
      <dgm:prSet presAssocID="{B84BF17D-33C9-4081-8F22-D65092BD27F1}" presName="childRect" presStyleLbl="bgAcc1" presStyleIdx="2" presStyleCnt="3" custScaleX="162827" custLinFactNeighborX="31821" custLinFactNeighborY="-10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F76B1E0-472A-4527-A23E-5C219DFFC55F}" type="pres">
      <dgm:prSet presAssocID="{B84BF17D-33C9-4081-8F22-D65092BD27F1}" presName="parentText" presStyleLbl="node1" presStyleIdx="0" presStyleCnt="0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D7010E8-CB0E-495D-88EE-8AA8655AA491}" type="pres">
      <dgm:prSet presAssocID="{B84BF17D-33C9-4081-8F22-D65092BD27F1}" presName="parentRect" presStyleLbl="alignNode1" presStyleIdx="2" presStyleCnt="3" custScaleX="152866" custLinFactNeighborX="22098" custLinFactNeighborY="2754"/>
      <dgm:spPr/>
      <dgm:t>
        <a:bodyPr/>
        <a:lstStyle/>
        <a:p>
          <a:endParaRPr lang="ru-RU"/>
        </a:p>
      </dgm:t>
    </dgm:pt>
    <dgm:pt modelId="{7C0C7F51-3BAE-4F67-A5D2-4299D3C35722}" type="pres">
      <dgm:prSet presAssocID="{B84BF17D-33C9-4081-8F22-D65092BD27F1}" presName="adorn" presStyleLbl="fgAccFollowNode1" presStyleIdx="2" presStyleCnt="3" custScaleX="127219" custLinFactX="56291" custLinFactNeighborX="100000" custLinFactNeighborY="-20204"/>
      <dgm:spPr>
        <a:blipFill rotWithShape="0">
          <a:blip xmlns:r="http://schemas.openxmlformats.org/officeDocument/2006/relationships" r:embed="rId3"/>
          <a:stretch>
            <a:fillRect/>
          </a:stretch>
        </a:blipFill>
      </dgm:spPr>
    </dgm:pt>
  </dgm:ptLst>
  <dgm:cxnLst>
    <dgm:cxn modelId="{C74A7F49-B536-4385-8D21-E152ED562BFE}" type="presOf" srcId="{543B661B-0FAB-4E9A-B4DD-3106DDDAC704}" destId="{53CEB6CD-56B3-4192-831F-42F2DC56E576}" srcOrd="1" destOrd="0" presId="urn:microsoft.com/office/officeart/2005/8/layout/bList2"/>
    <dgm:cxn modelId="{2F6F34F0-64FF-4458-BBCA-170F6842EA6D}" srcId="{B84BF17D-33C9-4081-8F22-D65092BD27F1}" destId="{3042FA02-E938-4D00-BA70-483D7852B2C5}" srcOrd="0" destOrd="0" parTransId="{ABD46254-D9D5-4EF6-9B98-A8648C29C934}" sibTransId="{D2A04F1F-C67F-497B-ACD2-6F5934907BE9}"/>
    <dgm:cxn modelId="{DDE0B18E-B5DE-48D9-A5CE-D0FBD5F25239}" type="presOf" srcId="{4A3ECE56-9BD4-433C-BF62-A95446B15B9E}" destId="{3B6B3D36-F315-45D4-B72E-8C1D22F565C1}" srcOrd="0" destOrd="2" presId="urn:microsoft.com/office/officeart/2005/8/layout/bList2"/>
    <dgm:cxn modelId="{EE76F999-A216-44C9-8EBD-C4123310DD0B}" srcId="{B84BF17D-33C9-4081-8F22-D65092BD27F1}" destId="{CB2C3DE5-C9E1-4246-9A72-AD25A9A5F5E5}" srcOrd="1" destOrd="0" parTransId="{3C64B82E-9C0F-425C-AF17-E465775C1E87}" sibTransId="{6C310005-DAA7-4A68-9C4E-4F4117B5A1C6}"/>
    <dgm:cxn modelId="{723E0820-3338-44F7-BA05-4672A4A51633}" type="presOf" srcId="{236A3FFD-4C59-41DE-B2F7-1E6D8FF7787C}" destId="{3B6B3D36-F315-45D4-B72E-8C1D22F565C1}" srcOrd="0" destOrd="3" presId="urn:microsoft.com/office/officeart/2005/8/layout/bList2"/>
    <dgm:cxn modelId="{05F56C61-421D-4D7C-8A11-7D57AC807DB0}" type="presOf" srcId="{CB5B3249-A955-42E6-A791-C60F81D03DB0}" destId="{F3F26B28-5DFC-4D6E-99CA-CB7A59121AE8}" srcOrd="0" destOrd="1" presId="urn:microsoft.com/office/officeart/2005/8/layout/bList2"/>
    <dgm:cxn modelId="{4A9EB82F-CAA1-410F-932B-F07F8FC75A68}" type="presOf" srcId="{63396B4B-68A5-491F-90A3-5CD3E2F21B5F}" destId="{3EA54F9E-54AA-43A7-AF9B-6B39D15E70ED}" srcOrd="0" destOrd="0" presId="urn:microsoft.com/office/officeart/2005/8/layout/bList2"/>
    <dgm:cxn modelId="{600B22BE-8F6F-4108-9480-F6394811405E}" srcId="{63396B4B-68A5-491F-90A3-5CD3E2F21B5F}" destId="{DE36FBBD-FD51-4565-9D78-E66EEE6A3F9B}" srcOrd="2" destOrd="0" parTransId="{FAB5DBFA-B698-4795-B63D-F0FF649E650A}" sibTransId="{6A01ABA6-8590-4F30-AB0F-8AD212BACB7F}"/>
    <dgm:cxn modelId="{7F85C00D-22C7-442D-B010-272333887838}" type="presOf" srcId="{DB0BC841-7A5F-48D4-8D83-D6D14F64D75E}" destId="{5BBAFC45-FF39-46DE-AFB9-F48D4BF5BE25}" srcOrd="0" destOrd="0" presId="urn:microsoft.com/office/officeart/2005/8/layout/bList2"/>
    <dgm:cxn modelId="{BBD2BEC3-1225-48B4-8745-43F9431B2057}" srcId="{5881C3A2-0895-49AD-ADEE-4778606DFBC3}" destId="{B84BF17D-33C9-4081-8F22-D65092BD27F1}" srcOrd="2" destOrd="0" parTransId="{B8D9DA42-D03E-4DF0-A015-32A51037E3F6}" sibTransId="{9C111A92-A8B5-4DCC-90A6-F5E47A2DB25A}"/>
    <dgm:cxn modelId="{B07716A1-F3DE-4B0D-8896-ABF4F98C388E}" type="presOf" srcId="{5881C3A2-0895-49AD-ADEE-4778606DFBC3}" destId="{55807D42-0978-4E8B-82C4-8E9DE8424E6F}" srcOrd="0" destOrd="0" presId="urn:microsoft.com/office/officeart/2005/8/layout/bList2"/>
    <dgm:cxn modelId="{3ACB2E7D-719F-4C90-B18D-39C372ED9B69}" srcId="{5881C3A2-0895-49AD-ADEE-4778606DFBC3}" destId="{543B661B-0FAB-4E9A-B4DD-3106DDDAC704}" srcOrd="0" destOrd="0" parTransId="{77A06961-E380-4B80-B9C9-C7B5F0AC4A35}" sibTransId="{BD1E48AE-DD34-42CF-A452-DF43356A4B30}"/>
    <dgm:cxn modelId="{394257D6-29A2-4E42-9A2E-861352E7EDE6}" srcId="{B84BF17D-33C9-4081-8F22-D65092BD27F1}" destId="{4A3ECE56-9BD4-433C-BF62-A95446B15B9E}" srcOrd="2" destOrd="0" parTransId="{58437D6D-8A83-42BB-B837-6AF62D2C0D9F}" sibTransId="{62A1A37C-FB69-4139-9C29-3CEF1B209BC4}"/>
    <dgm:cxn modelId="{9E677650-9411-4390-A7E5-C177290CA90F}" type="presOf" srcId="{B177EA62-43DD-435E-B275-F49F8D9A4B2F}" destId="{E6AE877E-DFAC-4E6E-9375-D0E8AA531561}" srcOrd="0" destOrd="0" presId="urn:microsoft.com/office/officeart/2005/8/layout/bList2"/>
    <dgm:cxn modelId="{B45BFB98-F481-4808-B244-719B8385CBC6}" srcId="{543B661B-0FAB-4E9A-B4DD-3106DDDAC704}" destId="{50B2AE59-C048-4E24-8B84-0157FB7A1B15}" srcOrd="0" destOrd="0" parTransId="{7247678A-867E-4FEC-BB08-C6C7DD216674}" sibTransId="{299C6DEF-B859-4736-9CA0-2407851AF42C}"/>
    <dgm:cxn modelId="{84EB0EF4-991A-4A8D-8D66-CE23E6FB410F}" type="presOf" srcId="{40CA8A6D-CF2E-4EDD-B1DA-F214A357C9DE}" destId="{F3F26B28-5DFC-4D6E-99CA-CB7A59121AE8}" srcOrd="0" destOrd="2" presId="urn:microsoft.com/office/officeart/2005/8/layout/bList2"/>
    <dgm:cxn modelId="{D0D358DB-B9B5-43E8-8681-227F77650975}" type="presOf" srcId="{BD1E48AE-DD34-42CF-A452-DF43356A4B30}" destId="{ADE78BEA-30CE-488B-A5BE-12B2F809755D}" srcOrd="0" destOrd="0" presId="urn:microsoft.com/office/officeart/2005/8/layout/bList2"/>
    <dgm:cxn modelId="{BD3EC885-AD24-45F8-B2EB-073D16F1604E}" type="presOf" srcId="{B84BF17D-33C9-4081-8F22-D65092BD27F1}" destId="{AD7010E8-CB0E-495D-88EE-8AA8655AA491}" srcOrd="1" destOrd="0" presId="urn:microsoft.com/office/officeart/2005/8/layout/bList2"/>
    <dgm:cxn modelId="{C2DD5C38-324A-4F80-B663-AD98B1187DA0}" srcId="{543B661B-0FAB-4E9A-B4DD-3106DDDAC704}" destId="{40CA8A6D-CF2E-4EDD-B1DA-F214A357C9DE}" srcOrd="2" destOrd="0" parTransId="{41966AEB-C7C5-438A-A60E-42ADFFDEF0FE}" sibTransId="{EF94DB59-1ABB-4069-9221-C4263DF037AD}"/>
    <dgm:cxn modelId="{6010DEAA-3F6D-4592-87E2-3BE45CCE4541}" type="presOf" srcId="{CB2C3DE5-C9E1-4246-9A72-AD25A9A5F5E5}" destId="{3B6B3D36-F315-45D4-B72E-8C1D22F565C1}" srcOrd="0" destOrd="1" presId="urn:microsoft.com/office/officeart/2005/8/layout/bList2"/>
    <dgm:cxn modelId="{308D29FC-17CB-41B5-8C21-378B6E0ABEF9}" type="presOf" srcId="{3042FA02-E938-4D00-BA70-483D7852B2C5}" destId="{3B6B3D36-F315-45D4-B72E-8C1D22F565C1}" srcOrd="0" destOrd="0" presId="urn:microsoft.com/office/officeart/2005/8/layout/bList2"/>
    <dgm:cxn modelId="{F5C07A0B-9373-4781-96BB-7C4C9CDAFBED}" type="presOf" srcId="{B84BF17D-33C9-4081-8F22-D65092BD27F1}" destId="{CF76B1E0-472A-4527-A23E-5C219DFFC55F}" srcOrd="0" destOrd="0" presId="urn:microsoft.com/office/officeart/2005/8/layout/bList2"/>
    <dgm:cxn modelId="{9006D88A-DBFB-40D1-9772-02495910F8A6}" srcId="{B84BF17D-33C9-4081-8F22-D65092BD27F1}" destId="{236A3FFD-4C59-41DE-B2F7-1E6D8FF7787C}" srcOrd="3" destOrd="0" parTransId="{62D80430-2F6A-4FDF-A288-D6DEC209B811}" sibTransId="{CEA97441-3D98-4A90-9383-CB8FD86DA14E}"/>
    <dgm:cxn modelId="{2DE5DE47-98A8-4A8C-9F9F-DD364E5A48CE}" srcId="{543B661B-0FAB-4E9A-B4DD-3106DDDAC704}" destId="{CB5B3249-A955-42E6-A791-C60F81D03DB0}" srcOrd="1" destOrd="0" parTransId="{7FFFAC18-1E09-4493-894C-A9404367ADAC}" sibTransId="{A2ED144A-4755-4CD5-8976-E8EBEE4F6C2F}"/>
    <dgm:cxn modelId="{9BC3296C-0429-44A4-9BED-F7B697104EDB}" type="presOf" srcId="{DE36FBBD-FD51-4565-9D78-E66EEE6A3F9B}" destId="{5BBAFC45-FF39-46DE-AFB9-F48D4BF5BE25}" srcOrd="0" destOrd="2" presId="urn:microsoft.com/office/officeart/2005/8/layout/bList2"/>
    <dgm:cxn modelId="{C77DE611-0739-4E89-982C-FC52E49BFE72}" type="presOf" srcId="{A589C4A5-FACA-4ED8-83F2-3A98A2C22BB1}" destId="{5BBAFC45-FF39-46DE-AFB9-F48D4BF5BE25}" srcOrd="0" destOrd="1" presId="urn:microsoft.com/office/officeart/2005/8/layout/bList2"/>
    <dgm:cxn modelId="{7CB7D462-75FC-4B4E-B1CF-93C1E6816791}" srcId="{5881C3A2-0895-49AD-ADEE-4778606DFBC3}" destId="{63396B4B-68A5-491F-90A3-5CD3E2F21B5F}" srcOrd="1" destOrd="0" parTransId="{120936E8-402D-46F7-A7C1-6D5FA6ED17DC}" sibTransId="{B177EA62-43DD-435E-B275-F49F8D9A4B2F}"/>
    <dgm:cxn modelId="{87668F28-833F-4C00-A95F-7F965234EC26}" type="presOf" srcId="{63396B4B-68A5-491F-90A3-5CD3E2F21B5F}" destId="{C8C8DB85-9534-4764-9B7D-6EB599194D1F}" srcOrd="1" destOrd="0" presId="urn:microsoft.com/office/officeart/2005/8/layout/bList2"/>
    <dgm:cxn modelId="{5A18F6FF-08D1-43E8-B6AC-B9FD0DF020C7}" type="presOf" srcId="{50B2AE59-C048-4E24-8B84-0157FB7A1B15}" destId="{F3F26B28-5DFC-4D6E-99CA-CB7A59121AE8}" srcOrd="0" destOrd="0" presId="urn:microsoft.com/office/officeart/2005/8/layout/bList2"/>
    <dgm:cxn modelId="{7B174822-5A6F-4BC8-82C0-437DA5C567B7}" type="presOf" srcId="{543B661B-0FAB-4E9A-B4DD-3106DDDAC704}" destId="{16AE84C0-D297-4A78-B287-4C78FB7620B6}" srcOrd="0" destOrd="0" presId="urn:microsoft.com/office/officeart/2005/8/layout/bList2"/>
    <dgm:cxn modelId="{898B8844-B7F8-4A12-A804-A87F27FC9BAD}" srcId="{63396B4B-68A5-491F-90A3-5CD3E2F21B5F}" destId="{A589C4A5-FACA-4ED8-83F2-3A98A2C22BB1}" srcOrd="1" destOrd="0" parTransId="{738A2E28-0E23-4544-9996-8F8E9E69FB14}" sibTransId="{6A9F704D-5B72-40B7-A42E-5999D0BC9D69}"/>
    <dgm:cxn modelId="{A3C6E15E-03AD-4690-B259-ECC379BEB53D}" srcId="{63396B4B-68A5-491F-90A3-5CD3E2F21B5F}" destId="{DB0BC841-7A5F-48D4-8D83-D6D14F64D75E}" srcOrd="0" destOrd="0" parTransId="{AA1885E6-688A-4A5F-9113-0F7532ED5DA4}" sibTransId="{0C62BF7E-1B56-408E-B29C-F0FDBC87F543}"/>
    <dgm:cxn modelId="{D5EB3727-7A3A-4B12-ACC3-DCB394D64F1B}" type="presParOf" srcId="{55807D42-0978-4E8B-82C4-8E9DE8424E6F}" destId="{96137246-BE42-41F2-B8EB-B45C0D03544C}" srcOrd="0" destOrd="0" presId="urn:microsoft.com/office/officeart/2005/8/layout/bList2"/>
    <dgm:cxn modelId="{77FEFF15-DE29-4C33-9F93-57E14A16C8D7}" type="presParOf" srcId="{96137246-BE42-41F2-B8EB-B45C0D03544C}" destId="{F3F26B28-5DFC-4D6E-99CA-CB7A59121AE8}" srcOrd="0" destOrd="0" presId="urn:microsoft.com/office/officeart/2005/8/layout/bList2"/>
    <dgm:cxn modelId="{9C4BF804-EBDB-4758-96F0-5B452F2D0070}" type="presParOf" srcId="{96137246-BE42-41F2-B8EB-B45C0D03544C}" destId="{16AE84C0-D297-4A78-B287-4C78FB7620B6}" srcOrd="1" destOrd="0" presId="urn:microsoft.com/office/officeart/2005/8/layout/bList2"/>
    <dgm:cxn modelId="{54E2BB20-B451-4380-9256-3EEBD0AA7FA8}" type="presParOf" srcId="{96137246-BE42-41F2-B8EB-B45C0D03544C}" destId="{53CEB6CD-56B3-4192-831F-42F2DC56E576}" srcOrd="2" destOrd="0" presId="urn:microsoft.com/office/officeart/2005/8/layout/bList2"/>
    <dgm:cxn modelId="{866E0CB3-0E19-46F6-99C8-8067CEF75F42}" type="presParOf" srcId="{96137246-BE42-41F2-B8EB-B45C0D03544C}" destId="{8FDD384E-52D6-496A-8536-9ED62A41996E}" srcOrd="3" destOrd="0" presId="urn:microsoft.com/office/officeart/2005/8/layout/bList2"/>
    <dgm:cxn modelId="{872CD834-BB39-4795-97DD-6DF80C1643C7}" type="presParOf" srcId="{55807D42-0978-4E8B-82C4-8E9DE8424E6F}" destId="{ADE78BEA-30CE-488B-A5BE-12B2F809755D}" srcOrd="1" destOrd="0" presId="urn:microsoft.com/office/officeart/2005/8/layout/bList2"/>
    <dgm:cxn modelId="{FE518358-56C4-4F87-AF1A-B029402F37A8}" type="presParOf" srcId="{55807D42-0978-4E8B-82C4-8E9DE8424E6F}" destId="{BE279C1A-2D14-4DD9-89DA-60D65F258C54}" srcOrd="2" destOrd="0" presId="urn:microsoft.com/office/officeart/2005/8/layout/bList2"/>
    <dgm:cxn modelId="{2B677743-30A4-4274-8DF4-442A5A9FB6BB}" type="presParOf" srcId="{BE279C1A-2D14-4DD9-89DA-60D65F258C54}" destId="{5BBAFC45-FF39-46DE-AFB9-F48D4BF5BE25}" srcOrd="0" destOrd="0" presId="urn:microsoft.com/office/officeart/2005/8/layout/bList2"/>
    <dgm:cxn modelId="{C2118ABE-DD29-4CBF-96D8-5EE757875CDD}" type="presParOf" srcId="{BE279C1A-2D14-4DD9-89DA-60D65F258C54}" destId="{3EA54F9E-54AA-43A7-AF9B-6B39D15E70ED}" srcOrd="1" destOrd="0" presId="urn:microsoft.com/office/officeart/2005/8/layout/bList2"/>
    <dgm:cxn modelId="{9197F39D-2377-4320-A513-6C16FFE24DE4}" type="presParOf" srcId="{BE279C1A-2D14-4DD9-89DA-60D65F258C54}" destId="{C8C8DB85-9534-4764-9B7D-6EB599194D1F}" srcOrd="2" destOrd="0" presId="urn:microsoft.com/office/officeart/2005/8/layout/bList2"/>
    <dgm:cxn modelId="{A5E05DFA-4D11-4177-AD5F-C25081CD04BA}" type="presParOf" srcId="{BE279C1A-2D14-4DD9-89DA-60D65F258C54}" destId="{5BFB1F1C-1E0C-4F28-810D-FA0A4A964741}" srcOrd="3" destOrd="0" presId="urn:microsoft.com/office/officeart/2005/8/layout/bList2"/>
    <dgm:cxn modelId="{1C5BE8BF-C938-48EF-B36E-0E41C73DB9C0}" type="presParOf" srcId="{55807D42-0978-4E8B-82C4-8E9DE8424E6F}" destId="{E6AE877E-DFAC-4E6E-9375-D0E8AA531561}" srcOrd="3" destOrd="0" presId="urn:microsoft.com/office/officeart/2005/8/layout/bList2"/>
    <dgm:cxn modelId="{F725EB00-91C5-4221-8167-0FD5C97B579D}" type="presParOf" srcId="{55807D42-0978-4E8B-82C4-8E9DE8424E6F}" destId="{0A034098-EADD-49BC-9171-6AF69EBBD90F}" srcOrd="4" destOrd="0" presId="urn:microsoft.com/office/officeart/2005/8/layout/bList2"/>
    <dgm:cxn modelId="{8804BD0A-E755-4691-8F4B-BD1FDBE51953}" type="presParOf" srcId="{0A034098-EADD-49BC-9171-6AF69EBBD90F}" destId="{3B6B3D36-F315-45D4-B72E-8C1D22F565C1}" srcOrd="0" destOrd="0" presId="urn:microsoft.com/office/officeart/2005/8/layout/bList2"/>
    <dgm:cxn modelId="{0FD823D2-067B-4B2F-B431-201EAE242D0A}" type="presParOf" srcId="{0A034098-EADD-49BC-9171-6AF69EBBD90F}" destId="{CF76B1E0-472A-4527-A23E-5C219DFFC55F}" srcOrd="1" destOrd="0" presId="urn:microsoft.com/office/officeart/2005/8/layout/bList2"/>
    <dgm:cxn modelId="{BED5F7BF-A264-4506-8EE0-142D5F7BA98A}" type="presParOf" srcId="{0A034098-EADD-49BC-9171-6AF69EBBD90F}" destId="{AD7010E8-CB0E-495D-88EE-8AA8655AA491}" srcOrd="2" destOrd="0" presId="urn:microsoft.com/office/officeart/2005/8/layout/bList2"/>
    <dgm:cxn modelId="{D20F901D-A136-48A2-9CC8-10CEC885C333}" type="presParOf" srcId="{0A034098-EADD-49BC-9171-6AF69EBBD90F}" destId="{7C0C7F51-3BAE-4F67-A5D2-4299D3C35722}" srcOrd="3" destOrd="0" presId="urn:microsoft.com/office/officeart/2005/8/layout/bList2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F3F26B28-5DFC-4D6E-99CA-CB7A59121AE8}">
      <dsp:nvSpPr>
        <dsp:cNvPr id="0" name=""/>
        <dsp:cNvSpPr/>
      </dsp:nvSpPr>
      <dsp:spPr>
        <a:xfrm>
          <a:off x="0" y="0"/>
          <a:ext cx="1664196" cy="764823"/>
        </a:xfrm>
        <a:prstGeom prst="round2SameRect">
          <a:avLst>
            <a:gd name="adj1" fmla="val 8000"/>
            <a:gd name="adj2" fmla="val 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38100" rIns="12700" bIns="1270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Метод экспертный оценок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Метод Дельфи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Метод мозговой атаки</a:t>
          </a:r>
        </a:p>
      </dsp:txBody>
      <dsp:txXfrm>
        <a:off x="0" y="0"/>
        <a:ext cx="1664196" cy="764823"/>
      </dsp:txXfrm>
    </dsp:sp>
    <dsp:sp modelId="{53CEB6CD-56B3-4192-831F-42F2DC56E576}">
      <dsp:nvSpPr>
        <dsp:cNvPr id="0" name=""/>
        <dsp:cNvSpPr/>
      </dsp:nvSpPr>
      <dsp:spPr>
        <a:xfrm>
          <a:off x="0" y="774517"/>
          <a:ext cx="1663437" cy="32887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0" rIns="12700" bIns="0" numCol="1" spcCol="1270" anchor="ctr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Экспертные методы</a:t>
          </a:r>
        </a:p>
      </dsp:txBody>
      <dsp:txXfrm>
        <a:off x="0" y="774517"/>
        <a:ext cx="1171435" cy="328874"/>
      </dsp:txXfrm>
    </dsp:sp>
    <dsp:sp modelId="{8FDD384E-52D6-496A-8536-9ED62A41996E}">
      <dsp:nvSpPr>
        <dsp:cNvPr id="0" name=""/>
        <dsp:cNvSpPr/>
      </dsp:nvSpPr>
      <dsp:spPr>
        <a:xfrm>
          <a:off x="1272927" y="736199"/>
          <a:ext cx="472507" cy="358601"/>
        </a:xfrm>
        <a:prstGeom prst="ellipse">
          <a:avLst/>
        </a:prstGeom>
        <a:blipFill rotWithShape="0">
          <a:blip xmlns:r="http://schemas.openxmlformats.org/officeDocument/2006/relationships" r:embed="rId1"/>
          <a:stretch>
            <a:fillRect/>
          </a:stretch>
        </a:blip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BBAFC45-FF39-46DE-AFB9-F48D4BF5BE25}">
      <dsp:nvSpPr>
        <dsp:cNvPr id="0" name=""/>
        <dsp:cNvSpPr/>
      </dsp:nvSpPr>
      <dsp:spPr>
        <a:xfrm>
          <a:off x="1994486" y="4005"/>
          <a:ext cx="2007490" cy="764823"/>
        </a:xfrm>
        <a:prstGeom prst="round2SameRect">
          <a:avLst>
            <a:gd name="adj1" fmla="val 8000"/>
            <a:gd name="adj2" fmla="val 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38100" rIns="12700" bIns="1270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Метод моделирования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Иерархическая декомпозиция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Матричные методы</a:t>
          </a:r>
        </a:p>
      </dsp:txBody>
      <dsp:txXfrm>
        <a:off x="1994486" y="4005"/>
        <a:ext cx="2007490" cy="764823"/>
      </dsp:txXfrm>
    </dsp:sp>
    <dsp:sp modelId="{C8C8DB85-9534-4764-9B7D-6EB599194D1F}">
      <dsp:nvSpPr>
        <dsp:cNvPr id="0" name=""/>
        <dsp:cNvSpPr/>
      </dsp:nvSpPr>
      <dsp:spPr>
        <a:xfrm>
          <a:off x="1985388" y="760597"/>
          <a:ext cx="1989437" cy="32887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0" rIns="12700" bIns="0" numCol="1" spcCol="1270" anchor="ctr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Структурно-аналитические методы</a:t>
          </a:r>
        </a:p>
      </dsp:txBody>
      <dsp:txXfrm>
        <a:off x="1985388" y="760597"/>
        <a:ext cx="1401012" cy="328874"/>
      </dsp:txXfrm>
    </dsp:sp>
    <dsp:sp modelId="{5BFB1F1C-1E0C-4F28-810D-FA0A4A964741}">
      <dsp:nvSpPr>
        <dsp:cNvPr id="0" name=""/>
        <dsp:cNvSpPr/>
      </dsp:nvSpPr>
      <dsp:spPr>
        <a:xfrm>
          <a:off x="3610448" y="730649"/>
          <a:ext cx="498089" cy="341850"/>
        </a:xfrm>
        <a:prstGeom prst="ellipse">
          <a:avLst/>
        </a:prstGeom>
        <a:blipFill rotWithShape="0">
          <a:blip xmlns:r="http://schemas.openxmlformats.org/officeDocument/2006/relationships" r:embed="rId2"/>
          <a:stretch>
            <a:fillRect/>
          </a:stretch>
        </a:blip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B6B3D36-F315-45D4-B72E-8C1D22F565C1}">
      <dsp:nvSpPr>
        <dsp:cNvPr id="0" name=""/>
        <dsp:cNvSpPr/>
      </dsp:nvSpPr>
      <dsp:spPr>
        <a:xfrm>
          <a:off x="4404704" y="0"/>
          <a:ext cx="1668284" cy="764823"/>
        </a:xfrm>
        <a:prstGeom prst="round2SameRect">
          <a:avLst>
            <a:gd name="adj1" fmla="val 8000"/>
            <a:gd name="adj2" fmla="val 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38100" rIns="12700" bIns="1270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Метод интегральной (сводной) оценки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Индикативный метод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000" kern="1200">
              <a:latin typeface="Times New Roman" pitchFamily="18" charset="0"/>
              <a:cs typeface="Times New Roman" pitchFamily="18" charset="0"/>
            </a:rPr>
            <a:t>SWOT-</a:t>
          </a:r>
          <a:r>
            <a:rPr lang="ru-RU" sz="1000" kern="1200">
              <a:latin typeface="Times New Roman" pitchFamily="18" charset="0"/>
              <a:cs typeface="Times New Roman" pitchFamily="18" charset="0"/>
            </a:rPr>
            <a:t>анализ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ru-RU" sz="1000" kern="1200">
            <a:latin typeface="Times New Roman" pitchFamily="18" charset="0"/>
            <a:cs typeface="Times New Roman" pitchFamily="18" charset="0"/>
          </a:endParaRPr>
        </a:p>
      </dsp:txBody>
      <dsp:txXfrm>
        <a:off x="4404704" y="0"/>
        <a:ext cx="1668284" cy="764823"/>
      </dsp:txXfrm>
    </dsp:sp>
    <dsp:sp modelId="{AD7010E8-CB0E-495D-88EE-8AA8655AA491}">
      <dsp:nvSpPr>
        <dsp:cNvPr id="0" name=""/>
        <dsp:cNvSpPr/>
      </dsp:nvSpPr>
      <dsp:spPr>
        <a:xfrm>
          <a:off x="4404476" y="774524"/>
          <a:ext cx="1566226" cy="32887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0" rIns="12700" bIns="0" numCol="1" spcCol="1270" anchor="ctr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itchFamily="18" charset="0"/>
              <a:cs typeface="Times New Roman" pitchFamily="18" charset="0"/>
            </a:rPr>
            <a:t>Комплексные методы</a:t>
          </a:r>
        </a:p>
      </dsp:txBody>
      <dsp:txXfrm>
        <a:off x="4404476" y="774524"/>
        <a:ext cx="1102976" cy="328874"/>
      </dsp:txXfrm>
    </dsp:sp>
    <dsp:sp modelId="{7C0C7F51-3BAE-4F67-A5D2-4299D3C35722}">
      <dsp:nvSpPr>
        <dsp:cNvPr id="0" name=""/>
        <dsp:cNvSpPr/>
      </dsp:nvSpPr>
      <dsp:spPr>
        <a:xfrm>
          <a:off x="5616780" y="745254"/>
          <a:ext cx="456208" cy="358601"/>
        </a:xfrm>
        <a:prstGeom prst="ellipse">
          <a:avLst/>
        </a:prstGeom>
        <a:blipFill rotWithShape="0">
          <a:blip xmlns:r="http://schemas.openxmlformats.org/officeDocument/2006/relationships" r:embed="rId3"/>
          <a:stretch>
            <a:fillRect/>
          </a:stretch>
        </a:blip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bList2">
  <dgm:title val=""/>
  <dgm:desc val=""/>
  <dgm:catLst>
    <dgm:cat type="list" pri="7000"/>
    <dgm:cat type="convert" pri="16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diagram">
    <dgm:varLst>
      <dgm:dir/>
      <dgm:animLvl val="lvl"/>
      <dgm:resizeHandles val="exact"/>
    </dgm:varLst>
    <dgm:choose name="Name0">
      <dgm:if name="Name1" axis="self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Node" refType="w"/>
      <dgm:constr type="w" for="ch" ptType="sibTrans" refType="w" refFor="ch" refForName="compNode" op="equ" fact="0.08"/>
      <dgm:constr type="sp" refType="w" refFor="ch" refForName="compNode" op="equ" fact="0.16"/>
      <dgm:constr type="primFontSz" for="des" forName="parentText" op="equ" val="65"/>
      <dgm:constr type="primFontSz" for="des" forName="childRect" op="equ" val="65"/>
    </dgm:constrLst>
    <dgm:ruleLst/>
    <dgm:forEach name="nodesForEach" axis="ch" ptType="node">
      <dgm:layoutNode name="compNode">
        <dgm:alg type="composite">
          <dgm:param type="ar" val="0.943"/>
        </dgm:alg>
        <dgm:shape xmlns:r="http://schemas.openxmlformats.org/officeDocument/2006/relationships" r:blip="">
          <dgm:adjLst/>
        </dgm:shape>
        <dgm:presOf/>
        <dgm:choose name="Name3">
          <dgm:if name="Name4" axis="self" func="var" arg="dir" op="equ" val="norm">
            <dgm:constrLst>
              <dgm:constr type="w" val="1"/>
              <dgm:constr type="h" refType="w" fact="1.06"/>
              <dgm:constr type="h" for="ch" forName="childRect" refType="h" fact="0.65"/>
              <dgm:constr type="w" for="ch" forName="childRect" refType="w" fact="0.923"/>
              <dgm:constr type="l" for="ch" forName="childRect"/>
              <dgm:constr type="t" for="ch" forName="childRect"/>
              <dgm:constr type="w" for="ch" forName="parentText" refType="w" fact="0.65"/>
              <dgm:constr type="h" for="ch" forName="parentText" refType="h" refFor="ch" refForName="childRect" fact="0.43"/>
              <dgm:constr type="l" for="ch" forName="parentText"/>
              <dgm:constr type="t" for="ch" forName="parentText" refType="h" refFor="ch" refForName="childRect"/>
              <dgm:constr type="w" for="ch" forName="parentRect" refType="w" fact="0.923"/>
              <dgm:constr type="h" for="ch" forName="parentRect" refType="h" refFor="ch" refForName="parentText"/>
              <dgm:constr type="l" for="ch" forName="parentRect"/>
              <dgm:constr type="t" for="ch" forName="parentRect" refType="t" refFor="ch" refForName="parentText"/>
              <dgm:constr type="w" for="ch" forName="adorn" refType="w" refFor="ch" refForName="parentRect" fact="0.35"/>
              <dgm:constr type="h" for="ch" forName="adorn" refType="w" refFor="ch" refForName="parentRect" fact="0.35"/>
              <dgm:constr type="b" for="ch" forName="adorn" refType="h"/>
              <dgm:constr type="r" for="ch" forName="adorn" refType="w"/>
            </dgm:constrLst>
          </dgm:if>
          <dgm:else name="Name5">
            <dgm:constrLst>
              <dgm:constr type="w" val="1"/>
              <dgm:constr type="h" refType="w" fact="1.06"/>
              <dgm:constr type="h" for="ch" forName="childRect" refType="h" fact="0.65"/>
              <dgm:constr type="w" for="ch" forName="childRect" refType="w" fact="0.923"/>
              <dgm:constr type="r" for="ch" forName="childRect" refType="w"/>
              <dgm:constr type="t" for="ch" forName="childRect"/>
              <dgm:constr type="w" for="ch" forName="parentText" refType="w" fact="0.65"/>
              <dgm:constr type="h" for="ch" forName="parentText" refType="h" refFor="ch" refForName="childRect" fact="0.43"/>
              <dgm:constr type="r" for="ch" forName="parentText" refType="w"/>
              <dgm:constr type="t" for="ch" forName="parentText" refType="h" refFor="ch" refForName="childRect"/>
              <dgm:constr type="w" for="ch" forName="parentRect" refType="w" fact="0.923"/>
              <dgm:constr type="h" for="ch" forName="parentRect" refType="h" refFor="ch" refForName="parentText"/>
              <dgm:constr type="r" for="ch" forName="parentRect" refType="w"/>
              <dgm:constr type="t" for="ch" forName="parentRect" refType="t" refFor="ch" refForName="parentText"/>
              <dgm:constr type="w" for="ch" forName="adorn" refType="w" refFor="ch" refForName="parentRect" fact="0.35"/>
              <dgm:constr type="h" for="ch" forName="adorn" refType="w" refFor="ch" refForName="parentRect" fact="0.35"/>
              <dgm:constr type="b" for="ch" forName="adorn" refType="h"/>
              <dgm:constr type="l" for="ch" forName="adorn"/>
            </dgm:constrLst>
          </dgm:else>
        </dgm:choose>
        <dgm:ruleLst/>
        <dgm:layoutNode name="childRect" styleLbl="bgAcc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ound2SameRect" r:blip="">
            <dgm:adjLst>
              <dgm:adj idx="1" val="0.08"/>
            </dgm:adjLst>
          </dgm:shape>
          <dgm:presOf axis="des" ptType="node"/>
          <dgm:constrLst>
            <dgm:constr type="secFontSz" refType="primFontSz"/>
            <dgm:constr type="tMarg" refType="primFontSz" fact="0.3"/>
            <dgm:constr type="bMarg" refType="primFontSz" fact="0.1"/>
            <dgm:constr type="lMarg" refType="primFontSz" fact="0.1"/>
            <dgm:constr type="rMarg" refType="primFontSz" fact="0.1"/>
          </dgm:constrLst>
          <dgm:ruleLst>
            <dgm:rule type="primFontSz" val="5" fact="NaN" max="NaN"/>
          </dgm:ruleLst>
        </dgm:layoutNode>
        <dgm:layoutNode name="parentText">
          <dgm:varLst>
            <dgm:chMax val="0"/>
            <dgm:bulletEnabled val="1"/>
          </dgm:varLst>
          <dgm:choose name="Name6">
            <dgm:if name="Name7" func="var" arg="dir" op="equ" val="norm">
              <dgm:alg type="tx">
                <dgm:param type="parTxLTRAlign" val="l"/>
                <dgm:param type="parTxRTLAlign" val="l"/>
              </dgm:alg>
            </dgm:if>
            <dgm:else name="Name8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ect" r:blip="" zOrderOff="1" hideGeom="1">
            <dgm:adjLst/>
          </dgm:shape>
          <dgm:presOf axis="self" ptType="node"/>
          <dgm:constrLst>
            <dgm:constr type="tMarg"/>
            <dgm:constr type="bMarg"/>
            <dgm:constr type="lMarg" refType="primFontSz" fact="0.3"/>
            <dgm:constr type="rMarg" refType="primFontSz" fact="0.1"/>
          </dgm:constrLst>
          <dgm:ruleLst>
            <dgm:rule type="primFontSz" val="5" fact="NaN" max="NaN"/>
          </dgm:ruleLst>
        </dgm:layoutNode>
        <dgm:layoutNode name="parentRect" styleLbl="alignNode1">
          <dgm:alg type="sp"/>
          <dgm:shape xmlns:r="http://schemas.openxmlformats.org/officeDocument/2006/relationships" type="rect" r:blip="">
            <dgm:adjLst/>
          </dgm:shape>
          <dgm:presOf axis="self" ptType="node"/>
          <dgm:constrLst/>
          <dgm:ruleLst/>
        </dgm:layoutNode>
        <dgm:layoutNode name="adorn" styleLbl="fgAccFollowNode1">
          <dgm:alg type="sp"/>
          <dgm:shape xmlns:r="http://schemas.openxmlformats.org/officeDocument/2006/relationships" type="ellipse" r:blip="" blipPhldr="1">
            <dgm:adjLst/>
          </dgm:shape>
          <dgm:presOf/>
          <dgm:constrLst/>
          <dgm:ruleLst/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w" val="1"/>
            <dgm:constr type="h" refType="w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05D5B-FC85-476B-A00C-71C040E3C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5</Pages>
  <Words>2540</Words>
  <Characters>14481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2022-05-07T15:32:00Z</dcterms:created>
  <dcterms:modified xsi:type="dcterms:W3CDTF">2023-05-14T11:27:00Z</dcterms:modified>
</cp:coreProperties>
</file>