
<file path=[Content_Types].xml><?xml version="1.0" encoding="utf-8"?>
<Types xmlns="http://schemas.openxmlformats.org/package/2006/content-types">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705A5A" w:rsidRPr="00894959" w:rsidRDefault="00705A5A" w:rsidP="00705A5A">
      <w:pPr>
        <w:spacing w:after="0" w:line="240" w:lineRule="auto"/>
        <w:ind w:firstLine="709"/>
        <w:jc w:val="right"/>
        <w:rPr>
          <w:rFonts w:ascii="Times New Roman" w:hAnsi="Times New Roman" w:cs="Times New Roman"/>
          <w:sz w:val="24"/>
          <w:szCs w:val="24"/>
          <w:lang w:eastAsia="zh-CN"/>
        </w:rPr>
      </w:pPr>
      <w:proofErr w:type="spellStart"/>
      <w:r w:rsidRPr="00894959">
        <w:rPr>
          <w:rFonts w:ascii="Times New Roman" w:hAnsi="Times New Roman" w:cs="Times New Roman"/>
          <w:b/>
          <w:sz w:val="24"/>
          <w:szCs w:val="24"/>
        </w:rPr>
        <w:t>Вали</w:t>
      </w:r>
      <w:r>
        <w:rPr>
          <w:rFonts w:ascii="Times New Roman" w:hAnsi="Times New Roman" w:cs="Times New Roman"/>
          <w:b/>
          <w:sz w:val="24"/>
          <w:szCs w:val="24"/>
        </w:rPr>
        <w:t>ахметова</w:t>
      </w:r>
      <w:proofErr w:type="spellEnd"/>
      <w:r>
        <w:rPr>
          <w:rFonts w:ascii="Times New Roman" w:hAnsi="Times New Roman" w:cs="Times New Roman"/>
          <w:b/>
          <w:sz w:val="24"/>
          <w:szCs w:val="24"/>
        </w:rPr>
        <w:t xml:space="preserve"> Г</w:t>
      </w:r>
      <w:r w:rsidRPr="00894959">
        <w:rPr>
          <w:rFonts w:ascii="Times New Roman" w:hAnsi="Times New Roman" w:cs="Times New Roman"/>
          <w:b/>
          <w:sz w:val="24"/>
          <w:szCs w:val="24"/>
        </w:rPr>
        <w:t>.</w:t>
      </w:r>
      <w:r>
        <w:rPr>
          <w:rFonts w:ascii="Times New Roman" w:hAnsi="Times New Roman" w:cs="Times New Roman"/>
          <w:b/>
          <w:sz w:val="24"/>
          <w:szCs w:val="24"/>
          <w:lang w:eastAsia="zh-CN"/>
        </w:rPr>
        <w:t>Р</w:t>
      </w:r>
      <w:r w:rsidRPr="00894959">
        <w:rPr>
          <w:rStyle w:val="a9"/>
          <w:rFonts w:ascii="Times New Roman" w:hAnsi="Times New Roman" w:cs="Times New Roman"/>
          <w:sz w:val="24"/>
          <w:szCs w:val="24"/>
          <w:lang w:eastAsia="zh-CN"/>
        </w:rPr>
        <w:footnoteReference w:id="1"/>
      </w:r>
      <w:r w:rsidRPr="00894959">
        <w:rPr>
          <w:rFonts w:ascii="Times New Roman" w:hAnsi="Times New Roman" w:cs="Times New Roman"/>
          <w:sz w:val="24"/>
          <w:szCs w:val="24"/>
          <w:lang w:eastAsia="zh-CN"/>
        </w:rPr>
        <w:t>.</w:t>
      </w:r>
    </w:p>
    <w:p w:rsidR="00705A5A" w:rsidRPr="00705A5A" w:rsidRDefault="00705A5A" w:rsidP="00705A5A">
      <w:pPr>
        <w:spacing w:after="0" w:line="240" w:lineRule="auto"/>
        <w:ind w:firstLine="709"/>
        <w:jc w:val="right"/>
        <w:rPr>
          <w:rFonts w:ascii="Times New Roman" w:hAnsi="Times New Roman" w:cs="Times New Roman"/>
          <w:b/>
          <w:sz w:val="24"/>
          <w:szCs w:val="24"/>
        </w:rPr>
      </w:pPr>
      <w:r w:rsidRPr="00705A5A">
        <w:rPr>
          <w:rFonts w:ascii="Times New Roman" w:hAnsi="Times New Roman" w:cs="Times New Roman"/>
          <w:b/>
          <w:sz w:val="24"/>
          <w:szCs w:val="24"/>
        </w:rPr>
        <w:t>Научный руководитель:</w:t>
      </w:r>
    </w:p>
    <w:p w:rsidR="00705A5A" w:rsidRDefault="00705A5A" w:rsidP="00705A5A">
      <w:pPr>
        <w:spacing w:after="0" w:line="240" w:lineRule="auto"/>
        <w:ind w:firstLine="709"/>
        <w:jc w:val="right"/>
        <w:rPr>
          <w:rFonts w:ascii="Times New Roman" w:hAnsi="Times New Roman" w:cs="Times New Roman"/>
          <w:b/>
          <w:sz w:val="24"/>
          <w:szCs w:val="24"/>
        </w:rPr>
      </w:pPr>
      <w:proofErr w:type="spellStart"/>
      <w:r w:rsidRPr="00705A5A">
        <w:rPr>
          <w:rFonts w:ascii="Times New Roman" w:hAnsi="Times New Roman" w:cs="Times New Roman"/>
          <w:b/>
          <w:sz w:val="24"/>
          <w:szCs w:val="24"/>
        </w:rPr>
        <w:t>Янгиров</w:t>
      </w:r>
      <w:proofErr w:type="spellEnd"/>
      <w:r w:rsidRPr="00705A5A">
        <w:rPr>
          <w:rFonts w:ascii="Times New Roman" w:hAnsi="Times New Roman" w:cs="Times New Roman"/>
          <w:b/>
          <w:sz w:val="24"/>
          <w:szCs w:val="24"/>
        </w:rPr>
        <w:t xml:space="preserve"> </w:t>
      </w:r>
      <w:proofErr w:type="spellStart"/>
      <w:r w:rsidRPr="00705A5A">
        <w:rPr>
          <w:rFonts w:ascii="Times New Roman" w:hAnsi="Times New Roman" w:cs="Times New Roman"/>
          <w:b/>
          <w:sz w:val="24"/>
          <w:szCs w:val="24"/>
        </w:rPr>
        <w:t>Азат</w:t>
      </w:r>
      <w:proofErr w:type="spellEnd"/>
      <w:r w:rsidRPr="00705A5A">
        <w:rPr>
          <w:rFonts w:ascii="Times New Roman" w:hAnsi="Times New Roman" w:cs="Times New Roman"/>
          <w:b/>
          <w:sz w:val="24"/>
          <w:szCs w:val="24"/>
        </w:rPr>
        <w:t xml:space="preserve"> </w:t>
      </w:r>
      <w:proofErr w:type="spellStart"/>
      <w:r w:rsidRPr="00705A5A">
        <w:rPr>
          <w:rFonts w:ascii="Times New Roman" w:hAnsi="Times New Roman" w:cs="Times New Roman"/>
          <w:b/>
          <w:sz w:val="24"/>
          <w:szCs w:val="24"/>
        </w:rPr>
        <w:t>Вазирович</w:t>
      </w:r>
      <w:proofErr w:type="spellEnd"/>
      <w:r w:rsidRPr="00705A5A">
        <w:rPr>
          <w:rFonts w:ascii="Times New Roman" w:hAnsi="Times New Roman" w:cs="Times New Roman"/>
          <w:b/>
          <w:sz w:val="24"/>
          <w:szCs w:val="24"/>
        </w:rPr>
        <w:t>, доктор эконом</w:t>
      </w:r>
      <w:bookmarkStart w:id="0" w:name="_GoBack"/>
      <w:bookmarkEnd w:id="0"/>
      <w:r w:rsidRPr="00705A5A">
        <w:rPr>
          <w:rFonts w:ascii="Times New Roman" w:hAnsi="Times New Roman" w:cs="Times New Roman"/>
          <w:b/>
          <w:sz w:val="24"/>
          <w:szCs w:val="24"/>
        </w:rPr>
        <w:t>ических наук, профессор кафедры экономики и регионального развития</w:t>
      </w:r>
      <w:r w:rsidRPr="00894959">
        <w:rPr>
          <w:rFonts w:ascii="Times New Roman" w:hAnsi="Times New Roman" w:cs="Times New Roman"/>
          <w:b/>
          <w:sz w:val="24"/>
          <w:szCs w:val="24"/>
        </w:rPr>
        <w:cr/>
      </w:r>
    </w:p>
    <w:p w:rsidR="00705A5A" w:rsidRPr="00705A5A" w:rsidRDefault="00705A5A" w:rsidP="00705A5A">
      <w:pPr>
        <w:spacing w:after="0" w:line="240" w:lineRule="auto"/>
        <w:ind w:firstLine="708"/>
        <w:jc w:val="center"/>
        <w:rPr>
          <w:rFonts w:ascii="Times New Roman" w:hAnsi="Times New Roman" w:cs="Times New Roman"/>
          <w:b/>
          <w:sz w:val="24"/>
          <w:szCs w:val="24"/>
        </w:rPr>
      </w:pPr>
      <w:r w:rsidRPr="00705A5A">
        <w:rPr>
          <w:rFonts w:ascii="Times New Roman" w:hAnsi="Times New Roman" w:cs="Times New Roman"/>
          <w:b/>
          <w:sz w:val="24"/>
          <w:szCs w:val="24"/>
        </w:rPr>
        <w:t>Экономический</w:t>
      </w:r>
      <w:r>
        <w:rPr>
          <w:rFonts w:ascii="Times New Roman" w:hAnsi="Times New Roman" w:cs="Times New Roman"/>
          <w:b/>
          <w:sz w:val="24"/>
          <w:szCs w:val="24"/>
        </w:rPr>
        <w:t xml:space="preserve"> потенциал развития республики Б</w:t>
      </w:r>
      <w:r w:rsidRPr="00705A5A">
        <w:rPr>
          <w:rFonts w:ascii="Times New Roman" w:hAnsi="Times New Roman" w:cs="Times New Roman"/>
          <w:b/>
          <w:sz w:val="24"/>
          <w:szCs w:val="24"/>
        </w:rPr>
        <w:t>ашкортостан</w:t>
      </w:r>
    </w:p>
    <w:p w:rsidR="00705A5A" w:rsidRDefault="00705A5A" w:rsidP="00705A5A">
      <w:pPr>
        <w:spacing w:after="0" w:line="240" w:lineRule="auto"/>
        <w:ind w:firstLine="708"/>
        <w:jc w:val="both"/>
        <w:rPr>
          <w:rFonts w:ascii="Times New Roman" w:hAnsi="Times New Roman" w:cs="Times New Roman"/>
          <w:sz w:val="24"/>
          <w:szCs w:val="24"/>
        </w:rPr>
      </w:pPr>
    </w:p>
    <w:p w:rsidR="00705A5A" w:rsidRDefault="00705A5A" w:rsidP="00705A5A">
      <w:pPr>
        <w:spacing w:after="0" w:line="240" w:lineRule="auto"/>
        <w:ind w:firstLine="425"/>
        <w:jc w:val="both"/>
        <w:rPr>
          <w:rFonts w:ascii="Times New Roman" w:eastAsiaTheme="minorHAnsi" w:hAnsi="Times New Roman" w:cs="Times New Roman"/>
          <w:i/>
        </w:rPr>
      </w:pPr>
      <w:r w:rsidRPr="00894959">
        <w:rPr>
          <w:rFonts w:ascii="Times New Roman" w:eastAsiaTheme="minorHAnsi" w:hAnsi="Times New Roman" w:cs="Times New Roman"/>
          <w:b/>
          <w:bCs/>
          <w:iCs/>
          <w:sz w:val="24"/>
          <w:szCs w:val="24"/>
        </w:rPr>
        <w:t>Аннотация:</w:t>
      </w:r>
      <w:r>
        <w:rPr>
          <w:rFonts w:ascii="Times New Roman" w:eastAsiaTheme="minorHAnsi" w:hAnsi="Times New Roman" w:cs="Times New Roman"/>
          <w:i/>
          <w:sz w:val="24"/>
          <w:szCs w:val="24"/>
        </w:rPr>
        <w:t xml:space="preserve"> </w:t>
      </w:r>
      <w:proofErr w:type="gramStart"/>
      <w:r w:rsidRPr="00705A5A">
        <w:rPr>
          <w:rFonts w:ascii="Times New Roman" w:eastAsiaTheme="minorHAnsi" w:hAnsi="Times New Roman" w:cs="Times New Roman"/>
          <w:i/>
        </w:rPr>
        <w:t>В</w:t>
      </w:r>
      <w:proofErr w:type="gramEnd"/>
      <w:r w:rsidRPr="00705A5A">
        <w:rPr>
          <w:rFonts w:ascii="Times New Roman" w:eastAsiaTheme="minorHAnsi" w:hAnsi="Times New Roman" w:cs="Times New Roman"/>
          <w:i/>
        </w:rPr>
        <w:t xml:space="preserve"> статье рассматриваются экономические показатели и современные инструменты аналитики для определения уровня социально-экономически развитого региона. В статье также рассмотрены ключевые проблемы, с которыми сталкивается Башкортостан, и предлагаются возможные варианты их решения. </w:t>
      </w:r>
    </w:p>
    <w:p w:rsidR="00705A5A" w:rsidRPr="00894959" w:rsidRDefault="00705A5A" w:rsidP="005E440F">
      <w:pPr>
        <w:spacing w:after="0" w:line="240" w:lineRule="auto"/>
        <w:ind w:firstLine="425"/>
        <w:jc w:val="both"/>
        <w:rPr>
          <w:rFonts w:ascii="Times New Roman" w:hAnsi="Times New Roman" w:cs="Times New Roman"/>
          <w:i/>
        </w:rPr>
      </w:pPr>
      <w:r w:rsidRPr="00894959">
        <w:rPr>
          <w:rFonts w:ascii="Times New Roman" w:eastAsiaTheme="minorHAnsi" w:hAnsi="Times New Roman" w:cs="Times New Roman"/>
          <w:b/>
          <w:bCs/>
          <w:iCs/>
          <w:sz w:val="24"/>
          <w:szCs w:val="24"/>
        </w:rPr>
        <w:t>Ключевые слова:</w:t>
      </w:r>
      <w:r w:rsidRPr="00894959">
        <w:rPr>
          <w:rFonts w:ascii="Times New Roman" w:eastAsiaTheme="minorHAnsi" w:hAnsi="Times New Roman" w:cs="Times New Roman"/>
          <w:i/>
          <w:sz w:val="24"/>
          <w:szCs w:val="24"/>
        </w:rPr>
        <w:t xml:space="preserve"> </w:t>
      </w:r>
      <w:r w:rsidR="00A42BE7" w:rsidRPr="00A42BE7">
        <w:rPr>
          <w:rFonts w:ascii="Times New Roman" w:hAnsi="Times New Roman" w:cs="Times New Roman"/>
          <w:i/>
        </w:rPr>
        <w:t>регион, стратегия, экономическое развитие, ВВП, индекс потребительских цен</w:t>
      </w:r>
    </w:p>
    <w:p w:rsidR="00705A5A" w:rsidRPr="00894959" w:rsidRDefault="00705A5A" w:rsidP="00705A5A">
      <w:pPr>
        <w:spacing w:after="0" w:line="240" w:lineRule="auto"/>
        <w:ind w:firstLine="708"/>
        <w:jc w:val="right"/>
        <w:rPr>
          <w:rFonts w:ascii="Times New Roman" w:hAnsi="Times New Roman" w:cs="Times New Roman"/>
          <w:sz w:val="24"/>
          <w:szCs w:val="24"/>
        </w:rPr>
      </w:pPr>
    </w:p>
    <w:p w:rsidR="00A42BE7" w:rsidRPr="00A42BE7" w:rsidRDefault="00A42BE7" w:rsidP="00DF7C11">
      <w:pPr>
        <w:spacing w:after="0" w:line="240" w:lineRule="auto"/>
        <w:ind w:firstLine="709"/>
        <w:jc w:val="both"/>
        <w:rPr>
          <w:rFonts w:ascii="Times New Roman" w:hAnsi="Times New Roman" w:cs="Times New Roman"/>
          <w:sz w:val="24"/>
          <w:szCs w:val="24"/>
        </w:rPr>
      </w:pPr>
      <w:r w:rsidRPr="00A42BE7">
        <w:rPr>
          <w:rFonts w:ascii="Times New Roman" w:hAnsi="Times New Roman" w:cs="Times New Roman"/>
          <w:sz w:val="24"/>
          <w:szCs w:val="24"/>
        </w:rPr>
        <w:t>Республика Башкортостан - один из крупнейших и наиболее экономически развитых регионов Российской Федерации. Регион имеет богатую историю и разнообразную культуру, а также известен своими промышленными и сельскохозяйственными секторами. Однако, как и многие другие регионы, Башкортостан сталкивается с различными вызовами в плане социально-экономического развития. Для эффективного управления социально-экономическим развитием региона аналитические инструменты играют важную роль. В данной статье рассматриваются некоторые ключевые аналитические инструменты, которые могут быть использованы для управления социально-экономическим развитием Республики Башкортостан.</w:t>
      </w:r>
    </w:p>
    <w:p w:rsidR="00A42BE7" w:rsidRPr="00A42BE7" w:rsidRDefault="00A42BE7" w:rsidP="00DF7C11">
      <w:pPr>
        <w:spacing w:after="0" w:line="240" w:lineRule="auto"/>
        <w:ind w:firstLine="709"/>
        <w:jc w:val="both"/>
        <w:rPr>
          <w:rFonts w:ascii="Times New Roman" w:hAnsi="Times New Roman" w:cs="Times New Roman"/>
          <w:sz w:val="24"/>
          <w:szCs w:val="24"/>
        </w:rPr>
      </w:pPr>
      <w:r w:rsidRPr="00A42BE7">
        <w:rPr>
          <w:rFonts w:ascii="Times New Roman" w:hAnsi="Times New Roman" w:cs="Times New Roman"/>
          <w:sz w:val="24"/>
          <w:szCs w:val="24"/>
        </w:rPr>
        <w:t>Исходя из определения Всемирного Банка: «Одной из целей развития региона и страны в целом является устойчивое развитие, которое понимается как управление совокупным капиталом</w:t>
      </w:r>
      <w:r w:rsidR="00DF7C11">
        <w:rPr>
          <w:rFonts w:ascii="Times New Roman" w:hAnsi="Times New Roman" w:cs="Times New Roman"/>
          <w:sz w:val="24"/>
          <w:szCs w:val="24"/>
        </w:rPr>
        <w:t xml:space="preserve"> </w:t>
      </w:r>
      <w:r w:rsidRPr="00A42BE7">
        <w:rPr>
          <w:rFonts w:ascii="Times New Roman" w:hAnsi="Times New Roman" w:cs="Times New Roman"/>
          <w:sz w:val="24"/>
          <w:szCs w:val="24"/>
        </w:rPr>
        <w:t>общества в интересах сохранения и приумножения человеческих возможностей» [4].</w:t>
      </w:r>
    </w:p>
    <w:p w:rsidR="00A42BE7" w:rsidRPr="00A42BE7" w:rsidRDefault="00A42BE7" w:rsidP="00DF7C11">
      <w:pPr>
        <w:spacing w:after="0" w:line="240" w:lineRule="auto"/>
        <w:ind w:firstLine="709"/>
        <w:jc w:val="both"/>
        <w:rPr>
          <w:rFonts w:ascii="Times New Roman" w:hAnsi="Times New Roman" w:cs="Times New Roman"/>
          <w:sz w:val="24"/>
          <w:szCs w:val="24"/>
        </w:rPr>
      </w:pPr>
      <w:r w:rsidRPr="00A42BE7">
        <w:rPr>
          <w:rFonts w:ascii="Times New Roman" w:hAnsi="Times New Roman" w:cs="Times New Roman"/>
          <w:sz w:val="24"/>
          <w:szCs w:val="24"/>
        </w:rPr>
        <w:t>Это развитие подразумевает способности системы противостоять различным воздействиям, а также возвращение в исходное состояние в случае рецессий или стагнации.</w:t>
      </w:r>
    </w:p>
    <w:p w:rsidR="00A42BE7" w:rsidRPr="00A42BE7" w:rsidRDefault="00A42BE7" w:rsidP="00DF7C11">
      <w:pPr>
        <w:spacing w:after="0" w:line="240" w:lineRule="auto"/>
        <w:ind w:firstLine="709"/>
        <w:jc w:val="both"/>
        <w:rPr>
          <w:rFonts w:ascii="Times New Roman" w:hAnsi="Times New Roman" w:cs="Times New Roman"/>
          <w:sz w:val="24"/>
          <w:szCs w:val="24"/>
        </w:rPr>
      </w:pPr>
      <w:r w:rsidRPr="00A42BE7">
        <w:rPr>
          <w:rFonts w:ascii="Times New Roman" w:hAnsi="Times New Roman" w:cs="Times New Roman"/>
          <w:sz w:val="24"/>
          <w:szCs w:val="24"/>
        </w:rPr>
        <w:t>Одним из ключевых аналитических инструментов управления социально-экономическим развитием Башкортостана являются экономические показатели. Экономические показатели - это статистические измерители, которые предоставляют информацию о состоянии экономики. Отслеживая экономические показатели с течением времени, региональные органы управления могут получить представление о состоянии экономики и определить области, требующие вмешательства.</w:t>
      </w:r>
    </w:p>
    <w:p w:rsidR="00A42BE7" w:rsidRPr="00A42BE7" w:rsidRDefault="00A42BE7" w:rsidP="00DF7C11">
      <w:pPr>
        <w:spacing w:after="0" w:line="240" w:lineRule="auto"/>
        <w:ind w:firstLine="709"/>
        <w:jc w:val="both"/>
        <w:rPr>
          <w:rFonts w:ascii="Times New Roman" w:hAnsi="Times New Roman" w:cs="Times New Roman"/>
          <w:sz w:val="24"/>
          <w:szCs w:val="24"/>
        </w:rPr>
      </w:pPr>
      <w:r w:rsidRPr="00A42BE7">
        <w:rPr>
          <w:rFonts w:ascii="Times New Roman" w:hAnsi="Times New Roman" w:cs="Times New Roman"/>
          <w:sz w:val="24"/>
          <w:szCs w:val="24"/>
        </w:rPr>
        <w:t>Экономические показатели Республики Башкортостан важны для понимания эффективности региональной экономики. Некоторые из ключевых экономических показателей для региона включают в себя следующее.</w:t>
      </w:r>
    </w:p>
    <w:p w:rsidR="00A42BE7" w:rsidRPr="00A42BE7" w:rsidRDefault="00A42BE7" w:rsidP="00DF7C11">
      <w:pPr>
        <w:spacing w:after="0" w:line="240" w:lineRule="auto"/>
        <w:ind w:firstLine="709"/>
        <w:jc w:val="both"/>
        <w:rPr>
          <w:rFonts w:ascii="Times New Roman" w:hAnsi="Times New Roman" w:cs="Times New Roman"/>
          <w:sz w:val="24"/>
          <w:szCs w:val="24"/>
        </w:rPr>
      </w:pPr>
      <w:r w:rsidRPr="00A42BE7">
        <w:rPr>
          <w:rFonts w:ascii="Times New Roman" w:hAnsi="Times New Roman" w:cs="Times New Roman"/>
          <w:sz w:val="24"/>
          <w:szCs w:val="24"/>
        </w:rPr>
        <w:t>Валовой региональный продукт (ВРП): Башкортостан является одним из наиболее экономически развитых регионов России, и его ВРП является важным показателем экономических показателей региона. В 2020 году ВРП Башкортостана составил 1,2 трлн рублей (примерно 16 млрд долларов США).</w:t>
      </w:r>
    </w:p>
    <w:p w:rsidR="00A42BE7" w:rsidRPr="00A42BE7" w:rsidRDefault="00A42BE7" w:rsidP="00DF7C11">
      <w:pPr>
        <w:spacing w:after="0" w:line="240" w:lineRule="auto"/>
        <w:ind w:firstLine="709"/>
        <w:jc w:val="both"/>
        <w:rPr>
          <w:rFonts w:ascii="Times New Roman" w:hAnsi="Times New Roman" w:cs="Times New Roman"/>
          <w:sz w:val="24"/>
          <w:szCs w:val="24"/>
        </w:rPr>
      </w:pPr>
      <w:r w:rsidRPr="00A42BE7">
        <w:rPr>
          <w:rFonts w:ascii="Times New Roman" w:hAnsi="Times New Roman" w:cs="Times New Roman"/>
          <w:sz w:val="24"/>
          <w:szCs w:val="24"/>
        </w:rPr>
        <w:t>Промышленное производство: промышленный сектор вносит важный вклад в экономику Башкортостана, а ключевые отрасли промышленности региона включают добычу нефти и газа, нефтехимию и машиностроение. В 2020 году индекс промышленного производства Башкортостана составил 104,8. Агентство стратегических инициатив сообщает: «Башкирия в 2022 г. сохранила пятое место в Национальном рейтинге состояния инвестиционного климата в регионах России» [1].</w:t>
      </w:r>
    </w:p>
    <w:p w:rsidR="00A42BE7" w:rsidRPr="00A42BE7" w:rsidRDefault="00A42BE7" w:rsidP="00DF7C11">
      <w:pPr>
        <w:spacing w:after="0" w:line="240" w:lineRule="auto"/>
        <w:ind w:firstLine="709"/>
        <w:jc w:val="both"/>
        <w:rPr>
          <w:rFonts w:ascii="Times New Roman" w:hAnsi="Times New Roman" w:cs="Times New Roman"/>
          <w:sz w:val="24"/>
          <w:szCs w:val="24"/>
        </w:rPr>
      </w:pPr>
      <w:r w:rsidRPr="00A42BE7">
        <w:rPr>
          <w:rFonts w:ascii="Times New Roman" w:hAnsi="Times New Roman" w:cs="Times New Roman"/>
          <w:sz w:val="24"/>
          <w:szCs w:val="24"/>
        </w:rPr>
        <w:lastRenderedPageBreak/>
        <w:t>Уровень безработицы является важным показателем состояния рынка труда в Башкортостане. В 2022 году уровень безработицы в регионе составил 4,1%, что ниже чем в 2020 на 0,1%, наблюдаем положительную тенденцию к улучшению показателя. Уровень инфляции является важным показателем общего состояния экономики и может повлиять на покупательную способность потребителей и предприятий. В 2022 году уровень инфляции в Башкортостане составил 11,26%</w:t>
      </w:r>
      <w:r w:rsidR="005E440F">
        <w:rPr>
          <w:rFonts w:ascii="Times New Roman" w:hAnsi="Times New Roman" w:cs="Times New Roman"/>
          <w:sz w:val="24"/>
          <w:szCs w:val="24"/>
        </w:rPr>
        <w:t xml:space="preserve"> </w:t>
      </w:r>
      <w:r w:rsidRPr="00A42BE7">
        <w:rPr>
          <w:rFonts w:ascii="Times New Roman" w:hAnsi="Times New Roman" w:cs="Times New Roman"/>
          <w:sz w:val="24"/>
          <w:szCs w:val="24"/>
        </w:rPr>
        <w:t>[2].</w:t>
      </w:r>
    </w:p>
    <w:p w:rsidR="00A42BE7" w:rsidRPr="00A42BE7" w:rsidRDefault="00A42BE7" w:rsidP="00DF7C11">
      <w:pPr>
        <w:spacing w:after="0" w:line="240" w:lineRule="auto"/>
        <w:ind w:firstLine="709"/>
        <w:jc w:val="both"/>
        <w:rPr>
          <w:rFonts w:ascii="Times New Roman" w:hAnsi="Times New Roman" w:cs="Times New Roman"/>
          <w:sz w:val="24"/>
          <w:szCs w:val="24"/>
        </w:rPr>
      </w:pPr>
      <w:r w:rsidRPr="00A42BE7">
        <w:rPr>
          <w:rFonts w:ascii="Times New Roman" w:hAnsi="Times New Roman" w:cs="Times New Roman"/>
          <w:sz w:val="24"/>
          <w:szCs w:val="24"/>
        </w:rPr>
        <w:t>Внешняя торговля вносит важный вклад в экономику Башкортостана, поскольку регион экспортирует такие товары, как нефть и газ, химикаты и оборудование. В 2022 году объем экспорта из Башкортостана составил 7,5 миллиарда долларов США.</w:t>
      </w:r>
    </w:p>
    <w:p w:rsidR="00A42BE7" w:rsidRPr="00A42BE7" w:rsidRDefault="00A42BE7" w:rsidP="00DF7C11">
      <w:pPr>
        <w:spacing w:after="0" w:line="240" w:lineRule="auto"/>
        <w:ind w:firstLine="709"/>
        <w:jc w:val="both"/>
        <w:rPr>
          <w:rFonts w:ascii="Times New Roman" w:hAnsi="Times New Roman" w:cs="Times New Roman"/>
          <w:sz w:val="24"/>
          <w:szCs w:val="24"/>
        </w:rPr>
      </w:pPr>
      <w:r w:rsidRPr="00A42BE7">
        <w:rPr>
          <w:rFonts w:ascii="Times New Roman" w:hAnsi="Times New Roman" w:cs="Times New Roman"/>
          <w:sz w:val="24"/>
          <w:szCs w:val="24"/>
        </w:rPr>
        <w:t>Розничные продажи являются ключевым показателем потребительских расходов в Башкортостане и могут дать представление об общем состоянии региональной экономики. В 2022 году индекс потребительских цен на товары в регионе составил 111,3</w:t>
      </w:r>
      <w:r w:rsidR="005E440F">
        <w:rPr>
          <w:rFonts w:ascii="Times New Roman" w:hAnsi="Times New Roman" w:cs="Times New Roman"/>
          <w:sz w:val="24"/>
          <w:szCs w:val="24"/>
        </w:rPr>
        <w:t xml:space="preserve"> </w:t>
      </w:r>
      <w:r w:rsidRPr="00A42BE7">
        <w:rPr>
          <w:rFonts w:ascii="Times New Roman" w:hAnsi="Times New Roman" w:cs="Times New Roman"/>
          <w:sz w:val="24"/>
          <w:szCs w:val="24"/>
        </w:rPr>
        <w:t>[2]</w:t>
      </w:r>
      <w:r w:rsidR="005E440F">
        <w:rPr>
          <w:rFonts w:ascii="Times New Roman" w:hAnsi="Times New Roman" w:cs="Times New Roman"/>
          <w:sz w:val="24"/>
          <w:szCs w:val="24"/>
        </w:rPr>
        <w:t xml:space="preserve"> </w:t>
      </w:r>
      <w:r w:rsidRPr="00A42BE7">
        <w:rPr>
          <w:rFonts w:ascii="Times New Roman" w:hAnsi="Times New Roman" w:cs="Times New Roman"/>
          <w:sz w:val="24"/>
          <w:szCs w:val="24"/>
        </w:rPr>
        <w:t xml:space="preserve">увеличение данного индекса может быть признаков ускорения темпов инфляции, но стоит отметить, что относительно других регионов индекс является приемлемым. Подробно рассмотреть положение индекса потребительских цен на товары относительно регионов РФ можно на рисунке 1. </w:t>
      </w:r>
    </w:p>
    <w:p w:rsidR="00A42BE7" w:rsidRPr="00A42BE7" w:rsidRDefault="00A42BE7" w:rsidP="00DF7C11">
      <w:pPr>
        <w:spacing w:after="0" w:line="240" w:lineRule="auto"/>
        <w:ind w:firstLine="709"/>
        <w:jc w:val="center"/>
        <w:rPr>
          <w:rFonts w:ascii="Times New Roman" w:hAnsi="Times New Roman" w:cs="Times New Roman"/>
          <w:sz w:val="24"/>
          <w:szCs w:val="24"/>
        </w:rPr>
      </w:pPr>
      <w:r w:rsidRPr="00A42BE7">
        <w:rPr>
          <w:rFonts w:ascii="Times New Roman" w:hAnsi="Times New Roman" w:cs="Times New Roman"/>
          <w:noProof/>
          <w:sz w:val="24"/>
          <w:szCs w:val="24"/>
          <w:lang w:eastAsia="zh-CN"/>
        </w:rPr>
        <w:drawing>
          <wp:inline distT="0" distB="0" distL="0" distR="0" wp14:anchorId="7E86E6A6" wp14:editId="184B5EC6">
            <wp:extent cx="4312920" cy="2834640"/>
            <wp:effectExtent l="0" t="0" r="0" b="0"/>
            <wp:docPr id="1"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7"/>
              </a:graphicData>
            </a:graphic>
          </wp:inline>
        </w:drawing>
      </w:r>
    </w:p>
    <w:p w:rsidR="00DF7C11" w:rsidRPr="00DF7C11" w:rsidRDefault="00DF7C11" w:rsidP="00DF7C11">
      <w:pPr>
        <w:spacing w:after="0" w:line="240" w:lineRule="auto"/>
        <w:ind w:firstLine="708"/>
        <w:jc w:val="center"/>
        <w:rPr>
          <w:rFonts w:ascii="Times New Roman" w:eastAsia="DengXian" w:hAnsi="Times New Roman" w:cs="Times New Roman"/>
          <w:b/>
          <w:sz w:val="24"/>
          <w:szCs w:val="24"/>
        </w:rPr>
      </w:pPr>
      <w:r w:rsidRPr="00DF7C11">
        <w:rPr>
          <w:rFonts w:ascii="Times New Roman" w:eastAsia="DengXian" w:hAnsi="Times New Roman" w:cs="Times New Roman"/>
          <w:sz w:val="24"/>
          <w:szCs w:val="24"/>
        </w:rPr>
        <w:t>Рис. 1.</w:t>
      </w:r>
      <w:r w:rsidRPr="00DF7C11">
        <w:rPr>
          <w:rFonts w:ascii="Times New Roman" w:eastAsia="DengXian" w:hAnsi="Times New Roman" w:cs="Times New Roman"/>
          <w:b/>
          <w:sz w:val="24"/>
          <w:szCs w:val="24"/>
        </w:rPr>
        <w:t xml:space="preserve"> Рейтинг регионов РФ по индексу потребительских цен на товары</w:t>
      </w:r>
    </w:p>
    <w:p w:rsidR="00A42BE7" w:rsidRDefault="00DF7C11" w:rsidP="00DF7C11">
      <w:pPr>
        <w:spacing w:after="0" w:line="240" w:lineRule="auto"/>
        <w:ind w:firstLine="709"/>
        <w:jc w:val="both"/>
        <w:rPr>
          <w:rFonts w:ascii="Times New Roman" w:eastAsia="DengXian" w:hAnsi="Times New Roman" w:cs="Times New Roman"/>
        </w:rPr>
      </w:pPr>
      <w:r w:rsidRPr="00DF7C11">
        <w:rPr>
          <w:rFonts w:ascii="Times New Roman" w:eastAsia="DengXian" w:hAnsi="Times New Roman" w:cs="Times New Roman"/>
        </w:rPr>
        <w:t>*</w:t>
      </w:r>
      <w:r w:rsidRPr="00DF7C11">
        <w:rPr>
          <w:rFonts w:ascii="Times New Roman" w:eastAsia="DengXian" w:hAnsi="Times New Roman" w:cs="Times New Roman"/>
          <w:lang w:eastAsia="zh-CN"/>
        </w:rPr>
        <w:t>Источник</w:t>
      </w:r>
      <w:r w:rsidRPr="00DF7C11">
        <w:rPr>
          <w:rFonts w:ascii="Times New Roman" w:eastAsia="DengXian" w:hAnsi="Times New Roman" w:cs="Times New Roman"/>
        </w:rPr>
        <w:t xml:space="preserve"> Динамика потребительских цен Банк России </w:t>
      </w:r>
      <w:r w:rsidRPr="00DF7C11">
        <w:rPr>
          <w:rFonts w:ascii="Times New Roman" w:eastAsia="DengXian" w:hAnsi="Times New Roman" w:cs="Times New Roman"/>
          <w:lang w:val="en-US"/>
        </w:rPr>
        <w:t>URL</w:t>
      </w:r>
      <w:r w:rsidRPr="00DF7C11">
        <w:rPr>
          <w:rFonts w:ascii="Times New Roman" w:eastAsia="DengXian" w:hAnsi="Times New Roman" w:cs="Times New Roman"/>
        </w:rPr>
        <w:t>: https://cbr.ru/analytics/dkp/dinamic/CPD_2022-12/</w:t>
      </w:r>
    </w:p>
    <w:p w:rsidR="00DF7C11" w:rsidRPr="00A42BE7" w:rsidRDefault="00DF7C11" w:rsidP="00DF7C11">
      <w:pPr>
        <w:spacing w:after="0" w:line="240" w:lineRule="auto"/>
        <w:ind w:firstLine="709"/>
        <w:jc w:val="both"/>
        <w:rPr>
          <w:rFonts w:ascii="Times New Roman" w:hAnsi="Times New Roman" w:cs="Times New Roman"/>
          <w:sz w:val="24"/>
          <w:szCs w:val="24"/>
        </w:rPr>
      </w:pPr>
    </w:p>
    <w:p w:rsidR="00A42BE7" w:rsidRPr="00A42BE7" w:rsidRDefault="00A42BE7" w:rsidP="00DF7C11">
      <w:pPr>
        <w:spacing w:after="0" w:line="240" w:lineRule="auto"/>
        <w:ind w:firstLine="709"/>
        <w:jc w:val="both"/>
        <w:rPr>
          <w:rFonts w:ascii="Times New Roman" w:hAnsi="Times New Roman" w:cs="Times New Roman"/>
          <w:sz w:val="24"/>
          <w:szCs w:val="24"/>
        </w:rPr>
      </w:pPr>
      <w:r w:rsidRPr="00A42BE7">
        <w:rPr>
          <w:rFonts w:ascii="Times New Roman" w:hAnsi="Times New Roman" w:cs="Times New Roman"/>
          <w:sz w:val="24"/>
          <w:szCs w:val="24"/>
        </w:rPr>
        <w:t>Эти экономические показатели дают важную информацию о состоянии экономики Башкортостана и могут быть использованы для обоснования политики и программ, направленных на содействие экономическому росту и развитию в регионе.</w:t>
      </w:r>
    </w:p>
    <w:p w:rsidR="00A42BE7" w:rsidRPr="00A42BE7" w:rsidRDefault="00A42BE7" w:rsidP="00DF7C11">
      <w:pPr>
        <w:spacing w:after="0" w:line="240" w:lineRule="auto"/>
        <w:ind w:firstLine="709"/>
        <w:jc w:val="both"/>
        <w:rPr>
          <w:rFonts w:ascii="Times New Roman" w:hAnsi="Times New Roman" w:cs="Times New Roman"/>
          <w:sz w:val="24"/>
          <w:szCs w:val="24"/>
        </w:rPr>
      </w:pPr>
      <w:r w:rsidRPr="00A42BE7">
        <w:rPr>
          <w:rFonts w:ascii="Times New Roman" w:hAnsi="Times New Roman" w:cs="Times New Roman"/>
          <w:sz w:val="24"/>
          <w:szCs w:val="24"/>
        </w:rPr>
        <w:t xml:space="preserve">Исходя из данных показателей можно сделать ряд выводов. Башкортостан - регион со значительным потенциалом для экономического роста и развития. Экономика региона диверсифицирована, и целый ряд отраслей вносит свой вклад в его ВРП. Однако, несмотря на это, потенциал региона сталкивается с рядом проблем, которые препятствуют его социально-экономическому развитию. </w:t>
      </w:r>
    </w:p>
    <w:p w:rsidR="00A42BE7" w:rsidRDefault="00A42BE7" w:rsidP="00DF7C11">
      <w:pPr>
        <w:spacing w:after="0" w:line="240" w:lineRule="auto"/>
        <w:ind w:firstLine="709"/>
        <w:jc w:val="both"/>
        <w:rPr>
          <w:rFonts w:ascii="Times New Roman" w:hAnsi="Times New Roman" w:cs="Times New Roman"/>
          <w:sz w:val="24"/>
          <w:szCs w:val="24"/>
        </w:rPr>
      </w:pPr>
      <w:r w:rsidRPr="00A42BE7">
        <w:rPr>
          <w:rFonts w:ascii="Times New Roman" w:hAnsi="Times New Roman" w:cs="Times New Roman"/>
          <w:sz w:val="24"/>
          <w:szCs w:val="24"/>
        </w:rPr>
        <w:t>Еще одним важным аналитическим инструментом для управления социально-экономическим развитием Башкортостана является SWOT-анализ. SWOT-анализ - это инструмент стратегического планирования, используемый для выявления сильных и слабых сторон, возможностей и угроз данной организации. В случае социально-экономического развития Республики Башкортостан SWOT-анализ, представленный в таблице 1, включает следующее:</w:t>
      </w:r>
    </w:p>
    <w:p w:rsidR="005E440F" w:rsidRDefault="005E440F" w:rsidP="00DF7C11">
      <w:pPr>
        <w:spacing w:after="0" w:line="240" w:lineRule="auto"/>
        <w:ind w:firstLine="709"/>
        <w:jc w:val="both"/>
        <w:rPr>
          <w:rFonts w:ascii="Times New Roman" w:hAnsi="Times New Roman" w:cs="Times New Roman"/>
          <w:sz w:val="24"/>
          <w:szCs w:val="24"/>
        </w:rPr>
      </w:pPr>
    </w:p>
    <w:p w:rsidR="005E440F" w:rsidRPr="00A42BE7" w:rsidRDefault="005E440F" w:rsidP="00DF7C11">
      <w:pPr>
        <w:spacing w:after="0" w:line="240" w:lineRule="auto"/>
        <w:ind w:firstLine="709"/>
        <w:jc w:val="both"/>
        <w:rPr>
          <w:rFonts w:ascii="Times New Roman" w:hAnsi="Times New Roman" w:cs="Times New Roman"/>
          <w:sz w:val="24"/>
          <w:szCs w:val="24"/>
        </w:rPr>
      </w:pPr>
    </w:p>
    <w:p w:rsidR="00A42BE7" w:rsidRDefault="00A42BE7" w:rsidP="00DF7C11">
      <w:pPr>
        <w:spacing w:after="0" w:line="240" w:lineRule="auto"/>
        <w:ind w:firstLine="709"/>
        <w:jc w:val="both"/>
        <w:rPr>
          <w:rFonts w:ascii="Times New Roman" w:hAnsi="Times New Roman" w:cs="Times New Roman"/>
          <w:sz w:val="24"/>
          <w:szCs w:val="24"/>
        </w:rPr>
      </w:pPr>
      <w:r w:rsidRPr="00A42BE7">
        <w:rPr>
          <w:rFonts w:ascii="Times New Roman" w:hAnsi="Times New Roman" w:cs="Times New Roman"/>
          <w:sz w:val="24"/>
          <w:szCs w:val="24"/>
        </w:rPr>
        <w:lastRenderedPageBreak/>
        <w:t>Таблица 1</w:t>
      </w:r>
      <w:r w:rsidR="00DF7C11">
        <w:rPr>
          <w:rFonts w:ascii="Times New Roman" w:hAnsi="Times New Roman" w:cs="Times New Roman"/>
          <w:sz w:val="24"/>
          <w:szCs w:val="24"/>
        </w:rPr>
        <w:t xml:space="preserve">. </w:t>
      </w:r>
      <w:r w:rsidRPr="00DF7C11">
        <w:rPr>
          <w:rFonts w:ascii="Times New Roman" w:hAnsi="Times New Roman" w:cs="Times New Roman"/>
          <w:b/>
          <w:sz w:val="24"/>
          <w:szCs w:val="24"/>
          <w:lang w:val="en-US"/>
        </w:rPr>
        <w:t>SWOT</w:t>
      </w:r>
      <w:r w:rsidRPr="00DF7C11">
        <w:rPr>
          <w:rFonts w:ascii="Times New Roman" w:hAnsi="Times New Roman" w:cs="Times New Roman"/>
          <w:b/>
          <w:sz w:val="24"/>
          <w:szCs w:val="24"/>
        </w:rPr>
        <w:t xml:space="preserve"> анализ потенциала экономики Республики Башкортостан</w:t>
      </w:r>
      <w:r w:rsidRPr="00A42BE7">
        <w:rPr>
          <w:rFonts w:ascii="Times New Roman" w:hAnsi="Times New Roman" w:cs="Times New Roman"/>
          <w:sz w:val="24"/>
          <w:szCs w:val="24"/>
        </w:rPr>
        <w:t>*</w:t>
      </w:r>
    </w:p>
    <w:p w:rsidR="00DF7C11" w:rsidRPr="00A42BE7" w:rsidRDefault="00DF7C11" w:rsidP="00DF7C11">
      <w:pPr>
        <w:spacing w:after="0" w:line="240" w:lineRule="auto"/>
        <w:jc w:val="both"/>
        <w:rPr>
          <w:rFonts w:ascii="Times New Roman" w:hAnsi="Times New Roman" w:cs="Times New Roman"/>
          <w:sz w:val="24"/>
          <w:szCs w:val="24"/>
        </w:rPr>
      </w:pPr>
    </w:p>
    <w:tbl>
      <w:tblPr>
        <w:tblStyle w:val="2"/>
        <w:tblW w:w="0" w:type="auto"/>
        <w:jc w:val="center"/>
        <w:tblLook w:val="04A0" w:firstRow="1" w:lastRow="0" w:firstColumn="1" w:lastColumn="0" w:noHBand="0" w:noVBand="1"/>
      </w:tblPr>
      <w:tblGrid>
        <w:gridCol w:w="5467"/>
        <w:gridCol w:w="4161"/>
      </w:tblGrid>
      <w:tr w:rsidR="00DF7C11" w:rsidRPr="00DF7C11" w:rsidTr="00876F1F">
        <w:trPr>
          <w:trHeight w:val="243"/>
          <w:jc w:val="center"/>
        </w:trPr>
        <w:tc>
          <w:tcPr>
            <w:tcW w:w="5501" w:type="dxa"/>
          </w:tcPr>
          <w:p w:rsidR="00DF7C11" w:rsidRPr="00DF7C11" w:rsidRDefault="00DF7C11" w:rsidP="00DF7C11">
            <w:pPr>
              <w:tabs>
                <w:tab w:val="left" w:pos="1664"/>
                <w:tab w:val="left" w:pos="2380"/>
              </w:tabs>
              <w:jc w:val="both"/>
              <w:rPr>
                <w:rFonts w:ascii="Times New Roman" w:eastAsia="SimSun" w:hAnsi="Times New Roman" w:cs="Times New Roman"/>
              </w:rPr>
            </w:pPr>
            <w:r w:rsidRPr="00DF7C11">
              <w:rPr>
                <w:rFonts w:ascii="Times New Roman" w:eastAsia="SimSun" w:hAnsi="Times New Roman" w:cs="Times New Roman"/>
              </w:rPr>
              <w:t>Сильные стороны</w:t>
            </w:r>
          </w:p>
        </w:tc>
        <w:tc>
          <w:tcPr>
            <w:tcW w:w="4186" w:type="dxa"/>
          </w:tcPr>
          <w:p w:rsidR="00DF7C11" w:rsidRPr="00DF7C11" w:rsidRDefault="00DF7C11" w:rsidP="00DF7C11">
            <w:pPr>
              <w:tabs>
                <w:tab w:val="left" w:pos="1664"/>
                <w:tab w:val="left" w:pos="2380"/>
              </w:tabs>
              <w:jc w:val="both"/>
              <w:rPr>
                <w:rFonts w:ascii="Times New Roman" w:eastAsia="SimSun" w:hAnsi="Times New Roman" w:cs="Times New Roman"/>
              </w:rPr>
            </w:pPr>
            <w:r w:rsidRPr="00DF7C11">
              <w:rPr>
                <w:rFonts w:ascii="Times New Roman" w:eastAsia="SimSun" w:hAnsi="Times New Roman" w:cs="Times New Roman"/>
              </w:rPr>
              <w:t>Слабые стороны</w:t>
            </w:r>
          </w:p>
        </w:tc>
      </w:tr>
      <w:tr w:rsidR="00DF7C11" w:rsidRPr="00DF7C11" w:rsidTr="00876F1F">
        <w:trPr>
          <w:trHeight w:val="979"/>
          <w:jc w:val="center"/>
        </w:trPr>
        <w:tc>
          <w:tcPr>
            <w:tcW w:w="5501" w:type="dxa"/>
          </w:tcPr>
          <w:p w:rsidR="00DF7C11" w:rsidRPr="00DF7C11" w:rsidRDefault="00DF7C11" w:rsidP="00DF7C11">
            <w:pPr>
              <w:tabs>
                <w:tab w:val="left" w:pos="1664"/>
                <w:tab w:val="left" w:pos="2380"/>
              </w:tabs>
              <w:jc w:val="both"/>
              <w:rPr>
                <w:rFonts w:ascii="Times New Roman" w:eastAsia="SimSun" w:hAnsi="Times New Roman" w:cs="Times New Roman"/>
              </w:rPr>
            </w:pPr>
            <w:r w:rsidRPr="00DF7C11">
              <w:rPr>
                <w:rFonts w:ascii="Times New Roman" w:eastAsia="SimSun" w:hAnsi="Times New Roman" w:cs="Times New Roman"/>
              </w:rPr>
              <w:t>Богатые природные ресурсы, включая нефть, природный газ и древесину.</w:t>
            </w:r>
          </w:p>
          <w:p w:rsidR="00DF7C11" w:rsidRPr="00DF7C11" w:rsidRDefault="00DF7C11" w:rsidP="00DF7C11">
            <w:pPr>
              <w:tabs>
                <w:tab w:val="left" w:pos="1664"/>
                <w:tab w:val="left" w:pos="2380"/>
              </w:tabs>
              <w:jc w:val="both"/>
              <w:rPr>
                <w:rFonts w:ascii="Times New Roman" w:eastAsia="SimSun" w:hAnsi="Times New Roman" w:cs="Times New Roman"/>
              </w:rPr>
            </w:pPr>
            <w:r w:rsidRPr="00DF7C11">
              <w:rPr>
                <w:rFonts w:ascii="Times New Roman" w:eastAsia="SimSun" w:hAnsi="Times New Roman" w:cs="Times New Roman"/>
              </w:rPr>
              <w:t>Развитый сельскохозяйственный сектор с плодородными землями и благоприятными климатическими условиями.</w:t>
            </w:r>
          </w:p>
          <w:p w:rsidR="00DF7C11" w:rsidRPr="00DF7C11" w:rsidRDefault="00DF7C11" w:rsidP="00DF7C11">
            <w:pPr>
              <w:tabs>
                <w:tab w:val="left" w:pos="1664"/>
                <w:tab w:val="left" w:pos="2380"/>
              </w:tabs>
              <w:jc w:val="both"/>
              <w:rPr>
                <w:rFonts w:ascii="Times New Roman" w:eastAsia="SimSun" w:hAnsi="Times New Roman" w:cs="Times New Roman"/>
              </w:rPr>
            </w:pPr>
            <w:r w:rsidRPr="00DF7C11">
              <w:rPr>
                <w:rFonts w:ascii="Times New Roman" w:eastAsia="SimSun" w:hAnsi="Times New Roman" w:cs="Times New Roman"/>
              </w:rPr>
              <w:t>Крупная промышленная база с акцентом на нефтехимию, машиностроение и пищевую промышленность.</w:t>
            </w:r>
          </w:p>
          <w:p w:rsidR="00DF7C11" w:rsidRPr="00DF7C11" w:rsidRDefault="00DF7C11" w:rsidP="00DF7C11">
            <w:pPr>
              <w:tabs>
                <w:tab w:val="left" w:pos="1664"/>
                <w:tab w:val="left" w:pos="2380"/>
              </w:tabs>
              <w:jc w:val="both"/>
              <w:rPr>
                <w:rFonts w:ascii="Times New Roman" w:eastAsia="SimSun" w:hAnsi="Times New Roman" w:cs="Times New Roman"/>
              </w:rPr>
            </w:pPr>
            <w:r w:rsidRPr="00DF7C11">
              <w:rPr>
                <w:rFonts w:ascii="Times New Roman" w:eastAsia="SimSun" w:hAnsi="Times New Roman" w:cs="Times New Roman"/>
              </w:rPr>
              <w:t>Квалифицированная рабочая сила с высоким уровнем образования.</w:t>
            </w:r>
          </w:p>
          <w:p w:rsidR="00DF7C11" w:rsidRPr="00DF7C11" w:rsidRDefault="00DF7C11" w:rsidP="00DF7C11">
            <w:pPr>
              <w:tabs>
                <w:tab w:val="left" w:pos="1664"/>
                <w:tab w:val="left" w:pos="2380"/>
              </w:tabs>
              <w:jc w:val="both"/>
              <w:rPr>
                <w:rFonts w:ascii="Times New Roman" w:eastAsia="SimSun" w:hAnsi="Times New Roman" w:cs="Times New Roman"/>
              </w:rPr>
            </w:pPr>
            <w:r w:rsidRPr="00DF7C11">
              <w:rPr>
                <w:rFonts w:ascii="Times New Roman" w:eastAsia="SimSun" w:hAnsi="Times New Roman" w:cs="Times New Roman"/>
              </w:rPr>
              <w:t>Стратегическое расположение на пересечении основных транспортных маршрутов.</w:t>
            </w:r>
          </w:p>
        </w:tc>
        <w:tc>
          <w:tcPr>
            <w:tcW w:w="4186" w:type="dxa"/>
          </w:tcPr>
          <w:p w:rsidR="00DF7C11" w:rsidRPr="00DF7C11" w:rsidRDefault="00DF7C11" w:rsidP="00DF7C11">
            <w:pPr>
              <w:jc w:val="both"/>
              <w:rPr>
                <w:rFonts w:ascii="Times New Roman" w:eastAsia="SimSun" w:hAnsi="Times New Roman" w:cs="Times New Roman"/>
              </w:rPr>
            </w:pPr>
            <w:r w:rsidRPr="00DF7C11">
              <w:rPr>
                <w:rFonts w:ascii="Times New Roman" w:eastAsia="SimSun" w:hAnsi="Times New Roman" w:cs="Times New Roman"/>
              </w:rPr>
              <w:t>Зависимость от нефтегазовой отрасли, что может привести к колебаниям доходов.</w:t>
            </w:r>
          </w:p>
          <w:p w:rsidR="00DF7C11" w:rsidRPr="00DF7C11" w:rsidRDefault="00DF7C11" w:rsidP="00DF7C11">
            <w:pPr>
              <w:jc w:val="both"/>
              <w:rPr>
                <w:rFonts w:ascii="Times New Roman" w:eastAsia="SimSun" w:hAnsi="Times New Roman" w:cs="Times New Roman"/>
              </w:rPr>
            </w:pPr>
            <w:r w:rsidRPr="00DF7C11">
              <w:rPr>
                <w:rFonts w:ascii="Times New Roman" w:eastAsia="SimSun" w:hAnsi="Times New Roman" w:cs="Times New Roman"/>
              </w:rPr>
              <w:t>Недостаточная диверсификация экономики, приводящая к уязвимости перед внешними потрясениями.</w:t>
            </w:r>
          </w:p>
          <w:p w:rsidR="00DF7C11" w:rsidRPr="00DF7C11" w:rsidRDefault="00DF7C11" w:rsidP="00DF7C11">
            <w:pPr>
              <w:jc w:val="both"/>
              <w:rPr>
                <w:rFonts w:ascii="Times New Roman" w:eastAsia="SimSun" w:hAnsi="Times New Roman" w:cs="Times New Roman"/>
              </w:rPr>
            </w:pPr>
            <w:r w:rsidRPr="00DF7C11">
              <w:rPr>
                <w:rFonts w:ascii="Times New Roman" w:eastAsia="SimSun" w:hAnsi="Times New Roman" w:cs="Times New Roman"/>
              </w:rPr>
              <w:t>Неравномерное развитие по всей республике, в некоторых регионах не хватает инфраструктуры и инвестиций.</w:t>
            </w:r>
          </w:p>
          <w:p w:rsidR="00DF7C11" w:rsidRPr="00DF7C11" w:rsidRDefault="00DF7C11" w:rsidP="00DF7C11">
            <w:pPr>
              <w:jc w:val="both"/>
              <w:rPr>
                <w:rFonts w:ascii="Times New Roman" w:eastAsia="SimSun" w:hAnsi="Times New Roman" w:cs="Times New Roman"/>
              </w:rPr>
            </w:pPr>
            <w:r w:rsidRPr="00DF7C11">
              <w:rPr>
                <w:rFonts w:ascii="Times New Roman" w:eastAsia="SimSun" w:hAnsi="Times New Roman" w:cs="Times New Roman"/>
              </w:rPr>
              <w:t>Низкий уровень инноваций и технологического развития. Ограниченный доступ к финансированию и инвестиционному капиталу для малых и средних предприятий.</w:t>
            </w:r>
          </w:p>
          <w:p w:rsidR="00DF7C11" w:rsidRPr="00DF7C11" w:rsidRDefault="00DF7C11" w:rsidP="00DF7C11">
            <w:pPr>
              <w:jc w:val="both"/>
              <w:rPr>
                <w:rFonts w:ascii="Times New Roman" w:eastAsia="SimSun" w:hAnsi="Times New Roman" w:cs="Times New Roman"/>
              </w:rPr>
            </w:pPr>
            <w:r w:rsidRPr="00DF7C11">
              <w:rPr>
                <w:rFonts w:ascii="Times New Roman" w:eastAsia="SimSun" w:hAnsi="Times New Roman" w:cs="Times New Roman"/>
              </w:rPr>
              <w:t>Устаревающая инфраструктура в некоторых районах, что может препятствовать экономическому развитию.</w:t>
            </w:r>
          </w:p>
          <w:p w:rsidR="00DF7C11" w:rsidRPr="00DF7C11" w:rsidRDefault="00DF7C11" w:rsidP="00DF7C11">
            <w:pPr>
              <w:tabs>
                <w:tab w:val="left" w:pos="1664"/>
                <w:tab w:val="left" w:pos="2380"/>
              </w:tabs>
              <w:jc w:val="both"/>
              <w:rPr>
                <w:rFonts w:ascii="Times New Roman" w:eastAsia="SimSun" w:hAnsi="Times New Roman" w:cs="Times New Roman"/>
              </w:rPr>
            </w:pPr>
          </w:p>
        </w:tc>
      </w:tr>
      <w:tr w:rsidR="00DF7C11" w:rsidRPr="00DF7C11" w:rsidTr="00876F1F">
        <w:trPr>
          <w:trHeight w:val="313"/>
          <w:jc w:val="center"/>
        </w:trPr>
        <w:tc>
          <w:tcPr>
            <w:tcW w:w="5501" w:type="dxa"/>
          </w:tcPr>
          <w:p w:rsidR="00DF7C11" w:rsidRPr="00DF7C11" w:rsidRDefault="00DF7C11" w:rsidP="00DF7C11">
            <w:pPr>
              <w:tabs>
                <w:tab w:val="left" w:pos="1664"/>
                <w:tab w:val="left" w:pos="2380"/>
              </w:tabs>
              <w:jc w:val="both"/>
              <w:rPr>
                <w:rFonts w:ascii="Times New Roman" w:eastAsia="SimSun" w:hAnsi="Times New Roman" w:cs="Times New Roman"/>
              </w:rPr>
            </w:pPr>
            <w:r w:rsidRPr="00DF7C11">
              <w:rPr>
                <w:rFonts w:ascii="Times New Roman" w:eastAsia="SimSun" w:hAnsi="Times New Roman" w:cs="Times New Roman"/>
              </w:rPr>
              <w:t>Возможности</w:t>
            </w:r>
          </w:p>
        </w:tc>
        <w:tc>
          <w:tcPr>
            <w:tcW w:w="4186" w:type="dxa"/>
          </w:tcPr>
          <w:p w:rsidR="00DF7C11" w:rsidRPr="00DF7C11" w:rsidRDefault="00DF7C11" w:rsidP="00DF7C11">
            <w:pPr>
              <w:jc w:val="both"/>
              <w:rPr>
                <w:rFonts w:ascii="Times New Roman" w:eastAsia="SimSun" w:hAnsi="Times New Roman" w:cs="Times New Roman"/>
              </w:rPr>
            </w:pPr>
            <w:r w:rsidRPr="00DF7C11">
              <w:rPr>
                <w:rFonts w:ascii="Times New Roman" w:eastAsia="SimSun" w:hAnsi="Times New Roman" w:cs="Times New Roman"/>
              </w:rPr>
              <w:t>Угрозы</w:t>
            </w:r>
          </w:p>
        </w:tc>
      </w:tr>
      <w:tr w:rsidR="00DF7C11" w:rsidRPr="00DF7C11" w:rsidTr="00876F1F">
        <w:trPr>
          <w:trHeight w:val="4416"/>
          <w:jc w:val="center"/>
        </w:trPr>
        <w:tc>
          <w:tcPr>
            <w:tcW w:w="5501" w:type="dxa"/>
          </w:tcPr>
          <w:p w:rsidR="00DF7C11" w:rsidRPr="00DF7C11" w:rsidRDefault="00DF7C11" w:rsidP="00DF7C11">
            <w:pPr>
              <w:tabs>
                <w:tab w:val="left" w:pos="1664"/>
                <w:tab w:val="left" w:pos="2380"/>
              </w:tabs>
              <w:jc w:val="both"/>
              <w:rPr>
                <w:rFonts w:ascii="Times New Roman" w:eastAsia="SimSun" w:hAnsi="Times New Roman" w:cs="Times New Roman"/>
              </w:rPr>
            </w:pPr>
            <w:r w:rsidRPr="00DF7C11">
              <w:rPr>
                <w:rFonts w:ascii="Times New Roman" w:eastAsia="SimSun" w:hAnsi="Times New Roman" w:cs="Times New Roman"/>
              </w:rPr>
              <w:t>Растущий спрос на природные ресурсы, особенно в Азии, создает возможности для экспорта.</w:t>
            </w:r>
          </w:p>
          <w:p w:rsidR="00DF7C11" w:rsidRPr="00DF7C11" w:rsidRDefault="00DF7C11" w:rsidP="00DF7C11">
            <w:pPr>
              <w:tabs>
                <w:tab w:val="left" w:pos="1664"/>
                <w:tab w:val="left" w:pos="2380"/>
              </w:tabs>
              <w:jc w:val="both"/>
              <w:rPr>
                <w:rFonts w:ascii="Times New Roman" w:eastAsia="SimSun" w:hAnsi="Times New Roman" w:cs="Times New Roman"/>
              </w:rPr>
            </w:pPr>
            <w:r w:rsidRPr="00DF7C11">
              <w:rPr>
                <w:rFonts w:ascii="Times New Roman" w:eastAsia="SimSun" w:hAnsi="Times New Roman" w:cs="Times New Roman"/>
              </w:rPr>
              <w:t>Доступ на международные рынки через Евразийский экономический союз и другие торговые соглашения.</w:t>
            </w:r>
          </w:p>
          <w:p w:rsidR="00DF7C11" w:rsidRPr="00DF7C11" w:rsidRDefault="00DF7C11" w:rsidP="00DF7C11">
            <w:pPr>
              <w:tabs>
                <w:tab w:val="left" w:pos="1664"/>
                <w:tab w:val="left" w:pos="2380"/>
              </w:tabs>
              <w:jc w:val="both"/>
              <w:rPr>
                <w:rFonts w:ascii="Times New Roman" w:eastAsia="SimSun" w:hAnsi="Times New Roman" w:cs="Times New Roman"/>
              </w:rPr>
            </w:pPr>
            <w:r w:rsidRPr="00DF7C11">
              <w:rPr>
                <w:rFonts w:ascii="Times New Roman" w:eastAsia="SimSun" w:hAnsi="Times New Roman" w:cs="Times New Roman"/>
              </w:rPr>
              <w:t>Растущий спрос на возобновляемые источники энергии и устойчивое развитие, которые могли бы создать новые возможности для региона.</w:t>
            </w:r>
          </w:p>
          <w:p w:rsidR="00DF7C11" w:rsidRPr="00DF7C11" w:rsidRDefault="00DF7C11" w:rsidP="00DF7C11">
            <w:pPr>
              <w:tabs>
                <w:tab w:val="left" w:pos="1664"/>
                <w:tab w:val="left" w:pos="2380"/>
              </w:tabs>
              <w:jc w:val="both"/>
              <w:rPr>
                <w:rFonts w:ascii="Times New Roman" w:eastAsia="SimSun" w:hAnsi="Times New Roman" w:cs="Times New Roman"/>
              </w:rPr>
            </w:pPr>
            <w:r w:rsidRPr="00DF7C11">
              <w:rPr>
                <w:rFonts w:ascii="Times New Roman" w:eastAsia="SimSun" w:hAnsi="Times New Roman" w:cs="Times New Roman"/>
              </w:rPr>
              <w:t>Развитие индустрии туризма и культуры, которые могли бы способствовать экономическому росту и диверсификации.</w:t>
            </w:r>
          </w:p>
          <w:p w:rsidR="00DF7C11" w:rsidRPr="00DF7C11" w:rsidRDefault="00DF7C11" w:rsidP="00DF7C11">
            <w:pPr>
              <w:tabs>
                <w:tab w:val="left" w:pos="1664"/>
                <w:tab w:val="left" w:pos="2380"/>
              </w:tabs>
              <w:jc w:val="both"/>
              <w:rPr>
                <w:rFonts w:ascii="Times New Roman" w:eastAsia="SimSun" w:hAnsi="Times New Roman" w:cs="Times New Roman"/>
                <w:lang w:eastAsia="zh-CN"/>
              </w:rPr>
            </w:pPr>
          </w:p>
        </w:tc>
        <w:tc>
          <w:tcPr>
            <w:tcW w:w="4186" w:type="dxa"/>
          </w:tcPr>
          <w:p w:rsidR="00DF7C11" w:rsidRPr="00DF7C11" w:rsidRDefault="00DF7C11" w:rsidP="00DF7C11">
            <w:pPr>
              <w:tabs>
                <w:tab w:val="left" w:pos="1664"/>
                <w:tab w:val="left" w:pos="2380"/>
              </w:tabs>
              <w:jc w:val="both"/>
              <w:rPr>
                <w:rFonts w:ascii="Times New Roman" w:eastAsia="SimSun" w:hAnsi="Times New Roman" w:cs="Times New Roman"/>
              </w:rPr>
            </w:pPr>
            <w:r w:rsidRPr="00DF7C11">
              <w:rPr>
                <w:rFonts w:ascii="Times New Roman" w:eastAsia="SimSun" w:hAnsi="Times New Roman" w:cs="Times New Roman"/>
              </w:rPr>
              <w:t>Нестабильность на мировых рынках нефти и газа, влияющая на доходы республики.</w:t>
            </w:r>
          </w:p>
          <w:p w:rsidR="00DF7C11" w:rsidRPr="00DF7C11" w:rsidRDefault="00DF7C11" w:rsidP="00DF7C11">
            <w:pPr>
              <w:tabs>
                <w:tab w:val="left" w:pos="1664"/>
                <w:tab w:val="left" w:pos="2380"/>
              </w:tabs>
              <w:jc w:val="both"/>
              <w:rPr>
                <w:rFonts w:ascii="Times New Roman" w:eastAsia="SimSun" w:hAnsi="Times New Roman" w:cs="Times New Roman"/>
              </w:rPr>
            </w:pPr>
            <w:r w:rsidRPr="00DF7C11">
              <w:rPr>
                <w:rFonts w:ascii="Times New Roman" w:eastAsia="SimSun" w:hAnsi="Times New Roman" w:cs="Times New Roman"/>
              </w:rPr>
              <w:t>Конкуренция со стороны других регионов России и за рубежом, особенно в таких отраслях, как нефтехимия и машиностроение.</w:t>
            </w:r>
          </w:p>
          <w:p w:rsidR="00DF7C11" w:rsidRPr="00DF7C11" w:rsidRDefault="00DF7C11" w:rsidP="00DF7C11">
            <w:pPr>
              <w:tabs>
                <w:tab w:val="left" w:pos="1664"/>
                <w:tab w:val="left" w:pos="2380"/>
              </w:tabs>
              <w:jc w:val="both"/>
              <w:rPr>
                <w:rFonts w:ascii="Times New Roman" w:eastAsia="SimSun" w:hAnsi="Times New Roman" w:cs="Times New Roman"/>
              </w:rPr>
            </w:pPr>
            <w:r w:rsidRPr="00DF7C11">
              <w:rPr>
                <w:rFonts w:ascii="Times New Roman" w:eastAsia="SimSun" w:hAnsi="Times New Roman" w:cs="Times New Roman"/>
              </w:rPr>
              <w:t>Политическая нестабильность и конфликты в соседних странах, влияющие на торговлю и инвестиции.</w:t>
            </w:r>
          </w:p>
          <w:p w:rsidR="00DF7C11" w:rsidRPr="00DF7C11" w:rsidRDefault="00DF7C11" w:rsidP="00DF7C11">
            <w:pPr>
              <w:tabs>
                <w:tab w:val="left" w:pos="1664"/>
                <w:tab w:val="left" w:pos="2380"/>
              </w:tabs>
              <w:jc w:val="both"/>
              <w:rPr>
                <w:rFonts w:ascii="Times New Roman" w:eastAsia="SimSun" w:hAnsi="Times New Roman" w:cs="Times New Roman"/>
              </w:rPr>
            </w:pPr>
            <w:r w:rsidRPr="00DF7C11">
              <w:rPr>
                <w:rFonts w:ascii="Times New Roman" w:eastAsia="SimSun" w:hAnsi="Times New Roman" w:cs="Times New Roman"/>
              </w:rPr>
              <w:t>Экономические санкции и геополитическая напряженность, влияющие на доступ к международным рынкам и финансированию.</w:t>
            </w:r>
          </w:p>
          <w:p w:rsidR="00DF7C11" w:rsidRPr="00DF7C11" w:rsidRDefault="00DF7C11" w:rsidP="00DF7C11">
            <w:pPr>
              <w:tabs>
                <w:tab w:val="left" w:pos="1664"/>
                <w:tab w:val="left" w:pos="2380"/>
              </w:tabs>
              <w:jc w:val="both"/>
              <w:rPr>
                <w:rFonts w:ascii="Times New Roman" w:eastAsia="SimSun" w:hAnsi="Times New Roman" w:cs="Times New Roman"/>
              </w:rPr>
            </w:pPr>
            <w:r w:rsidRPr="00DF7C11">
              <w:rPr>
                <w:rFonts w:ascii="Times New Roman" w:eastAsia="SimSun" w:hAnsi="Times New Roman" w:cs="Times New Roman"/>
              </w:rPr>
              <w:t>Изменение климата и деградация окружающей среды, влияющие на природные ресурсы и сельское хозяйство.</w:t>
            </w:r>
          </w:p>
        </w:tc>
      </w:tr>
    </w:tbl>
    <w:p w:rsidR="00A42BE7" w:rsidRDefault="00A42BE7" w:rsidP="00DF7C11">
      <w:pPr>
        <w:spacing w:after="0" w:line="240" w:lineRule="auto"/>
        <w:jc w:val="both"/>
        <w:rPr>
          <w:rFonts w:ascii="Times New Roman" w:hAnsi="Times New Roman" w:cs="Times New Roman"/>
        </w:rPr>
      </w:pPr>
      <w:r w:rsidRPr="00DF7C11">
        <w:rPr>
          <w:rFonts w:ascii="Times New Roman" w:hAnsi="Times New Roman" w:cs="Times New Roman"/>
        </w:rPr>
        <w:sym w:font="Symbol" w:char="F02A"/>
      </w:r>
      <w:r w:rsidRPr="00DF7C11">
        <w:rPr>
          <w:rFonts w:ascii="Times New Roman" w:hAnsi="Times New Roman" w:cs="Times New Roman"/>
        </w:rPr>
        <w:t>Составлено автором по [2]</w:t>
      </w:r>
    </w:p>
    <w:p w:rsidR="00DF7C11" w:rsidRPr="00DF7C11" w:rsidRDefault="00DF7C11" w:rsidP="00DF7C11">
      <w:pPr>
        <w:spacing w:after="0" w:line="240" w:lineRule="auto"/>
        <w:jc w:val="both"/>
        <w:rPr>
          <w:rFonts w:ascii="Times New Roman" w:hAnsi="Times New Roman" w:cs="Times New Roman"/>
        </w:rPr>
      </w:pPr>
    </w:p>
    <w:p w:rsidR="00A42BE7" w:rsidRPr="00A42BE7" w:rsidRDefault="00A42BE7" w:rsidP="00DF7C11">
      <w:pPr>
        <w:spacing w:after="0" w:line="240" w:lineRule="auto"/>
        <w:ind w:firstLine="709"/>
        <w:jc w:val="both"/>
        <w:rPr>
          <w:rFonts w:ascii="Times New Roman" w:hAnsi="Times New Roman" w:cs="Times New Roman"/>
          <w:sz w:val="24"/>
          <w:szCs w:val="24"/>
        </w:rPr>
      </w:pPr>
      <w:r w:rsidRPr="00A42BE7">
        <w:rPr>
          <w:rFonts w:ascii="Times New Roman" w:hAnsi="Times New Roman" w:cs="Times New Roman"/>
          <w:sz w:val="24"/>
          <w:szCs w:val="24"/>
        </w:rPr>
        <w:t>В целом, SWOT-анализ социально-экономического развития Республики Башкортостан выделяет ряд сильных сторон и возможностей, но также выявляет некоторые важные слабые стороны и угрозы, которые необходимо будет устранить, чтобы обеспечить устойчивый и инклюзивный экономический рост в регионе.</w:t>
      </w:r>
    </w:p>
    <w:p w:rsidR="00A42BE7" w:rsidRPr="00A42BE7" w:rsidRDefault="00A42BE7" w:rsidP="00DF7C11">
      <w:pPr>
        <w:spacing w:after="0" w:line="240" w:lineRule="auto"/>
        <w:ind w:firstLine="709"/>
        <w:jc w:val="both"/>
        <w:rPr>
          <w:rFonts w:ascii="Times New Roman" w:hAnsi="Times New Roman" w:cs="Times New Roman"/>
          <w:sz w:val="24"/>
          <w:szCs w:val="24"/>
        </w:rPr>
      </w:pPr>
      <w:r w:rsidRPr="00A42BE7">
        <w:rPr>
          <w:rFonts w:ascii="Times New Roman" w:hAnsi="Times New Roman" w:cs="Times New Roman"/>
          <w:sz w:val="24"/>
          <w:szCs w:val="24"/>
        </w:rPr>
        <w:t xml:space="preserve">Предлагаемые меры и проекты: </w:t>
      </w:r>
    </w:p>
    <w:p w:rsidR="00A42BE7" w:rsidRPr="00A42BE7" w:rsidRDefault="00A42BE7" w:rsidP="00DF7C11">
      <w:pPr>
        <w:numPr>
          <w:ilvl w:val="0"/>
          <w:numId w:val="2"/>
        </w:numPr>
        <w:spacing w:after="0" w:line="240" w:lineRule="auto"/>
        <w:ind w:left="0" w:firstLine="709"/>
        <w:jc w:val="both"/>
        <w:rPr>
          <w:rFonts w:ascii="Times New Roman" w:hAnsi="Times New Roman" w:cs="Times New Roman"/>
          <w:sz w:val="24"/>
          <w:szCs w:val="24"/>
        </w:rPr>
      </w:pPr>
      <w:r w:rsidRPr="00A42BE7">
        <w:rPr>
          <w:rFonts w:ascii="Times New Roman" w:hAnsi="Times New Roman" w:cs="Times New Roman"/>
          <w:sz w:val="24"/>
          <w:szCs w:val="24"/>
        </w:rPr>
        <w:t>содействие развитию новых секторов, таких как возобновляемые источники энергии и информационные технологии, посредством инвестиций в исследования и разработки, инфраструктуру и стимулы для бизнеса;</w:t>
      </w:r>
    </w:p>
    <w:p w:rsidR="00A42BE7" w:rsidRPr="00A42BE7" w:rsidRDefault="00A42BE7" w:rsidP="00DF7C11">
      <w:pPr>
        <w:numPr>
          <w:ilvl w:val="0"/>
          <w:numId w:val="2"/>
        </w:numPr>
        <w:spacing w:after="0" w:line="240" w:lineRule="auto"/>
        <w:ind w:left="0" w:firstLine="709"/>
        <w:jc w:val="both"/>
        <w:rPr>
          <w:rFonts w:ascii="Times New Roman" w:hAnsi="Times New Roman" w:cs="Times New Roman"/>
          <w:sz w:val="24"/>
          <w:szCs w:val="24"/>
        </w:rPr>
      </w:pPr>
      <w:r w:rsidRPr="00A42BE7">
        <w:rPr>
          <w:rFonts w:ascii="Times New Roman" w:hAnsi="Times New Roman" w:cs="Times New Roman"/>
          <w:sz w:val="24"/>
          <w:szCs w:val="24"/>
        </w:rPr>
        <w:t>поощрение диверсификации экономики путем предоставления стимулов и поддержки малым и средним предприятиям в различных секторах;</w:t>
      </w:r>
    </w:p>
    <w:p w:rsidR="00A42BE7" w:rsidRPr="00A42BE7" w:rsidRDefault="00A42BE7" w:rsidP="00DF7C11">
      <w:pPr>
        <w:numPr>
          <w:ilvl w:val="0"/>
          <w:numId w:val="2"/>
        </w:numPr>
        <w:spacing w:after="0" w:line="240" w:lineRule="auto"/>
        <w:ind w:left="0" w:firstLine="709"/>
        <w:jc w:val="both"/>
        <w:rPr>
          <w:rFonts w:ascii="Times New Roman" w:hAnsi="Times New Roman" w:cs="Times New Roman"/>
          <w:sz w:val="24"/>
          <w:szCs w:val="24"/>
        </w:rPr>
      </w:pPr>
      <w:r w:rsidRPr="00A42BE7">
        <w:rPr>
          <w:rFonts w:ascii="Times New Roman" w:hAnsi="Times New Roman" w:cs="Times New Roman"/>
          <w:sz w:val="24"/>
          <w:szCs w:val="24"/>
        </w:rPr>
        <w:t>улучшение делового климата за счет сокращения бюрократии и коррупции, а также обеспечения более прозрачной и предсказуемой нормативно-правовой базы;</w:t>
      </w:r>
    </w:p>
    <w:p w:rsidR="00A42BE7" w:rsidRPr="00A42BE7" w:rsidRDefault="00A42BE7" w:rsidP="00DF7C11">
      <w:pPr>
        <w:numPr>
          <w:ilvl w:val="0"/>
          <w:numId w:val="2"/>
        </w:numPr>
        <w:spacing w:after="0" w:line="240" w:lineRule="auto"/>
        <w:ind w:left="0" w:firstLine="709"/>
        <w:jc w:val="both"/>
        <w:rPr>
          <w:rFonts w:ascii="Times New Roman" w:hAnsi="Times New Roman" w:cs="Times New Roman"/>
          <w:sz w:val="24"/>
          <w:szCs w:val="24"/>
        </w:rPr>
      </w:pPr>
      <w:r w:rsidRPr="00A42BE7">
        <w:rPr>
          <w:rFonts w:ascii="Times New Roman" w:hAnsi="Times New Roman" w:cs="Times New Roman"/>
          <w:sz w:val="24"/>
          <w:szCs w:val="24"/>
        </w:rPr>
        <w:lastRenderedPageBreak/>
        <w:t>инвестирование в инфраструктуру и социальное развитие слаборазвитых регионов для обеспечения более сбалансированного экономического роста по всей республике;</w:t>
      </w:r>
    </w:p>
    <w:p w:rsidR="00A42BE7" w:rsidRPr="00A42BE7" w:rsidRDefault="00A42BE7" w:rsidP="00DF7C11">
      <w:pPr>
        <w:numPr>
          <w:ilvl w:val="0"/>
          <w:numId w:val="2"/>
        </w:numPr>
        <w:spacing w:after="0" w:line="240" w:lineRule="auto"/>
        <w:ind w:left="0" w:firstLine="709"/>
        <w:jc w:val="both"/>
        <w:rPr>
          <w:rFonts w:ascii="Times New Roman" w:hAnsi="Times New Roman" w:cs="Times New Roman"/>
          <w:sz w:val="24"/>
          <w:szCs w:val="24"/>
        </w:rPr>
      </w:pPr>
      <w:r w:rsidRPr="00A42BE7">
        <w:rPr>
          <w:rFonts w:ascii="Times New Roman" w:hAnsi="Times New Roman" w:cs="Times New Roman"/>
          <w:sz w:val="24"/>
          <w:szCs w:val="24"/>
        </w:rPr>
        <w:t>расширение сотрудничества с другими регионами России и за рубежом для получения доступа к новым рынкам и технологиям, а также для обмена передовым опытом.</w:t>
      </w:r>
    </w:p>
    <w:p w:rsidR="00A42BE7" w:rsidRPr="00A42BE7" w:rsidRDefault="00A42BE7" w:rsidP="00DF7C11">
      <w:pPr>
        <w:spacing w:after="0" w:line="240" w:lineRule="auto"/>
        <w:ind w:firstLine="709"/>
        <w:jc w:val="both"/>
        <w:rPr>
          <w:rFonts w:ascii="Times New Roman" w:hAnsi="Times New Roman" w:cs="Times New Roman"/>
          <w:sz w:val="24"/>
          <w:szCs w:val="24"/>
        </w:rPr>
      </w:pPr>
      <w:r w:rsidRPr="00A42BE7">
        <w:rPr>
          <w:rFonts w:ascii="Times New Roman" w:hAnsi="Times New Roman" w:cs="Times New Roman"/>
          <w:sz w:val="24"/>
          <w:szCs w:val="24"/>
        </w:rPr>
        <w:t>В заключение следует отметить, что управление социально-экономическим развитием Республики Башкортостан требует целого ряда аналитических инструментов. Экономические показатели, SWOT-анализ, - это лишь несколько примеров аналитических инструментов, которые можно использовать для получения информации о состоянии экономики, выявления проблем и возможностей и разработки эффективной политики и программ. Для решения этих проблем могли бы быть реализованы такие решения, как инвестиции в инфраструктуру, финансовая поддержка и реформы регулирования. Эти решения укрепили бы экономический потенциал региона, сделав его более привлекательным для инвесторов и поддержав рост предпринимательства.</w:t>
      </w:r>
    </w:p>
    <w:p w:rsidR="00A42BE7" w:rsidRDefault="00A42BE7" w:rsidP="00DF7C11">
      <w:pPr>
        <w:spacing w:after="0" w:line="240" w:lineRule="auto"/>
        <w:ind w:firstLine="709"/>
        <w:jc w:val="both"/>
        <w:rPr>
          <w:rFonts w:ascii="Times New Roman" w:hAnsi="Times New Roman" w:cs="Times New Roman"/>
          <w:sz w:val="24"/>
          <w:szCs w:val="24"/>
        </w:rPr>
      </w:pPr>
      <w:r w:rsidRPr="00A42BE7">
        <w:rPr>
          <w:rFonts w:ascii="Times New Roman" w:hAnsi="Times New Roman" w:cs="Times New Roman"/>
          <w:sz w:val="24"/>
          <w:szCs w:val="24"/>
        </w:rPr>
        <w:t>Таким образом определив конкурентные преимущества и недостатки, а также учитывая возможности региона, можно определить высокий потенциал развития Республики Башкортостан. Далее необходимо спланировать стратегию на основе анализа инструментов и экономических показателей региона.</w:t>
      </w:r>
    </w:p>
    <w:p w:rsidR="00DF7C11" w:rsidRPr="00A42BE7" w:rsidRDefault="00DF7C11" w:rsidP="00DF7C11">
      <w:pPr>
        <w:spacing w:after="0" w:line="240" w:lineRule="auto"/>
        <w:ind w:firstLine="709"/>
        <w:jc w:val="both"/>
        <w:rPr>
          <w:rFonts w:ascii="Times New Roman" w:hAnsi="Times New Roman" w:cs="Times New Roman"/>
          <w:sz w:val="24"/>
          <w:szCs w:val="24"/>
        </w:rPr>
      </w:pPr>
    </w:p>
    <w:p w:rsidR="00A42BE7" w:rsidRDefault="00A42BE7" w:rsidP="00DF7C11">
      <w:pPr>
        <w:spacing w:after="0" w:line="240" w:lineRule="auto"/>
        <w:ind w:firstLine="709"/>
        <w:jc w:val="center"/>
        <w:rPr>
          <w:rFonts w:ascii="Times New Roman" w:hAnsi="Times New Roman" w:cs="Times New Roman"/>
          <w:b/>
          <w:sz w:val="24"/>
          <w:szCs w:val="24"/>
        </w:rPr>
      </w:pPr>
      <w:r w:rsidRPr="00A42BE7">
        <w:rPr>
          <w:rFonts w:ascii="Times New Roman" w:hAnsi="Times New Roman" w:cs="Times New Roman"/>
          <w:b/>
          <w:sz w:val="24"/>
          <w:szCs w:val="24"/>
        </w:rPr>
        <w:t>ЛИТЕРАТУРА</w:t>
      </w:r>
    </w:p>
    <w:p w:rsidR="00DF7C11" w:rsidRPr="00A42BE7" w:rsidRDefault="00DF7C11" w:rsidP="00DF7C11">
      <w:pPr>
        <w:spacing w:after="0" w:line="240" w:lineRule="auto"/>
        <w:ind w:firstLine="709"/>
        <w:jc w:val="center"/>
        <w:rPr>
          <w:rFonts w:ascii="Times New Roman" w:hAnsi="Times New Roman" w:cs="Times New Roman"/>
          <w:sz w:val="24"/>
          <w:szCs w:val="24"/>
        </w:rPr>
      </w:pPr>
    </w:p>
    <w:p w:rsidR="00DF7C11" w:rsidRPr="00A42BE7" w:rsidRDefault="00DF7C11" w:rsidP="00DF7C11">
      <w:pPr>
        <w:numPr>
          <w:ilvl w:val="0"/>
          <w:numId w:val="1"/>
        </w:numPr>
        <w:spacing w:after="0" w:line="240" w:lineRule="auto"/>
        <w:ind w:left="0" w:firstLine="709"/>
        <w:jc w:val="both"/>
        <w:rPr>
          <w:rFonts w:ascii="Times New Roman" w:hAnsi="Times New Roman" w:cs="Times New Roman"/>
          <w:sz w:val="24"/>
          <w:szCs w:val="24"/>
        </w:rPr>
      </w:pPr>
      <w:r w:rsidRPr="00A42BE7">
        <w:rPr>
          <w:rFonts w:ascii="Times New Roman" w:hAnsi="Times New Roman" w:cs="Times New Roman"/>
          <w:sz w:val="24"/>
          <w:szCs w:val="24"/>
        </w:rPr>
        <w:t>Агентство стратегических инициатив [Электронный Ресурс]: сайт. – Режим доступа: https://asi.ru/government_officials/rating/ (Дата обращения 15.02.23)</w:t>
      </w:r>
    </w:p>
    <w:p w:rsidR="00DF7C11" w:rsidRPr="00A42BE7" w:rsidRDefault="00DF7C11" w:rsidP="00DF7C11">
      <w:pPr>
        <w:numPr>
          <w:ilvl w:val="0"/>
          <w:numId w:val="1"/>
        </w:numPr>
        <w:spacing w:after="0" w:line="240" w:lineRule="auto"/>
        <w:ind w:left="0" w:firstLine="709"/>
        <w:jc w:val="both"/>
        <w:rPr>
          <w:rFonts w:ascii="Times New Roman" w:hAnsi="Times New Roman" w:cs="Times New Roman"/>
          <w:sz w:val="24"/>
          <w:szCs w:val="24"/>
        </w:rPr>
      </w:pPr>
      <w:r w:rsidRPr="00A42BE7">
        <w:rPr>
          <w:rFonts w:ascii="Times New Roman" w:hAnsi="Times New Roman" w:cs="Times New Roman"/>
          <w:sz w:val="24"/>
          <w:szCs w:val="24"/>
        </w:rPr>
        <w:t>Топ-10 самых значимых событий в экономике Башкирии в 2022 году [Электронный Ресурс]: сайт. – Режим доступа: https://ufa.rbc.ru/ufa/29/12/2022/63ad53cd9a79470574357502 (Дата обращения 15.02.23)</w:t>
      </w:r>
    </w:p>
    <w:p w:rsidR="00DF7C11" w:rsidRPr="00A42BE7" w:rsidRDefault="00DF7C11" w:rsidP="00DF7C11">
      <w:pPr>
        <w:numPr>
          <w:ilvl w:val="0"/>
          <w:numId w:val="1"/>
        </w:numPr>
        <w:spacing w:after="0" w:line="240" w:lineRule="auto"/>
        <w:ind w:left="0" w:firstLine="709"/>
        <w:jc w:val="both"/>
        <w:rPr>
          <w:rFonts w:ascii="Times New Roman" w:hAnsi="Times New Roman" w:cs="Times New Roman"/>
          <w:sz w:val="24"/>
          <w:szCs w:val="24"/>
        </w:rPr>
      </w:pPr>
      <w:r w:rsidRPr="00A42BE7">
        <w:rPr>
          <w:rFonts w:ascii="Times New Roman" w:hAnsi="Times New Roman" w:cs="Times New Roman"/>
          <w:sz w:val="24"/>
          <w:szCs w:val="24"/>
        </w:rPr>
        <w:t xml:space="preserve">Федеральная служба государственной статистики </w:t>
      </w:r>
      <w:proofErr w:type="spellStart"/>
      <w:r w:rsidRPr="00A42BE7">
        <w:rPr>
          <w:rFonts w:ascii="Times New Roman" w:hAnsi="Times New Roman" w:cs="Times New Roman"/>
          <w:sz w:val="24"/>
          <w:szCs w:val="24"/>
        </w:rPr>
        <w:t>Башстат</w:t>
      </w:r>
      <w:proofErr w:type="spellEnd"/>
      <w:r w:rsidRPr="00A42BE7">
        <w:rPr>
          <w:rFonts w:ascii="Times New Roman" w:hAnsi="Times New Roman" w:cs="Times New Roman"/>
          <w:sz w:val="24"/>
          <w:szCs w:val="24"/>
        </w:rPr>
        <w:t xml:space="preserve"> [Электронный Ресурс]: сайт. – Режим доступа: </w:t>
      </w:r>
      <w:r w:rsidRPr="00DF7C11">
        <w:rPr>
          <w:rFonts w:ascii="Times New Roman" w:hAnsi="Times New Roman" w:cs="Times New Roman"/>
          <w:sz w:val="24"/>
          <w:szCs w:val="24"/>
        </w:rPr>
        <w:t>https://bashstat.gks.ru/storage/mediabank/!IPC-12_2022.pdf</w:t>
      </w:r>
      <w:r w:rsidRPr="00A42BE7">
        <w:rPr>
          <w:rFonts w:ascii="Times New Roman" w:hAnsi="Times New Roman" w:cs="Times New Roman"/>
          <w:sz w:val="24"/>
          <w:szCs w:val="24"/>
        </w:rPr>
        <w:t xml:space="preserve"> (Дата обращения 15.02.23)</w:t>
      </w:r>
    </w:p>
    <w:p w:rsidR="00DF7C11" w:rsidRPr="00A42BE7" w:rsidRDefault="00DF7C11" w:rsidP="00DF7C11">
      <w:pPr>
        <w:numPr>
          <w:ilvl w:val="0"/>
          <w:numId w:val="1"/>
        </w:numPr>
        <w:spacing w:after="0" w:line="240" w:lineRule="auto"/>
        <w:ind w:left="0" w:firstLine="709"/>
        <w:jc w:val="both"/>
        <w:rPr>
          <w:rFonts w:ascii="Times New Roman" w:hAnsi="Times New Roman" w:cs="Times New Roman"/>
          <w:sz w:val="24"/>
          <w:szCs w:val="24"/>
        </w:rPr>
      </w:pPr>
      <w:r w:rsidRPr="00A42BE7">
        <w:rPr>
          <w:rFonts w:ascii="Times New Roman" w:hAnsi="Times New Roman" w:cs="Times New Roman"/>
          <w:sz w:val="24"/>
          <w:szCs w:val="24"/>
        </w:rPr>
        <w:t>Юсупов К. Н. Экономика // Башкирская энциклопедия. — Уфа: НИК «Башкирская энциклопедия», 2015. – С. 306. ISBN 978-5-88185-143-9</w:t>
      </w:r>
    </w:p>
    <w:p w:rsidR="00E77F1E" w:rsidRDefault="00E77F1E"/>
    <w:sectPr w:rsidR="00E77F1E" w:rsidSect="00705A5A">
      <w:pgSz w:w="11906" w:h="16838"/>
      <w:pgMar w:top="1134" w:right="1134" w:bottom="1134" w:left="1134"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031E89" w:rsidRDefault="00031E89" w:rsidP="00705A5A">
      <w:pPr>
        <w:spacing w:after="0" w:line="240" w:lineRule="auto"/>
      </w:pPr>
      <w:r>
        <w:separator/>
      </w:r>
    </w:p>
  </w:endnote>
  <w:endnote w:type="continuationSeparator" w:id="0">
    <w:p w:rsidR="00031E89" w:rsidRDefault="00031E89" w:rsidP="00705A5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Arial">
    <w:panose1 w:val="020B0604020202020204"/>
    <w:charset w:val="CC"/>
    <w:family w:val="swiss"/>
    <w:pitch w:val="variable"/>
    <w:sig w:usb0="E0002EFF" w:usb1="C000785B" w:usb2="00000009" w:usb3="00000000" w:csb0="000001FF" w:csb1="00000000"/>
  </w:font>
  <w:font w:name="DengXian">
    <w:panose1 w:val="02010600030101010101"/>
    <w:charset w:val="86"/>
    <w:family w:val="auto"/>
    <w:pitch w:val="variable"/>
    <w:sig w:usb0="A00002BF" w:usb1="38CF7CFA" w:usb2="00000016" w:usb3="00000000" w:csb0="0004000F"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031E89" w:rsidRDefault="00031E89" w:rsidP="00705A5A">
      <w:pPr>
        <w:spacing w:after="0" w:line="240" w:lineRule="auto"/>
      </w:pPr>
      <w:r>
        <w:separator/>
      </w:r>
    </w:p>
  </w:footnote>
  <w:footnote w:type="continuationSeparator" w:id="0">
    <w:p w:rsidR="00031E89" w:rsidRDefault="00031E89" w:rsidP="00705A5A">
      <w:pPr>
        <w:spacing w:after="0" w:line="240" w:lineRule="auto"/>
      </w:pPr>
      <w:r>
        <w:continuationSeparator/>
      </w:r>
    </w:p>
  </w:footnote>
  <w:footnote w:id="1">
    <w:p w:rsidR="00705A5A" w:rsidRDefault="00705A5A" w:rsidP="00705A5A">
      <w:pPr>
        <w:pStyle w:val="a7"/>
      </w:pPr>
      <w:r>
        <w:rPr>
          <w:rStyle w:val="a9"/>
        </w:rPr>
        <w:footnoteRef/>
      </w:r>
      <w:r>
        <w:t xml:space="preserve"> </w:t>
      </w:r>
      <w:proofErr w:type="spellStart"/>
      <w:r>
        <w:rPr>
          <w:rFonts w:ascii="Times New Roman" w:hAnsi="Times New Roman" w:cs="Times New Roman"/>
        </w:rPr>
        <w:t>Вали</w:t>
      </w:r>
      <w:r w:rsidR="00A42BE7">
        <w:rPr>
          <w:rFonts w:ascii="Times New Roman" w:hAnsi="Times New Roman" w:cs="Times New Roman"/>
        </w:rPr>
        <w:t>ахметова</w:t>
      </w:r>
      <w:proofErr w:type="spellEnd"/>
      <w:r w:rsidR="00A42BE7">
        <w:rPr>
          <w:rFonts w:ascii="Times New Roman" w:hAnsi="Times New Roman" w:cs="Times New Roman"/>
        </w:rPr>
        <w:t xml:space="preserve"> </w:t>
      </w:r>
      <w:proofErr w:type="spellStart"/>
      <w:r w:rsidR="00A42BE7">
        <w:rPr>
          <w:rFonts w:ascii="Times New Roman" w:hAnsi="Times New Roman" w:cs="Times New Roman"/>
        </w:rPr>
        <w:t>Гульшат</w:t>
      </w:r>
      <w:proofErr w:type="spellEnd"/>
      <w:r w:rsidR="00A42BE7">
        <w:rPr>
          <w:rFonts w:ascii="Times New Roman" w:hAnsi="Times New Roman" w:cs="Times New Roman"/>
        </w:rPr>
        <w:t xml:space="preserve"> </w:t>
      </w:r>
      <w:proofErr w:type="spellStart"/>
      <w:r w:rsidR="00A42BE7">
        <w:rPr>
          <w:rFonts w:ascii="Times New Roman" w:hAnsi="Times New Roman" w:cs="Times New Roman"/>
        </w:rPr>
        <w:t>Равиловна</w:t>
      </w:r>
      <w:proofErr w:type="spellEnd"/>
      <w:r w:rsidRPr="00CA7DF7">
        <w:rPr>
          <w:rFonts w:ascii="Times New Roman" w:hAnsi="Times New Roman" w:cs="Times New Roman"/>
        </w:rPr>
        <w:t xml:space="preserve">, </w:t>
      </w:r>
      <w:r w:rsidR="00A42BE7">
        <w:rPr>
          <w:rFonts w:ascii="Times New Roman" w:hAnsi="Times New Roman" w:cs="Times New Roman"/>
        </w:rPr>
        <w:t>студент</w:t>
      </w:r>
      <w:r w:rsidRPr="00CA7DF7">
        <w:rPr>
          <w:rFonts w:ascii="Times New Roman" w:hAnsi="Times New Roman" w:cs="Times New Roman"/>
        </w:rPr>
        <w:t xml:space="preserve">, </w:t>
      </w:r>
      <w:r w:rsidRPr="00C2464F">
        <w:rPr>
          <w:rFonts w:ascii="Times New Roman" w:hAnsi="Times New Roman" w:cs="Times New Roman"/>
        </w:rPr>
        <w:t>Уфимский университет науки и технологий</w:t>
      </w:r>
      <w:r w:rsidRPr="00CA7DF7">
        <w:rPr>
          <w:rFonts w:ascii="Times New Roman" w:hAnsi="Times New Roman" w:cs="Times New Roman"/>
        </w:rPr>
        <w:t xml:space="preserve"> (Адрес:</w:t>
      </w:r>
      <w:r w:rsidRPr="00C2464F">
        <w:t xml:space="preserve"> </w:t>
      </w:r>
      <w:r w:rsidR="00A42BE7">
        <w:rPr>
          <w:rFonts w:ascii="Times New Roman" w:hAnsi="Times New Roman" w:cs="Times New Roman"/>
        </w:rPr>
        <w:t>450000</w:t>
      </w:r>
      <w:r w:rsidRPr="00C2464F">
        <w:rPr>
          <w:rFonts w:ascii="Times New Roman" w:hAnsi="Times New Roman" w:cs="Times New Roman"/>
        </w:rPr>
        <w:t xml:space="preserve">, </w:t>
      </w:r>
      <w:r>
        <w:rPr>
          <w:rFonts w:ascii="Times New Roman" w:hAnsi="Times New Roman" w:cs="Times New Roman"/>
        </w:rPr>
        <w:t>Россия,</w:t>
      </w:r>
      <w:r w:rsidRPr="00C2464F">
        <w:rPr>
          <w:rFonts w:ascii="Times New Roman" w:hAnsi="Times New Roman" w:cs="Times New Roman"/>
        </w:rPr>
        <w:t xml:space="preserve"> Приволжский федеральный округ, Республика Башкортостан, г. Уфа,</w:t>
      </w:r>
      <w:r w:rsidR="00A42BE7" w:rsidRPr="00A42BE7">
        <w:rPr>
          <w:rFonts w:ascii="Arial" w:hAnsi="Arial" w:cs="Arial"/>
          <w:color w:val="000000"/>
          <w:shd w:val="clear" w:color="auto" w:fill="FFFFFF"/>
        </w:rPr>
        <w:t xml:space="preserve"> </w:t>
      </w:r>
      <w:proofErr w:type="spellStart"/>
      <w:r w:rsidR="00A42BE7" w:rsidRPr="00A42BE7">
        <w:rPr>
          <w:rFonts w:ascii="Times New Roman" w:hAnsi="Times New Roman" w:cs="Times New Roman"/>
        </w:rPr>
        <w:t>Альшеевский</w:t>
      </w:r>
      <w:proofErr w:type="spellEnd"/>
      <w:r w:rsidR="00A42BE7" w:rsidRPr="00A42BE7">
        <w:rPr>
          <w:rFonts w:ascii="Times New Roman" w:hAnsi="Times New Roman" w:cs="Times New Roman"/>
        </w:rPr>
        <w:t xml:space="preserve"> район, д </w:t>
      </w:r>
      <w:proofErr w:type="spellStart"/>
      <w:r w:rsidR="00A42BE7" w:rsidRPr="00A42BE7">
        <w:rPr>
          <w:rFonts w:ascii="Times New Roman" w:hAnsi="Times New Roman" w:cs="Times New Roman"/>
        </w:rPr>
        <w:t>Кармышево</w:t>
      </w:r>
      <w:proofErr w:type="spellEnd"/>
      <w:r w:rsidRPr="00C2464F">
        <w:rPr>
          <w:rFonts w:ascii="Times New Roman" w:hAnsi="Times New Roman" w:cs="Times New Roman"/>
        </w:rPr>
        <w:t xml:space="preserve"> ул. </w:t>
      </w:r>
      <w:r w:rsidR="00A42BE7">
        <w:rPr>
          <w:rFonts w:ascii="Times New Roman" w:hAnsi="Times New Roman" w:cs="Times New Roman"/>
        </w:rPr>
        <w:t>центральная</w:t>
      </w:r>
      <w:r>
        <w:rPr>
          <w:rFonts w:ascii="Times New Roman" w:hAnsi="Times New Roman" w:cs="Times New Roman"/>
        </w:rPr>
        <w:t xml:space="preserve">, </w:t>
      </w:r>
      <w:r w:rsidR="00A42BE7" w:rsidRPr="00A42BE7">
        <w:rPr>
          <w:rFonts w:ascii="Times New Roman" w:hAnsi="Times New Roman" w:cs="Times New Roman"/>
          <w:lang w:val="en-US"/>
        </w:rPr>
        <w:t>vgulshat</w:t>
      </w:r>
      <w:r w:rsidR="00A42BE7" w:rsidRPr="00A42BE7">
        <w:rPr>
          <w:rFonts w:ascii="Times New Roman" w:hAnsi="Times New Roman" w:cs="Times New Roman"/>
        </w:rPr>
        <w:t>2000@</w:t>
      </w:r>
      <w:r w:rsidR="00A42BE7" w:rsidRPr="00A42BE7">
        <w:rPr>
          <w:rFonts w:ascii="Times New Roman" w:hAnsi="Times New Roman" w:cs="Times New Roman"/>
          <w:lang w:val="en-US"/>
        </w:rPr>
        <w:t>mail</w:t>
      </w:r>
      <w:r w:rsidR="00A42BE7" w:rsidRPr="00A42BE7">
        <w:rPr>
          <w:rFonts w:ascii="Times New Roman" w:hAnsi="Times New Roman" w:cs="Times New Roman"/>
        </w:rPr>
        <w:t>.</w:t>
      </w:r>
      <w:r w:rsidR="00A42BE7" w:rsidRPr="00A42BE7">
        <w:rPr>
          <w:rFonts w:ascii="Times New Roman" w:hAnsi="Times New Roman" w:cs="Times New Roman"/>
          <w:lang w:val="en-US"/>
        </w:rPr>
        <w:t>ru</w:t>
      </w:r>
      <w:r w:rsidRPr="00CA7DF7">
        <w:rPr>
          <w:rFonts w:ascii="Times New Roman" w:hAnsi="Times New Roman" w:cs="Times New Roman"/>
        </w:rPr>
        <w:t>).</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20BE56C1"/>
    <w:multiLevelType w:val="hybridMultilevel"/>
    <w:tmpl w:val="CA465B90"/>
    <w:lvl w:ilvl="0" w:tplc="138A11AA">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 w15:restartNumberingAfterBreak="0">
    <w:nsid w:val="241E3978"/>
    <w:multiLevelType w:val="hybridMultilevel"/>
    <w:tmpl w:val="27D6B7F4"/>
    <w:lvl w:ilvl="0" w:tplc="89A62F8A">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5422B"/>
    <w:rsid w:val="00031E89"/>
    <w:rsid w:val="00417C91"/>
    <w:rsid w:val="005E2F10"/>
    <w:rsid w:val="005E440F"/>
    <w:rsid w:val="006D3752"/>
    <w:rsid w:val="00705A5A"/>
    <w:rsid w:val="007B5B8E"/>
    <w:rsid w:val="00A42BE7"/>
    <w:rsid w:val="00CA50B1"/>
    <w:rsid w:val="00D5422B"/>
    <w:rsid w:val="00DF7C11"/>
    <w:rsid w:val="00E54ADA"/>
    <w:rsid w:val="00E77F1E"/>
    <w:rsid w:val="00E935CB"/>
  </w:rsids>
  <m:mathPr>
    <m:mathFont m:val="Cambria Math"/>
    <m:brkBin m:val="before"/>
    <m:brkBinSub m:val="--"/>
    <m:smallFrac m:val="0"/>
    <m:dispDef/>
    <m:lMargin m:val="0"/>
    <m:rMargin m:val="0"/>
    <m:defJc m:val="centerGroup"/>
    <m:wrapIndent m:val="1440"/>
    <m:intLim m:val="subSup"/>
    <m:naryLim m:val="undOvr"/>
  </m:mathPr>
  <w:themeFontLang w:val="ru-RU"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E37B8650-005A-456C-9EF5-F0CE912B324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ru-RU" w:eastAsia="zh-CN"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A42BE7"/>
    <w:rPr>
      <w:lang w:eastAsia="en-US"/>
    </w:rPr>
  </w:style>
  <w:style w:type="paragraph" w:styleId="1">
    <w:name w:val="heading 1"/>
    <w:basedOn w:val="a"/>
    <w:next w:val="a"/>
    <w:link w:val="10"/>
    <w:uiPriority w:val="9"/>
    <w:qFormat/>
    <w:rsid w:val="007B5B8E"/>
    <w:pPr>
      <w:keepNext/>
      <w:keepLines/>
      <w:spacing w:after="0" w:line="360" w:lineRule="auto"/>
      <w:jc w:val="center"/>
      <w:outlineLvl w:val="0"/>
    </w:pPr>
    <w:rPr>
      <w:rFonts w:ascii="Times New Roman" w:eastAsiaTheme="majorEastAsia" w:hAnsi="Times New Roman" w:cstheme="majorBidi"/>
      <w:bCs/>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7B5B8E"/>
    <w:rPr>
      <w:rFonts w:ascii="Times New Roman" w:eastAsiaTheme="majorEastAsia" w:hAnsi="Times New Roman" w:cstheme="majorBidi"/>
      <w:bCs/>
      <w:sz w:val="28"/>
      <w:szCs w:val="28"/>
    </w:rPr>
  </w:style>
  <w:style w:type="paragraph" w:styleId="a3">
    <w:name w:val="Subtitle"/>
    <w:basedOn w:val="a"/>
    <w:next w:val="a"/>
    <w:link w:val="a4"/>
    <w:autoRedefine/>
    <w:uiPriority w:val="11"/>
    <w:qFormat/>
    <w:rsid w:val="007B5B8E"/>
    <w:pPr>
      <w:numPr>
        <w:ilvl w:val="1"/>
      </w:numPr>
      <w:spacing w:after="0" w:line="360" w:lineRule="auto"/>
      <w:ind w:firstLine="709"/>
      <w:jc w:val="both"/>
    </w:pPr>
    <w:rPr>
      <w:rFonts w:ascii="Times New Roman" w:hAnsi="Times New Roman"/>
      <w:spacing w:val="15"/>
      <w:sz w:val="28"/>
    </w:rPr>
  </w:style>
  <w:style w:type="character" w:customStyle="1" w:styleId="a4">
    <w:name w:val="Подзаголовок Знак"/>
    <w:basedOn w:val="a0"/>
    <w:link w:val="a3"/>
    <w:uiPriority w:val="11"/>
    <w:rsid w:val="007B5B8E"/>
    <w:rPr>
      <w:rFonts w:ascii="Times New Roman" w:hAnsi="Times New Roman"/>
      <w:spacing w:val="15"/>
      <w:sz w:val="28"/>
    </w:rPr>
  </w:style>
  <w:style w:type="paragraph" w:styleId="11">
    <w:name w:val="toc 1"/>
    <w:basedOn w:val="a"/>
    <w:next w:val="a"/>
    <w:autoRedefine/>
    <w:uiPriority w:val="39"/>
    <w:unhideWhenUsed/>
    <w:rsid w:val="007B5B8E"/>
    <w:pPr>
      <w:spacing w:after="100" w:line="276" w:lineRule="auto"/>
    </w:pPr>
    <w:rPr>
      <w:rFonts w:ascii="Times New Roman" w:hAnsi="Times New Roman"/>
      <w:sz w:val="28"/>
      <w:lang w:eastAsia="ru-RU"/>
    </w:rPr>
  </w:style>
  <w:style w:type="character" w:styleId="a5">
    <w:name w:val="Hyperlink"/>
    <w:basedOn w:val="a0"/>
    <w:uiPriority w:val="99"/>
    <w:unhideWhenUsed/>
    <w:rsid w:val="00705A5A"/>
    <w:rPr>
      <w:color w:val="0000FF"/>
      <w:u w:val="single"/>
    </w:rPr>
  </w:style>
  <w:style w:type="paragraph" w:styleId="a6">
    <w:name w:val="List Paragraph"/>
    <w:basedOn w:val="a"/>
    <w:uiPriority w:val="34"/>
    <w:qFormat/>
    <w:rsid w:val="00705A5A"/>
    <w:pPr>
      <w:ind w:left="720"/>
      <w:contextualSpacing/>
    </w:pPr>
  </w:style>
  <w:style w:type="paragraph" w:styleId="a7">
    <w:name w:val="footnote text"/>
    <w:basedOn w:val="a"/>
    <w:link w:val="a8"/>
    <w:uiPriority w:val="99"/>
    <w:semiHidden/>
    <w:unhideWhenUsed/>
    <w:rsid w:val="00705A5A"/>
    <w:pPr>
      <w:spacing w:after="0" w:line="240" w:lineRule="auto"/>
    </w:pPr>
    <w:rPr>
      <w:sz w:val="20"/>
      <w:szCs w:val="20"/>
    </w:rPr>
  </w:style>
  <w:style w:type="character" w:customStyle="1" w:styleId="a8">
    <w:name w:val="Текст сноски Знак"/>
    <w:basedOn w:val="a0"/>
    <w:link w:val="a7"/>
    <w:uiPriority w:val="99"/>
    <w:semiHidden/>
    <w:rsid w:val="00705A5A"/>
    <w:rPr>
      <w:sz w:val="20"/>
      <w:szCs w:val="20"/>
      <w:lang w:eastAsia="en-US"/>
    </w:rPr>
  </w:style>
  <w:style w:type="character" w:styleId="a9">
    <w:name w:val="footnote reference"/>
    <w:basedOn w:val="a0"/>
    <w:uiPriority w:val="99"/>
    <w:semiHidden/>
    <w:unhideWhenUsed/>
    <w:rsid w:val="00705A5A"/>
    <w:rPr>
      <w:vertAlign w:val="superscript"/>
    </w:rPr>
  </w:style>
  <w:style w:type="table" w:customStyle="1" w:styleId="2">
    <w:name w:val="Сетка таблицы2"/>
    <w:basedOn w:val="a1"/>
    <w:next w:val="aa"/>
    <w:uiPriority w:val="59"/>
    <w:rsid w:val="00DF7C11"/>
    <w:pPr>
      <w:spacing w:after="0" w:line="240" w:lineRule="auto"/>
    </w:pPr>
    <w:rPr>
      <w:rFonts w:eastAsia="Calibri"/>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aa">
    <w:name w:val="Table Grid"/>
    <w:basedOn w:val="a1"/>
    <w:uiPriority w:val="39"/>
    <w:rsid w:val="00DF7C1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chart" Target="charts/chart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charts/_rels/chart1.xml.rels><?xml version="1.0" encoding="UTF-8" standalone="yes"?>
<Relationships xmlns="http://schemas.openxmlformats.org/package/2006/relationships"><Relationship Id="rId3" Type="http://schemas.openxmlformats.org/officeDocument/2006/relationships/package" Target="../embeddings/_____Microsoft_Excel1.xlsx"/><Relationship Id="rId2" Type="http://schemas.microsoft.com/office/2011/relationships/chartColorStyle" Target="colors1.xml"/><Relationship Id="rId1" Type="http://schemas.microsoft.com/office/2011/relationships/chartStyle" Target="style1.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0"/>
    <c:plotArea>
      <c:layout/>
      <c:barChart>
        <c:barDir val="bar"/>
        <c:grouping val="clustered"/>
        <c:varyColors val="0"/>
        <c:ser>
          <c:idx val="0"/>
          <c:order val="0"/>
          <c:tx>
            <c:strRef>
              <c:f>Лист1!$B$1</c:f>
              <c:strCache>
                <c:ptCount val="1"/>
                <c:pt idx="0">
                  <c:v>Ульяновская область</c:v>
                </c:pt>
              </c:strCache>
            </c:strRef>
          </c:tx>
          <c:spPr>
            <a:pattFill prst="wave">
              <a:fgClr>
                <a:schemeClr val="tx1"/>
              </a:fgClr>
              <a:bgClr>
                <a:schemeClr val="bg1"/>
              </a:bgClr>
            </a:pattFill>
            <a:ln>
              <a:noFill/>
            </a:ln>
            <a:effectLst>
              <a:innerShdw blurRad="114300">
                <a:schemeClr val="dk1">
                  <a:tint val="88500"/>
                </a:schemeClr>
              </a:innerShdw>
            </a:effectLst>
          </c:spPr>
          <c:invertIfNegative val="0"/>
          <c:cat>
            <c:numRef>
              <c:f>Лист1!$A$2</c:f>
              <c:numCache>
                <c:formatCode>General</c:formatCode>
                <c:ptCount val="1"/>
              </c:numCache>
            </c:numRef>
          </c:cat>
          <c:val>
            <c:numRef>
              <c:f>Лист1!$B$2</c:f>
              <c:numCache>
                <c:formatCode>General</c:formatCode>
                <c:ptCount val="1"/>
                <c:pt idx="0">
                  <c:v>113.5</c:v>
                </c:pt>
              </c:numCache>
            </c:numRef>
          </c:val>
        </c:ser>
        <c:ser>
          <c:idx val="1"/>
          <c:order val="1"/>
          <c:tx>
            <c:strRef>
              <c:f>Лист1!$C$1</c:f>
              <c:strCache>
                <c:ptCount val="1"/>
                <c:pt idx="0">
                  <c:v>Республика Марий эл</c:v>
                </c:pt>
              </c:strCache>
            </c:strRef>
          </c:tx>
          <c:spPr>
            <a:pattFill prst="wdDnDiag">
              <a:fgClr>
                <a:schemeClr val="tx1"/>
              </a:fgClr>
              <a:bgClr>
                <a:schemeClr val="bg1"/>
              </a:bgClr>
            </a:pattFill>
            <a:ln>
              <a:noFill/>
            </a:ln>
            <a:effectLst>
              <a:innerShdw blurRad="114300">
                <a:schemeClr val="dk1">
                  <a:tint val="55000"/>
                </a:schemeClr>
              </a:innerShdw>
            </a:effectLst>
          </c:spPr>
          <c:invertIfNegative val="0"/>
          <c:cat>
            <c:numRef>
              <c:f>Лист1!$A$2</c:f>
              <c:numCache>
                <c:formatCode>General</c:formatCode>
                <c:ptCount val="1"/>
              </c:numCache>
            </c:numRef>
          </c:cat>
          <c:val>
            <c:numRef>
              <c:f>Лист1!$C$2</c:f>
              <c:numCache>
                <c:formatCode>General</c:formatCode>
                <c:ptCount val="1"/>
                <c:pt idx="0">
                  <c:v>113</c:v>
                </c:pt>
              </c:numCache>
            </c:numRef>
          </c:val>
        </c:ser>
        <c:ser>
          <c:idx val="2"/>
          <c:order val="2"/>
          <c:tx>
            <c:strRef>
              <c:f>Лист1!$D$1</c:f>
              <c:strCache>
                <c:ptCount val="1"/>
                <c:pt idx="0">
                  <c:v>Удмуртская республика</c:v>
                </c:pt>
              </c:strCache>
            </c:strRef>
          </c:tx>
          <c:spPr>
            <a:pattFill prst="wdUpDiag">
              <a:fgClr>
                <a:schemeClr val="tx1"/>
              </a:fgClr>
              <a:bgClr>
                <a:schemeClr val="bg1"/>
              </a:bgClr>
            </a:pattFill>
            <a:ln>
              <a:noFill/>
            </a:ln>
            <a:effectLst>
              <a:innerShdw blurRad="114300">
                <a:schemeClr val="dk1">
                  <a:tint val="75000"/>
                </a:schemeClr>
              </a:innerShdw>
            </a:effectLst>
          </c:spPr>
          <c:invertIfNegative val="0"/>
          <c:cat>
            <c:numRef>
              <c:f>Лист1!$A$2</c:f>
              <c:numCache>
                <c:formatCode>General</c:formatCode>
                <c:ptCount val="1"/>
              </c:numCache>
            </c:numRef>
          </c:cat>
          <c:val>
            <c:numRef>
              <c:f>Лист1!$D$2</c:f>
              <c:numCache>
                <c:formatCode>General</c:formatCode>
                <c:ptCount val="1"/>
                <c:pt idx="0">
                  <c:v>112.8</c:v>
                </c:pt>
              </c:numCache>
            </c:numRef>
          </c:val>
        </c:ser>
        <c:ser>
          <c:idx val="3"/>
          <c:order val="3"/>
          <c:tx>
            <c:strRef>
              <c:f>Лист1!$E$1</c:f>
              <c:strCache>
                <c:ptCount val="1"/>
                <c:pt idx="0">
                  <c:v>Самарская область</c:v>
                </c:pt>
              </c:strCache>
            </c:strRef>
          </c:tx>
          <c:spPr>
            <a:pattFill prst="dkUpDiag">
              <a:fgClr>
                <a:schemeClr val="tx1"/>
              </a:fgClr>
              <a:bgClr>
                <a:schemeClr val="bg1"/>
              </a:bgClr>
            </a:pattFill>
            <a:ln>
              <a:noFill/>
            </a:ln>
            <a:effectLst>
              <a:innerShdw blurRad="114300">
                <a:schemeClr val="dk1">
                  <a:tint val="98500"/>
                </a:schemeClr>
              </a:innerShdw>
            </a:effectLst>
          </c:spPr>
          <c:invertIfNegative val="0"/>
          <c:cat>
            <c:numRef>
              <c:f>Лист1!$A$2</c:f>
              <c:numCache>
                <c:formatCode>General</c:formatCode>
                <c:ptCount val="1"/>
              </c:numCache>
            </c:numRef>
          </c:cat>
          <c:val>
            <c:numRef>
              <c:f>Лист1!$E$2</c:f>
              <c:numCache>
                <c:formatCode>General</c:formatCode>
                <c:ptCount val="1"/>
                <c:pt idx="0">
                  <c:v>112.7</c:v>
                </c:pt>
              </c:numCache>
            </c:numRef>
          </c:val>
        </c:ser>
        <c:ser>
          <c:idx val="4"/>
          <c:order val="4"/>
          <c:tx>
            <c:strRef>
              <c:f>Лист1!$F$1</c:f>
              <c:strCache>
                <c:ptCount val="1"/>
                <c:pt idx="0">
                  <c:v>Пермский край</c:v>
                </c:pt>
              </c:strCache>
            </c:strRef>
          </c:tx>
          <c:spPr>
            <a:pattFill prst="dkVert">
              <a:fgClr>
                <a:schemeClr val="tx1"/>
              </a:fgClr>
              <a:bgClr>
                <a:schemeClr val="bg1"/>
              </a:bgClr>
            </a:pattFill>
            <a:ln>
              <a:noFill/>
            </a:ln>
            <a:effectLst>
              <a:innerShdw blurRad="114300">
                <a:schemeClr val="dk1">
                  <a:tint val="30000"/>
                </a:schemeClr>
              </a:innerShdw>
            </a:effectLst>
          </c:spPr>
          <c:invertIfNegative val="0"/>
          <c:cat>
            <c:numRef>
              <c:f>Лист1!$A$2</c:f>
              <c:numCache>
                <c:formatCode>General</c:formatCode>
                <c:ptCount val="1"/>
              </c:numCache>
            </c:numRef>
          </c:cat>
          <c:val>
            <c:numRef>
              <c:f>Лист1!$F$2</c:f>
              <c:numCache>
                <c:formatCode>General</c:formatCode>
                <c:ptCount val="1"/>
                <c:pt idx="0">
                  <c:v>112.4</c:v>
                </c:pt>
              </c:numCache>
            </c:numRef>
          </c:val>
        </c:ser>
        <c:ser>
          <c:idx val="5"/>
          <c:order val="5"/>
          <c:tx>
            <c:strRef>
              <c:f>Лист1!$G$1</c:f>
              <c:strCache>
                <c:ptCount val="1"/>
                <c:pt idx="0">
                  <c:v>Республика Татарстан</c:v>
                </c:pt>
              </c:strCache>
            </c:strRef>
          </c:tx>
          <c:spPr>
            <a:pattFill prst="dkHorz">
              <a:fgClr>
                <a:schemeClr val="tx1"/>
              </a:fgClr>
              <a:bgClr>
                <a:schemeClr val="bg1"/>
              </a:bgClr>
            </a:pattFill>
            <a:ln>
              <a:noFill/>
            </a:ln>
            <a:effectLst>
              <a:innerShdw blurRad="114300">
                <a:schemeClr val="dk1">
                  <a:tint val="60000"/>
                </a:schemeClr>
              </a:innerShdw>
            </a:effectLst>
          </c:spPr>
          <c:invertIfNegative val="0"/>
          <c:cat>
            <c:numRef>
              <c:f>Лист1!$A$2</c:f>
              <c:numCache>
                <c:formatCode>General</c:formatCode>
                <c:ptCount val="1"/>
              </c:numCache>
            </c:numRef>
          </c:cat>
          <c:val>
            <c:numRef>
              <c:f>Лист1!$G$2</c:f>
              <c:numCache>
                <c:formatCode>General</c:formatCode>
                <c:ptCount val="1"/>
                <c:pt idx="0">
                  <c:v>111.4</c:v>
                </c:pt>
              </c:numCache>
            </c:numRef>
          </c:val>
        </c:ser>
        <c:ser>
          <c:idx val="6"/>
          <c:order val="6"/>
          <c:tx>
            <c:strRef>
              <c:f>Лист1!$H$1</c:f>
              <c:strCache>
                <c:ptCount val="1"/>
                <c:pt idx="0">
                  <c:v>Республика Башкортостан</c:v>
                </c:pt>
              </c:strCache>
            </c:strRef>
          </c:tx>
          <c:spPr>
            <a:pattFill prst="horzBrick">
              <a:fgClr>
                <a:schemeClr val="tx1"/>
              </a:fgClr>
              <a:bgClr>
                <a:schemeClr val="bg1"/>
              </a:bgClr>
            </a:pattFill>
            <a:ln>
              <a:noFill/>
            </a:ln>
            <a:effectLst>
              <a:innerShdw blurRad="114300">
                <a:schemeClr val="dk1">
                  <a:tint val="80000"/>
                </a:schemeClr>
              </a:innerShdw>
            </a:effectLst>
          </c:spPr>
          <c:invertIfNegative val="0"/>
          <c:cat>
            <c:numRef>
              <c:f>Лист1!$A$2</c:f>
              <c:numCache>
                <c:formatCode>General</c:formatCode>
                <c:ptCount val="1"/>
              </c:numCache>
            </c:numRef>
          </c:cat>
          <c:val>
            <c:numRef>
              <c:f>Лист1!$H$2</c:f>
              <c:numCache>
                <c:formatCode>General</c:formatCode>
                <c:ptCount val="1"/>
                <c:pt idx="0">
                  <c:v>111.3</c:v>
                </c:pt>
              </c:numCache>
            </c:numRef>
          </c:val>
        </c:ser>
        <c:dLbls>
          <c:showLegendKey val="0"/>
          <c:showVal val="0"/>
          <c:showCatName val="0"/>
          <c:showSerName val="0"/>
          <c:showPercent val="0"/>
          <c:showBubbleSize val="0"/>
        </c:dLbls>
        <c:gapWidth val="227"/>
        <c:overlap val="-48"/>
        <c:axId val="716890096"/>
        <c:axId val="716890640"/>
      </c:barChart>
      <c:catAx>
        <c:axId val="716890096"/>
        <c:scaling>
          <c:orientation val="minMax"/>
        </c:scaling>
        <c:delete val="0"/>
        <c:axPos val="l"/>
        <c:numFmt formatCode="General" sourceLinked="1"/>
        <c:majorTickMark val="none"/>
        <c:minorTickMark val="none"/>
        <c:tickLblPos val="nextTo"/>
        <c:spPr>
          <a:noFill/>
          <a:ln w="19050"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716890640"/>
        <c:crosses val="autoZero"/>
        <c:auto val="1"/>
        <c:lblAlgn val="ctr"/>
        <c:lblOffset val="100"/>
        <c:noMultiLvlLbl val="0"/>
      </c:catAx>
      <c:valAx>
        <c:axId val="716890640"/>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716890096"/>
        <c:crosses val="autoZero"/>
        <c:crossBetween val="between"/>
      </c:valAx>
      <c:spPr>
        <a:noFill/>
        <a:ln>
          <a:noFill/>
        </a:ln>
        <a:effectLst/>
      </c:spPr>
    </c:plotArea>
    <c:legend>
      <c:legendPos val="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showDLblsOverMax val="0"/>
  </c:chart>
  <c:spPr>
    <a:solidFill>
      <a:schemeClr val="bg1"/>
    </a:solidFill>
    <a:ln w="9525" cap="flat" cmpd="sng" algn="ctr">
      <a:noFill/>
      <a:round/>
    </a:ln>
    <a:effectLst/>
  </c:spPr>
  <c:txPr>
    <a:bodyPr/>
    <a:lstStyle/>
    <a:p>
      <a:pPr>
        <a:defRPr/>
      </a:pPr>
      <a:endParaRPr lang="ru-RU"/>
    </a:p>
  </c:txPr>
  <c:externalData r:id="rId3">
    <c:autoUpdate val="0"/>
  </c:externalData>
</c:chartSpace>
</file>

<file path=word/charts/colors1.xml><?xml version="1.0" encoding="utf-8"?>
<cs:colorStyle xmlns:cs="http://schemas.microsoft.com/office/drawing/2012/chartStyle" xmlns:a="http://schemas.openxmlformats.org/drawingml/2006/main" meth="cycle" id="20">
  <a:schemeClr val="dk1"/>
  <cs:variation>
    <a:tint val="88500"/>
  </cs:variation>
  <cs:variation>
    <a:tint val="55000"/>
  </cs:variation>
  <cs:variation>
    <a:tint val="75000"/>
  </cs:variation>
  <cs:variation>
    <a:tint val="98500"/>
  </cs:variation>
  <cs:variation>
    <a:tint val="30000"/>
  </cs:variation>
  <cs:variation>
    <a:tint val="60000"/>
  </cs:variation>
  <cs:variation>
    <a:tint val="80000"/>
  </cs:variation>
</cs:colorStyle>
</file>

<file path=word/charts/style1.xml><?xml version="1.0" encoding="utf-8"?>
<cs:chartStyle xmlns:cs="http://schemas.microsoft.com/office/drawing/2012/chartStyle" xmlns:a="http://schemas.openxmlformats.org/drawingml/2006/main" id="217">
  <cs:axisTitle>
    <cs:lnRef idx="0"/>
    <cs:fillRef idx="0"/>
    <cs:effectRef idx="0"/>
    <cs:fontRef idx="minor">
      <a:schemeClr val="tx1">
        <a:lumMod val="65000"/>
        <a:lumOff val="35000"/>
      </a:schemeClr>
    </cs:fontRef>
    <cs:defRPr sz="900" b="1" kern="1200"/>
  </cs:axisTitle>
  <cs:categoryAxis>
    <cs:lnRef idx="0"/>
    <cs:fillRef idx="0"/>
    <cs:effectRef idx="0"/>
    <cs:fontRef idx="minor">
      <a:schemeClr val="tx1">
        <a:lumMod val="65000"/>
        <a:lumOff val="35000"/>
      </a:schemeClr>
    </cs:fontRef>
    <cs:spPr>
      <a:ln w="19050"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styleClr val="auto"/>
    </cs:effectRef>
    <cs:fontRef idx="minor">
      <a:schemeClr val="dk1"/>
    </cs:fontRef>
    <cs:spPr>
      <a:pattFill prst="narVert">
        <a:fgClr>
          <a:schemeClr val="phClr"/>
        </a:fgClr>
        <a:bgClr>
          <a:schemeClr val="phClr">
            <a:lumMod val="20000"/>
            <a:lumOff val="80000"/>
          </a:schemeClr>
        </a:bgClr>
      </a:pattFill>
      <a:effectLst>
        <a:innerShdw blurRad="114300">
          <a:schemeClr val="phClr"/>
        </a:innerShdw>
      </a:effectLst>
    </cs:spPr>
  </cs:dataPoint>
  <cs:dataPoint3D>
    <cs:lnRef idx="0"/>
    <cs:fillRef idx="0">
      <cs:styleClr val="auto"/>
    </cs:fillRef>
    <cs:effectRef idx="0"/>
    <cs:fontRef idx="minor">
      <a:schemeClr val="dk1"/>
    </cs:fontRef>
    <cs:spPr>
      <a:pattFill prst="narVert">
        <a:fgClr>
          <a:schemeClr val="phClr"/>
        </a:fgClr>
        <a:bgClr>
          <a:schemeClr val="phClr">
            <a:lumMod val="20000"/>
            <a:lumOff val="80000"/>
          </a:schemeClr>
        </a:bgClr>
      </a:pattFill>
      <a:effectLst>
        <a:innerShdw blurRad="114300">
          <a:schemeClr val="phClr"/>
        </a:innerShdw>
      </a:effectLst>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50000"/>
            <a:lumOff val="50000"/>
          </a:schemeClr>
        </a:solidFill>
      </a:ln>
    </cs:spPr>
  </cs:downBar>
  <cs:dropLine>
    <cs:lnRef idx="0"/>
    <cs:fillRef idx="0"/>
    <cs:effectRef idx="0"/>
    <cs:fontRef idx="minor">
      <a:schemeClr val="dk1"/>
    </cs:fontRef>
    <cs:spPr>
      <a:ln w="9525">
        <a:solidFill>
          <a:schemeClr val="tx1">
            <a:lumMod val="35000"/>
            <a:lumOff val="65000"/>
          </a:schemeClr>
        </a:solidFill>
        <a:round/>
      </a:ln>
    </cs:spPr>
  </cs:dropLine>
  <cs:errorBar>
    <cs:lnRef idx="0"/>
    <cs:fillRef idx="0"/>
    <cs:effectRef idx="0"/>
    <cs:fontRef idx="minor">
      <a:schemeClr val="dk1"/>
    </cs:fontRef>
    <cs:spPr>
      <a:ln w="9525">
        <a:solidFill>
          <a:schemeClr val="tx1">
            <a:lumMod val="50000"/>
            <a:lumOff val="50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a:solidFill>
          <a:schemeClr val="tx1">
            <a:lumMod val="15000"/>
            <a:lumOff val="85000"/>
          </a:schemeClr>
        </a:solidFill>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35000"/>
            <a:lumOff val="65000"/>
          </a:schemeClr>
        </a:solidFill>
        <a:round/>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50000"/>
        <a:lumOff val="50000"/>
      </a:schemeClr>
    </cs:fontRef>
    <cs:defRPr sz="1800" b="1" kern="1200" cap="all" spc="15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50000"/>
            <a:lumOff val="50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dk1"/>
    </cs:fontRef>
  </cs:wall>
</cs:chartStyl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23</TotalTime>
  <Pages>4</Pages>
  <Words>1512</Words>
  <Characters>8622</Characters>
  <Application>Microsoft Office Word</Application>
  <DocSecurity>0</DocSecurity>
  <Lines>71</Lines>
  <Paragraphs>20</Paragraphs>
  <ScaleCrop>false</ScaleCrop>
  <HeadingPairs>
    <vt:vector size="2" baseType="variant">
      <vt:variant>
        <vt:lpstr>Название</vt:lpstr>
      </vt:variant>
      <vt:variant>
        <vt:i4>1</vt:i4>
      </vt:variant>
    </vt:vector>
  </HeadingPairs>
  <TitlesOfParts>
    <vt:vector size="1" baseType="lpstr">
      <vt:lpstr/>
    </vt:vector>
  </TitlesOfParts>
  <Company>diakov.net</Company>
  <LinksUpToDate>false</LinksUpToDate>
  <CharactersWithSpaces>10114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Учетная запись Майкрософт</dc:creator>
  <cp:keywords/>
  <dc:description/>
  <cp:lastModifiedBy>Учетная запись Майкрософт</cp:lastModifiedBy>
  <cp:revision>3</cp:revision>
  <dcterms:created xsi:type="dcterms:W3CDTF">2023-05-14T14:31:00Z</dcterms:created>
  <dcterms:modified xsi:type="dcterms:W3CDTF">2023-05-14T15:10:00Z</dcterms:modified>
</cp:coreProperties>
</file>