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27E82" w:rsidRPr="001B5953" w:rsidRDefault="00A16C99" w:rsidP="00353244">
      <w:pPr>
        <w:pStyle w:val="12"/>
        <w:spacing w:line="240" w:lineRule="auto"/>
        <w:ind w:firstLine="709"/>
        <w:rPr>
          <w:caps/>
          <w:szCs w:val="24"/>
        </w:rPr>
      </w:pPr>
      <w:bookmarkStart w:id="0" w:name="_Toc76714064"/>
      <w:r>
        <w:rPr>
          <w:szCs w:val="24"/>
          <w:lang w:eastAsia="ru-RU"/>
        </w:rPr>
        <w:t>Свинин</w:t>
      </w:r>
      <w:r w:rsidR="00827E82" w:rsidRPr="001B5953">
        <w:rPr>
          <w:szCs w:val="24"/>
          <w:lang w:eastAsia="ru-RU"/>
        </w:rPr>
        <w:t xml:space="preserve"> </w:t>
      </w:r>
      <w:r>
        <w:rPr>
          <w:szCs w:val="24"/>
          <w:lang w:eastAsia="ru-RU"/>
        </w:rPr>
        <w:t>С</w:t>
      </w:r>
      <w:r w:rsidR="00827E82" w:rsidRPr="001B5953">
        <w:rPr>
          <w:szCs w:val="24"/>
          <w:lang w:eastAsia="ru-RU"/>
        </w:rPr>
        <w:t>.</w:t>
      </w:r>
      <w:r>
        <w:rPr>
          <w:szCs w:val="24"/>
          <w:lang w:eastAsia="ru-RU"/>
        </w:rPr>
        <w:t>В.</w:t>
      </w:r>
      <w:r w:rsidR="00827E82" w:rsidRPr="001B5953">
        <w:rPr>
          <w:caps/>
          <w:szCs w:val="24"/>
          <w:vertAlign w:val="superscript"/>
        </w:rPr>
        <w:footnoteReference w:customMarkFollows="1" w:id="1"/>
        <w:t>1</w:t>
      </w:r>
      <w:bookmarkEnd w:id="0"/>
    </w:p>
    <w:p w:rsidR="00827E82" w:rsidRPr="001B5953" w:rsidRDefault="00827E82" w:rsidP="00353244">
      <w:pPr>
        <w:spacing w:after="0" w:line="240" w:lineRule="auto"/>
        <w:ind w:firstLine="709"/>
        <w:jc w:val="right"/>
        <w:rPr>
          <w:rFonts w:ascii="Times New Roman" w:hAnsi="Times New Roman" w:cs="Times New Roman"/>
          <w:b/>
          <w:sz w:val="24"/>
          <w:szCs w:val="24"/>
        </w:rPr>
      </w:pPr>
    </w:p>
    <w:p w:rsidR="00827E82" w:rsidRPr="001B5953" w:rsidRDefault="00A16C99" w:rsidP="00353244">
      <w:pPr>
        <w:pStyle w:val="123"/>
        <w:ind w:firstLine="709"/>
        <w:rPr>
          <w:rFonts w:eastAsia="Times New Roman" w:cs="Times New Roman"/>
          <w:szCs w:val="24"/>
        </w:rPr>
      </w:pPr>
      <w:r>
        <w:rPr>
          <w:rFonts w:eastAsia="Times New Roman" w:cs="Times New Roman"/>
          <w:szCs w:val="24"/>
        </w:rPr>
        <w:t xml:space="preserve">Некоторые факторы влияния </w:t>
      </w:r>
      <w:r w:rsidRPr="00A16C99">
        <w:rPr>
          <w:rFonts w:eastAsia="Times New Roman" w:cs="Times New Roman"/>
          <w:szCs w:val="24"/>
        </w:rPr>
        <w:t>корпоративн</w:t>
      </w:r>
      <w:r>
        <w:rPr>
          <w:rFonts w:eastAsia="Times New Roman" w:cs="Times New Roman"/>
          <w:szCs w:val="24"/>
        </w:rPr>
        <w:t>ой</w:t>
      </w:r>
      <w:r w:rsidRPr="00A16C99">
        <w:rPr>
          <w:rFonts w:eastAsia="Times New Roman" w:cs="Times New Roman"/>
          <w:szCs w:val="24"/>
        </w:rPr>
        <w:t xml:space="preserve"> социальн</w:t>
      </w:r>
      <w:r>
        <w:rPr>
          <w:rFonts w:eastAsia="Times New Roman" w:cs="Times New Roman"/>
          <w:szCs w:val="24"/>
        </w:rPr>
        <w:t>ой</w:t>
      </w:r>
      <w:r w:rsidRPr="00A16C99">
        <w:rPr>
          <w:rFonts w:eastAsia="Times New Roman" w:cs="Times New Roman"/>
          <w:szCs w:val="24"/>
        </w:rPr>
        <w:t xml:space="preserve"> ответственност</w:t>
      </w:r>
      <w:r>
        <w:rPr>
          <w:rFonts w:eastAsia="Times New Roman" w:cs="Times New Roman"/>
          <w:szCs w:val="24"/>
        </w:rPr>
        <w:t>и</w:t>
      </w:r>
      <w:r w:rsidRPr="00A16C99">
        <w:rPr>
          <w:rFonts w:eastAsia="Times New Roman" w:cs="Times New Roman"/>
          <w:szCs w:val="24"/>
        </w:rPr>
        <w:t xml:space="preserve"> промышленных предприятий</w:t>
      </w:r>
      <w:r w:rsidRPr="001B5953">
        <w:rPr>
          <w:rFonts w:eastAsia="Times New Roman" w:cs="Times New Roman"/>
          <w:szCs w:val="24"/>
        </w:rPr>
        <w:t xml:space="preserve"> </w:t>
      </w:r>
      <w:r>
        <w:rPr>
          <w:rFonts w:eastAsia="Times New Roman" w:cs="Times New Roman"/>
          <w:szCs w:val="24"/>
        </w:rPr>
        <w:t xml:space="preserve">Мурманской области на региональную </w:t>
      </w:r>
      <w:r w:rsidR="00395BB4">
        <w:rPr>
          <w:rFonts w:eastAsia="Times New Roman" w:cs="Times New Roman"/>
          <w:szCs w:val="24"/>
        </w:rPr>
        <w:t>социально-экономическую систему</w:t>
      </w:r>
    </w:p>
    <w:p w:rsidR="003C5122" w:rsidRDefault="003C5122" w:rsidP="00353244">
      <w:pPr>
        <w:spacing w:after="0" w:line="240" w:lineRule="auto"/>
        <w:ind w:firstLine="425"/>
        <w:jc w:val="both"/>
        <w:rPr>
          <w:rFonts w:ascii="Times New Roman" w:hAnsi="Times New Roman" w:cs="Times New Roman"/>
          <w:bCs/>
          <w:color w:val="231F20"/>
          <w:sz w:val="24"/>
          <w:szCs w:val="24"/>
        </w:rPr>
      </w:pPr>
    </w:p>
    <w:p w:rsidR="003C5122" w:rsidRDefault="00827E82" w:rsidP="00353244">
      <w:pPr>
        <w:spacing w:after="0" w:line="240" w:lineRule="auto"/>
        <w:ind w:firstLine="425"/>
        <w:jc w:val="both"/>
        <w:rPr>
          <w:rFonts w:ascii="Times New Roman" w:hAnsi="Times New Roman" w:cs="Times New Roman"/>
          <w:i/>
          <w:sz w:val="24"/>
          <w:szCs w:val="24"/>
        </w:rPr>
      </w:pPr>
      <w:r w:rsidRPr="008C75C1">
        <w:rPr>
          <w:rFonts w:ascii="Times New Roman" w:hAnsi="Times New Roman" w:cs="Times New Roman"/>
          <w:b/>
          <w:bCs/>
          <w:iCs/>
          <w:sz w:val="24"/>
          <w:szCs w:val="24"/>
        </w:rPr>
        <w:t>Аннотация:</w:t>
      </w:r>
      <w:r w:rsidRPr="001B5953">
        <w:rPr>
          <w:rFonts w:ascii="Times New Roman" w:hAnsi="Times New Roman" w:cs="Times New Roman"/>
          <w:i/>
          <w:sz w:val="24"/>
          <w:szCs w:val="24"/>
        </w:rPr>
        <w:t xml:space="preserve"> </w:t>
      </w:r>
    </w:p>
    <w:p w:rsidR="003C5122" w:rsidRPr="003C5122" w:rsidRDefault="003C5122" w:rsidP="003C5122">
      <w:pPr>
        <w:spacing w:after="0" w:line="240" w:lineRule="auto"/>
        <w:ind w:firstLine="426"/>
        <w:jc w:val="both"/>
        <w:rPr>
          <w:rFonts w:ascii="Times New Roman" w:hAnsi="Times New Roman" w:cs="Times New Roman"/>
        </w:rPr>
      </w:pPr>
      <w:r w:rsidRPr="003C5122">
        <w:rPr>
          <w:rFonts w:ascii="Times New Roman" w:hAnsi="Times New Roman" w:cs="Times New Roman"/>
        </w:rPr>
        <w:t xml:space="preserve">В </w:t>
      </w:r>
      <w:r w:rsidR="00B6344D">
        <w:rPr>
          <w:rFonts w:ascii="Times New Roman" w:hAnsi="Times New Roman" w:cs="Times New Roman"/>
        </w:rPr>
        <w:t>работе</w:t>
      </w:r>
      <w:r w:rsidRPr="003C5122">
        <w:rPr>
          <w:rFonts w:ascii="Times New Roman" w:hAnsi="Times New Roman" w:cs="Times New Roman"/>
        </w:rPr>
        <w:t xml:space="preserve"> рассматриваются </w:t>
      </w:r>
      <w:r>
        <w:rPr>
          <w:rFonts w:ascii="Times New Roman" w:hAnsi="Times New Roman" w:cs="Times New Roman"/>
        </w:rPr>
        <w:t>некоторые факторы влияния</w:t>
      </w:r>
      <w:r w:rsidRPr="003C5122">
        <w:rPr>
          <w:rFonts w:ascii="Times New Roman" w:hAnsi="Times New Roman" w:cs="Times New Roman"/>
        </w:rPr>
        <w:t xml:space="preserve"> корпоративной социальной ответственности (КСО)</w:t>
      </w:r>
      <w:r>
        <w:rPr>
          <w:rFonts w:ascii="Times New Roman" w:hAnsi="Times New Roman" w:cs="Times New Roman"/>
        </w:rPr>
        <w:t xml:space="preserve"> </w:t>
      </w:r>
      <w:r w:rsidRPr="003C5122">
        <w:rPr>
          <w:rFonts w:ascii="Times New Roman" w:hAnsi="Times New Roman" w:cs="Times New Roman"/>
        </w:rPr>
        <w:t xml:space="preserve">промышленных предприятий Мурманской области на региональную социально-экономическую систему. </w:t>
      </w:r>
      <w:r w:rsidR="00B6344D">
        <w:rPr>
          <w:rFonts w:ascii="Times New Roman" w:hAnsi="Times New Roman" w:cs="Times New Roman"/>
        </w:rPr>
        <w:t xml:space="preserve">Определяются также </w:t>
      </w:r>
      <w:r w:rsidR="00395BB4">
        <w:rPr>
          <w:rFonts w:ascii="Times New Roman" w:hAnsi="Times New Roman" w:cs="Times New Roman"/>
        </w:rPr>
        <w:t>факторы, затрудняющие</w:t>
      </w:r>
      <w:r w:rsidRPr="003C5122">
        <w:rPr>
          <w:rFonts w:ascii="Times New Roman" w:hAnsi="Times New Roman" w:cs="Times New Roman"/>
        </w:rPr>
        <w:t xml:space="preserve"> эффективно</w:t>
      </w:r>
      <w:r w:rsidR="00395BB4">
        <w:rPr>
          <w:rFonts w:ascii="Times New Roman" w:hAnsi="Times New Roman" w:cs="Times New Roman"/>
        </w:rPr>
        <w:t>е</w:t>
      </w:r>
      <w:r w:rsidRPr="003C5122">
        <w:rPr>
          <w:rFonts w:ascii="Times New Roman" w:hAnsi="Times New Roman" w:cs="Times New Roman"/>
        </w:rPr>
        <w:t xml:space="preserve"> </w:t>
      </w:r>
      <w:r w:rsidR="00395BB4" w:rsidRPr="003C5122">
        <w:rPr>
          <w:rFonts w:ascii="Times New Roman" w:hAnsi="Times New Roman" w:cs="Times New Roman"/>
        </w:rPr>
        <w:t>взаимодействие</w:t>
      </w:r>
      <w:r w:rsidR="00B6344D">
        <w:rPr>
          <w:rFonts w:ascii="Times New Roman" w:hAnsi="Times New Roman" w:cs="Times New Roman"/>
        </w:rPr>
        <w:t xml:space="preserve"> между бизнесом, властью, </w:t>
      </w:r>
      <w:r w:rsidRPr="003C5122">
        <w:rPr>
          <w:rFonts w:ascii="Times New Roman" w:hAnsi="Times New Roman" w:cs="Times New Roman"/>
        </w:rPr>
        <w:t xml:space="preserve">обществом. </w:t>
      </w:r>
    </w:p>
    <w:p w:rsidR="001B5953" w:rsidRPr="003C5122" w:rsidRDefault="00827E82" w:rsidP="00353244">
      <w:pPr>
        <w:spacing w:after="0" w:line="240" w:lineRule="auto"/>
        <w:ind w:firstLine="425"/>
        <w:jc w:val="both"/>
        <w:rPr>
          <w:rFonts w:ascii="Times New Roman" w:hAnsi="Times New Roman" w:cs="Times New Roman"/>
        </w:rPr>
      </w:pPr>
      <w:r w:rsidRPr="008C75C1">
        <w:rPr>
          <w:rFonts w:ascii="Times New Roman" w:hAnsi="Times New Roman" w:cs="Times New Roman"/>
          <w:b/>
          <w:bCs/>
          <w:iCs/>
          <w:sz w:val="24"/>
          <w:szCs w:val="24"/>
        </w:rPr>
        <w:t>Ключевые слова:</w:t>
      </w:r>
      <w:r w:rsidRPr="001B5953">
        <w:rPr>
          <w:rFonts w:ascii="Times New Roman" w:hAnsi="Times New Roman" w:cs="Times New Roman"/>
          <w:i/>
          <w:sz w:val="24"/>
          <w:szCs w:val="24"/>
        </w:rPr>
        <w:t xml:space="preserve"> </w:t>
      </w:r>
      <w:r w:rsidR="003C5122" w:rsidRPr="003C5122">
        <w:rPr>
          <w:rFonts w:ascii="Times New Roman" w:hAnsi="Times New Roman" w:cs="Times New Roman"/>
        </w:rPr>
        <w:t>корпоративная социальная ответственност</w:t>
      </w:r>
      <w:r w:rsidR="00071943">
        <w:rPr>
          <w:rFonts w:ascii="Times New Roman" w:hAnsi="Times New Roman" w:cs="Times New Roman"/>
        </w:rPr>
        <w:t>ь (КСО), промышленные компании</w:t>
      </w:r>
      <w:r w:rsidR="003C5122" w:rsidRPr="003C5122">
        <w:rPr>
          <w:rFonts w:ascii="Times New Roman" w:hAnsi="Times New Roman" w:cs="Times New Roman"/>
        </w:rPr>
        <w:t>, региональные социально-экономические системы, Мурманская область.</w:t>
      </w:r>
    </w:p>
    <w:p w:rsidR="003C5122" w:rsidRDefault="003C5122" w:rsidP="00353244">
      <w:pPr>
        <w:spacing w:after="0" w:line="240" w:lineRule="auto"/>
        <w:ind w:firstLine="709"/>
        <w:jc w:val="both"/>
        <w:rPr>
          <w:rFonts w:ascii="Times New Roman" w:hAnsi="Times New Roman" w:cs="Times New Roman"/>
          <w:sz w:val="24"/>
          <w:szCs w:val="24"/>
        </w:rPr>
      </w:pPr>
    </w:p>
    <w:p w:rsidR="003C5122" w:rsidRPr="003C5122" w:rsidRDefault="00D80BBD" w:rsidP="003C5122">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К</w:t>
      </w:r>
      <w:r w:rsidR="003C5122" w:rsidRPr="003C5122">
        <w:rPr>
          <w:rFonts w:ascii="Times New Roman" w:hAnsi="Times New Roman" w:cs="Times New Roman"/>
          <w:sz w:val="24"/>
          <w:szCs w:val="24"/>
        </w:rPr>
        <w:t>рупные промышленные предприятия исторически оказывали существенное воздействие на формирование и развитие региональных социально-экономических систем</w:t>
      </w:r>
      <w:r>
        <w:rPr>
          <w:rFonts w:ascii="Times New Roman" w:hAnsi="Times New Roman" w:cs="Times New Roman"/>
          <w:sz w:val="24"/>
          <w:szCs w:val="24"/>
        </w:rPr>
        <w:t xml:space="preserve"> в России</w:t>
      </w:r>
      <w:r w:rsidR="003C5122" w:rsidRPr="003C5122">
        <w:rPr>
          <w:rFonts w:ascii="Times New Roman" w:hAnsi="Times New Roman" w:cs="Times New Roman"/>
          <w:sz w:val="24"/>
          <w:szCs w:val="24"/>
        </w:rPr>
        <w:t>. Население концентрировалось как в крупных промышленных центрах, так и небольших моногородах, где предприятия вели свою хозяйственную деятельность, создавали рабочие места, являлись источником пополнения местных и региональных бюджетов. Со временем, менялись формы взаимодействия с органами власти, местными сообществами, что требовало совершенствования модели организации данных процессов</w:t>
      </w:r>
      <w:r w:rsidR="00934F29">
        <w:rPr>
          <w:rFonts w:ascii="Times New Roman" w:hAnsi="Times New Roman" w:cs="Times New Roman"/>
          <w:sz w:val="24"/>
          <w:szCs w:val="24"/>
        </w:rPr>
        <w:t xml:space="preserve"> </w:t>
      </w:r>
      <w:r w:rsidR="00934F29" w:rsidRPr="00934F29">
        <w:rPr>
          <w:rFonts w:ascii="Times New Roman" w:hAnsi="Times New Roman" w:cs="Times New Roman"/>
          <w:sz w:val="24"/>
          <w:szCs w:val="24"/>
        </w:rPr>
        <w:t>[1]</w:t>
      </w:r>
      <w:r w:rsidR="003C5122" w:rsidRPr="003C5122">
        <w:rPr>
          <w:rFonts w:ascii="Times New Roman" w:hAnsi="Times New Roman" w:cs="Times New Roman"/>
          <w:sz w:val="24"/>
          <w:szCs w:val="24"/>
        </w:rPr>
        <w:t>. Одним из основополагающих элементов работы крупных предприятий стало повышение роли корпоративной социальной ответственности (КСО). КСО становится уже не просто элементом повышения конкурентоспособности отдельного предприятия, но и приобретает более высокое значение как фактор определяющий конкурентоспособность региональных социально-экономических систем в целом, так как масштабы воздействия уже не ограничиваются отдельными, например, монопрофильными городами, а формируют более совершенную форму взаимодействия бизнеса, общества, государственных и муниципальных органов государственной власти</w:t>
      </w:r>
      <w:r w:rsidR="00934F29" w:rsidRPr="00934F29">
        <w:rPr>
          <w:rFonts w:ascii="Times New Roman" w:hAnsi="Times New Roman" w:cs="Times New Roman"/>
          <w:sz w:val="24"/>
          <w:szCs w:val="24"/>
        </w:rPr>
        <w:t xml:space="preserve"> [2]</w:t>
      </w:r>
      <w:r w:rsidR="003C5122" w:rsidRPr="003C5122">
        <w:rPr>
          <w:rFonts w:ascii="Times New Roman" w:hAnsi="Times New Roman" w:cs="Times New Roman"/>
          <w:sz w:val="24"/>
          <w:szCs w:val="24"/>
        </w:rPr>
        <w:t xml:space="preserve">. </w:t>
      </w:r>
    </w:p>
    <w:p w:rsidR="003C5122" w:rsidRDefault="00D80BBD" w:rsidP="00D80BBD">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При изучении</w:t>
      </w:r>
      <w:r w:rsidR="003C5122" w:rsidRPr="003C5122">
        <w:rPr>
          <w:rFonts w:ascii="Times New Roman" w:hAnsi="Times New Roman" w:cs="Times New Roman"/>
          <w:sz w:val="24"/>
          <w:szCs w:val="24"/>
        </w:rPr>
        <w:t xml:space="preserve"> </w:t>
      </w:r>
      <w:r w:rsidRPr="00D80BBD">
        <w:rPr>
          <w:rFonts w:ascii="Times New Roman" w:hAnsi="Times New Roman" w:cs="Times New Roman"/>
          <w:sz w:val="24"/>
          <w:szCs w:val="24"/>
        </w:rPr>
        <w:t>факторов влияния корпоративной социальной ответственности промышленных предприятий Мурманской области на региональную социально-экономическую систему</w:t>
      </w:r>
      <w:r w:rsidRPr="003C5122">
        <w:rPr>
          <w:rFonts w:ascii="Times New Roman" w:hAnsi="Times New Roman" w:cs="Times New Roman"/>
          <w:sz w:val="24"/>
          <w:szCs w:val="24"/>
        </w:rPr>
        <w:t xml:space="preserve"> </w:t>
      </w:r>
      <w:r>
        <w:rPr>
          <w:rFonts w:ascii="Times New Roman" w:hAnsi="Times New Roman" w:cs="Times New Roman"/>
          <w:sz w:val="24"/>
          <w:szCs w:val="24"/>
        </w:rPr>
        <w:t xml:space="preserve">необходимо их </w:t>
      </w:r>
      <w:r w:rsidR="003C5122" w:rsidRPr="003C5122">
        <w:rPr>
          <w:rFonts w:ascii="Times New Roman" w:hAnsi="Times New Roman" w:cs="Times New Roman"/>
          <w:sz w:val="24"/>
          <w:szCs w:val="24"/>
        </w:rPr>
        <w:t>вклад в региональную экономику</w:t>
      </w:r>
      <w:r>
        <w:rPr>
          <w:rFonts w:ascii="Times New Roman" w:hAnsi="Times New Roman" w:cs="Times New Roman"/>
          <w:sz w:val="24"/>
          <w:szCs w:val="24"/>
        </w:rPr>
        <w:t xml:space="preserve">, так как </w:t>
      </w:r>
      <w:r w:rsidR="003C5122" w:rsidRPr="003C5122">
        <w:rPr>
          <w:rFonts w:ascii="Times New Roman" w:hAnsi="Times New Roman" w:cs="Times New Roman"/>
          <w:sz w:val="24"/>
          <w:szCs w:val="24"/>
        </w:rPr>
        <w:t xml:space="preserve">на мощностях </w:t>
      </w:r>
      <w:r>
        <w:rPr>
          <w:rFonts w:ascii="Times New Roman" w:hAnsi="Times New Roman" w:cs="Times New Roman"/>
          <w:sz w:val="24"/>
          <w:szCs w:val="24"/>
        </w:rPr>
        <w:t>данных предприятий</w:t>
      </w:r>
      <w:r w:rsidR="003C5122" w:rsidRPr="003C5122">
        <w:rPr>
          <w:rFonts w:ascii="Times New Roman" w:hAnsi="Times New Roman" w:cs="Times New Roman"/>
          <w:sz w:val="24"/>
          <w:szCs w:val="24"/>
        </w:rPr>
        <w:t xml:space="preserve"> задействовано значительное число работников из числа местного населения. Исторически так сложилось, что значительная часть подобных компаний являлась градообразующими. В настоящее время, ситуация претерпевает некоторые изменения. С одной стороны, это связано с внедрением и реализацией комплексных планов экономического развития моногородов, направленных на диверсификацию бизнеса внутри монопрофильных городов и поселений. С другой, для снижения зависимости социально-экономического развития муниципальных образований от негативных последствий, связанных с изменением условий ведения бизнеса крупных компаний, а также для снижения социального напряжения и создания новых рабочих мест. В то же время, влияние крупных компаний по-прежнему остается значительным на местную социально-экономическую сферу и наличие стабильно функционирующих предприятий является преимуществом для тех регионов, в которых они располагаются. Более того, эффективное взаимодействие местного сообщества, власти и бизнеса может приносить более существенное положительное влияние на социально-экономические процессы, протекающие в регионе. Фактически корпоративная социальная ответственность крупного бизнеса становится фактором повышения конкурентоспособности региональных социально-</w:t>
      </w:r>
      <w:r w:rsidR="003C5122" w:rsidRPr="003C5122">
        <w:rPr>
          <w:rFonts w:ascii="Times New Roman" w:hAnsi="Times New Roman" w:cs="Times New Roman"/>
          <w:sz w:val="24"/>
          <w:szCs w:val="24"/>
        </w:rPr>
        <w:lastRenderedPageBreak/>
        <w:t>экономических систем. Основные направления и практики КСО крупных промышленных компаний Мурманской области представлены в таблице 1.</w:t>
      </w:r>
    </w:p>
    <w:p w:rsidR="003C5122" w:rsidRDefault="003C5122" w:rsidP="00353244">
      <w:pPr>
        <w:widowControl w:val="0"/>
        <w:suppressAutoHyphens/>
        <w:spacing w:after="0" w:line="240" w:lineRule="auto"/>
        <w:ind w:firstLine="709"/>
        <w:jc w:val="center"/>
        <w:rPr>
          <w:rFonts w:ascii="Times New Roman" w:hAnsi="Times New Roman" w:cs="Times New Roman"/>
          <w:sz w:val="24"/>
          <w:szCs w:val="24"/>
        </w:rPr>
      </w:pPr>
    </w:p>
    <w:p w:rsidR="00EA4672" w:rsidRPr="003C5122" w:rsidRDefault="00EA4672" w:rsidP="00353244">
      <w:pPr>
        <w:widowControl w:val="0"/>
        <w:suppressAutoHyphens/>
        <w:spacing w:after="0" w:line="240" w:lineRule="auto"/>
        <w:ind w:firstLine="709"/>
        <w:jc w:val="center"/>
        <w:rPr>
          <w:rFonts w:ascii="Times New Roman" w:eastAsia="DejaVu Sans" w:hAnsi="Times New Roman" w:cs="Times New Roman"/>
          <w:b/>
          <w:kern w:val="2"/>
          <w:sz w:val="24"/>
          <w:szCs w:val="24"/>
          <w:lang w:eastAsia="ru-RU"/>
        </w:rPr>
      </w:pPr>
      <w:r w:rsidRPr="00287F75">
        <w:rPr>
          <w:rFonts w:ascii="Times New Roman" w:eastAsia="DejaVu Sans" w:hAnsi="Times New Roman" w:cs="Times New Roman"/>
          <w:kern w:val="2"/>
          <w:sz w:val="24"/>
          <w:szCs w:val="24"/>
          <w:lang w:eastAsia="ru-RU"/>
        </w:rPr>
        <w:t xml:space="preserve">Таблица 1. </w:t>
      </w:r>
      <w:r w:rsidR="003C5122" w:rsidRPr="003C5122">
        <w:rPr>
          <w:rFonts w:ascii="Times New Roman" w:eastAsia="DejaVu Sans" w:hAnsi="Times New Roman" w:cs="Times New Roman"/>
          <w:b/>
          <w:kern w:val="2"/>
          <w:sz w:val="24"/>
          <w:szCs w:val="24"/>
          <w:lang w:eastAsia="ru-RU"/>
        </w:rPr>
        <w:t>Основные направления КСО крупных промышленных компаний Мурманской области</w:t>
      </w:r>
      <w:r w:rsidR="00590F6E" w:rsidRPr="00287F75">
        <w:rPr>
          <w:rFonts w:ascii="Times New Roman" w:eastAsia="DejaVu Sans" w:hAnsi="Times New Roman" w:cs="Times New Roman"/>
          <w:b/>
          <w:kern w:val="2"/>
          <w:sz w:val="24"/>
          <w:szCs w:val="24"/>
          <w:lang w:eastAsia="ru-RU"/>
        </w:rPr>
        <w:t xml:space="preserve"> </w:t>
      </w:r>
    </w:p>
    <w:tbl>
      <w:tblPr>
        <w:tblStyle w:val="a6"/>
        <w:tblW w:w="0" w:type="auto"/>
        <w:tblLook w:val="04A0"/>
      </w:tblPr>
      <w:tblGrid>
        <w:gridCol w:w="2235"/>
        <w:gridCol w:w="2835"/>
        <w:gridCol w:w="4677"/>
      </w:tblGrid>
      <w:tr w:rsidR="003C5122" w:rsidRPr="003C5122" w:rsidTr="00E072AD">
        <w:tc>
          <w:tcPr>
            <w:tcW w:w="2235" w:type="dxa"/>
          </w:tcPr>
          <w:p w:rsidR="003C5122" w:rsidRPr="003C5122" w:rsidRDefault="003C5122" w:rsidP="00E072AD">
            <w:pPr>
              <w:jc w:val="center"/>
              <w:rPr>
                <w:rFonts w:ascii="Times New Roman" w:hAnsi="Times New Roman" w:cs="Times New Roman"/>
              </w:rPr>
            </w:pPr>
            <w:r w:rsidRPr="003C5122">
              <w:rPr>
                <w:rFonts w:ascii="Times New Roman" w:hAnsi="Times New Roman" w:cs="Times New Roman"/>
              </w:rPr>
              <w:t>Заинтересованные стороны (стейкхолдеры)</w:t>
            </w:r>
          </w:p>
        </w:tc>
        <w:tc>
          <w:tcPr>
            <w:tcW w:w="2835" w:type="dxa"/>
          </w:tcPr>
          <w:p w:rsidR="003C5122" w:rsidRPr="003C5122" w:rsidRDefault="003C5122" w:rsidP="00E072AD">
            <w:pPr>
              <w:jc w:val="center"/>
              <w:rPr>
                <w:rFonts w:ascii="Times New Roman" w:hAnsi="Times New Roman" w:cs="Times New Roman"/>
              </w:rPr>
            </w:pPr>
            <w:r w:rsidRPr="003C5122">
              <w:rPr>
                <w:rFonts w:ascii="Times New Roman" w:hAnsi="Times New Roman" w:cs="Times New Roman"/>
              </w:rPr>
              <w:t>Направления деятельности</w:t>
            </w:r>
          </w:p>
        </w:tc>
        <w:tc>
          <w:tcPr>
            <w:tcW w:w="4677" w:type="dxa"/>
          </w:tcPr>
          <w:p w:rsidR="003C5122" w:rsidRPr="003C5122" w:rsidRDefault="003C5122" w:rsidP="00E072AD">
            <w:pPr>
              <w:jc w:val="center"/>
              <w:rPr>
                <w:rFonts w:ascii="Times New Roman" w:hAnsi="Times New Roman" w:cs="Times New Roman"/>
              </w:rPr>
            </w:pPr>
            <w:r w:rsidRPr="003C5122">
              <w:rPr>
                <w:rFonts w:ascii="Times New Roman" w:hAnsi="Times New Roman" w:cs="Times New Roman"/>
              </w:rPr>
              <w:t>Реализация</w:t>
            </w:r>
          </w:p>
        </w:tc>
      </w:tr>
      <w:tr w:rsidR="003C5122" w:rsidRPr="003C5122" w:rsidTr="00E072AD">
        <w:tc>
          <w:tcPr>
            <w:tcW w:w="2235"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Региональные и муниципальные органы власти, местные общественные организации</w:t>
            </w:r>
          </w:p>
        </w:tc>
        <w:tc>
          <w:tcPr>
            <w:tcW w:w="2835"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Осуществление благотворительной деятельности, поддержка волонтерских организаций</w:t>
            </w:r>
          </w:p>
        </w:tc>
        <w:tc>
          <w:tcPr>
            <w:tcW w:w="4677"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Оказание поддержки при реализации социально значимых проектов и программ, поддержка волонтерских движений, привлечение к данной деятельности, как собственных сотрудников, так и представителей местных общественных организаций</w:t>
            </w:r>
          </w:p>
        </w:tc>
      </w:tr>
      <w:tr w:rsidR="003C5122" w:rsidRPr="003C5122" w:rsidTr="00E072AD">
        <w:tc>
          <w:tcPr>
            <w:tcW w:w="2235"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Местные сообщества, проживающие на территории осуществления компаниями хозяйственной деятельности</w:t>
            </w:r>
          </w:p>
        </w:tc>
        <w:tc>
          <w:tcPr>
            <w:tcW w:w="2835"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Поддержка инициатив местных сообществ</w:t>
            </w:r>
          </w:p>
        </w:tc>
        <w:tc>
          <w:tcPr>
            <w:tcW w:w="4677"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Реализация мероприятий в сферах здравоохранения, образования, культуры и спорта. Формирования специальных программ поддержки коренных и малочисленных народов Севера. Привлечение в качестве партнеров местных производителей и поставщиков.</w:t>
            </w:r>
          </w:p>
        </w:tc>
      </w:tr>
      <w:tr w:rsidR="003C5122" w:rsidRPr="003C5122" w:rsidTr="00E072AD">
        <w:tc>
          <w:tcPr>
            <w:tcW w:w="2235"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Инвесторы и бизнес-партнеры</w:t>
            </w:r>
          </w:p>
        </w:tc>
        <w:tc>
          <w:tcPr>
            <w:tcW w:w="2835"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Развитие деловых практик, основанных на принципах добросовестности</w:t>
            </w:r>
          </w:p>
        </w:tc>
        <w:tc>
          <w:tcPr>
            <w:tcW w:w="4677"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 xml:space="preserve">Реализация мер направленных на обеспечение добросовестной конкуренции, соблюдению правил антимонопольной политики. Противодействие коррупции, финансированию террористических организаций, недопущению легализации доходов, полученных преступным путем. </w:t>
            </w:r>
          </w:p>
        </w:tc>
      </w:tr>
      <w:tr w:rsidR="003C5122" w:rsidRPr="003C5122" w:rsidTr="00E072AD">
        <w:tc>
          <w:tcPr>
            <w:tcW w:w="2235"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Потребители</w:t>
            </w:r>
          </w:p>
        </w:tc>
        <w:tc>
          <w:tcPr>
            <w:tcW w:w="2835"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Реализация мероприятий в отношений потребителей</w:t>
            </w:r>
          </w:p>
        </w:tc>
        <w:tc>
          <w:tcPr>
            <w:tcW w:w="4677" w:type="dxa"/>
          </w:tcPr>
          <w:p w:rsidR="003C5122" w:rsidRPr="003C5122" w:rsidRDefault="003C5122" w:rsidP="00E072AD">
            <w:pPr>
              <w:jc w:val="both"/>
              <w:rPr>
                <w:rFonts w:ascii="Times New Roman" w:hAnsi="Times New Roman" w:cs="Times New Roman"/>
              </w:rPr>
            </w:pPr>
            <w:r w:rsidRPr="003C5122">
              <w:rPr>
                <w:rFonts w:ascii="Times New Roman" w:hAnsi="Times New Roman" w:cs="Times New Roman"/>
              </w:rPr>
              <w:t>Предоставление всеобъемлющей информации о свойствах, качестве продукции.</w:t>
            </w:r>
          </w:p>
        </w:tc>
      </w:tr>
    </w:tbl>
    <w:p w:rsidR="00EA4672" w:rsidRPr="00590F6E" w:rsidRDefault="00EA4672" w:rsidP="00353244">
      <w:pPr>
        <w:widowControl w:val="0"/>
        <w:suppressAutoHyphens/>
        <w:spacing w:after="0" w:line="240" w:lineRule="auto"/>
        <w:jc w:val="both"/>
        <w:rPr>
          <w:rFonts w:ascii="Times New Roman" w:eastAsia="DejaVu Sans" w:hAnsi="Times New Roman" w:cs="Times New Roman"/>
          <w:kern w:val="1"/>
          <w:lang w:eastAsia="ru-RU"/>
        </w:rPr>
      </w:pPr>
      <w:r w:rsidRPr="00590F6E">
        <w:rPr>
          <w:rFonts w:ascii="Times New Roman" w:eastAsia="DejaVu Sans" w:hAnsi="Times New Roman" w:cs="Times New Roman"/>
          <w:kern w:val="1"/>
          <w:lang w:eastAsia="ru-RU"/>
        </w:rPr>
        <w:t xml:space="preserve">*Источник: </w:t>
      </w:r>
      <w:r w:rsidR="003C5122" w:rsidRPr="00E36490">
        <w:rPr>
          <w:rFonts w:ascii="Times New Roman" w:eastAsia="Times New Roman" w:hAnsi="Times New Roman"/>
        </w:rPr>
        <w:t>составлено автором по данным интернет-порталов крупных промышленных компаний Мурманской области (АО «Кольская ГМК», АО «Олкон» (Оленегорский ГОК), АО «Ковдорский горно-обогатительный комбинат», Кировский филиал АО «Апатит», Филиал АО «Концерн РОСЭНЕРГОАТОМ» «Кольская атомная станция»)</w:t>
      </w:r>
      <w:r w:rsidR="003C5122">
        <w:rPr>
          <w:rFonts w:ascii="Times New Roman" w:eastAsia="Times New Roman" w:hAnsi="Times New Roman"/>
        </w:rPr>
        <w:t>.</w:t>
      </w:r>
    </w:p>
    <w:p w:rsidR="003C5122" w:rsidRDefault="003C5122" w:rsidP="00353244">
      <w:pPr>
        <w:spacing w:after="0" w:line="240" w:lineRule="auto"/>
        <w:ind w:firstLine="709"/>
        <w:jc w:val="both"/>
        <w:rPr>
          <w:rFonts w:ascii="Times New Roman" w:hAnsi="Times New Roman" w:cs="Times New Roman"/>
          <w:sz w:val="24"/>
          <w:szCs w:val="24"/>
        </w:rPr>
      </w:pPr>
    </w:p>
    <w:p w:rsidR="003C5122" w:rsidRPr="003C5122" w:rsidRDefault="003C5122" w:rsidP="003C5122">
      <w:pPr>
        <w:spacing w:after="0" w:line="240" w:lineRule="auto"/>
        <w:ind w:firstLine="708"/>
        <w:jc w:val="both"/>
        <w:rPr>
          <w:rFonts w:ascii="Times New Roman" w:hAnsi="Times New Roman" w:cs="Times New Roman"/>
          <w:sz w:val="24"/>
          <w:szCs w:val="24"/>
        </w:rPr>
      </w:pPr>
      <w:r w:rsidRPr="003C5122">
        <w:rPr>
          <w:rFonts w:ascii="Times New Roman" w:hAnsi="Times New Roman" w:cs="Times New Roman"/>
          <w:sz w:val="24"/>
          <w:szCs w:val="24"/>
        </w:rPr>
        <w:t>В связи с тем, что многие крупные промышленные предприятия сформировались еще в советский период, когда в операционной деятельности задействовалось значительное количество работников из числа местного населения, в настоящее время им необходимо также принимать участие в жизнедеятельности того населенного пункта, где они функционируют. Поэтому КСО является естественным и даже необходимым элементом работы для многих крупных компаний</w:t>
      </w:r>
      <w:r w:rsidR="00934F29" w:rsidRPr="00934F29">
        <w:rPr>
          <w:rFonts w:ascii="Times New Roman" w:hAnsi="Times New Roman" w:cs="Times New Roman"/>
          <w:sz w:val="24"/>
          <w:szCs w:val="24"/>
        </w:rPr>
        <w:t xml:space="preserve"> [3]</w:t>
      </w:r>
      <w:r w:rsidRPr="003C5122">
        <w:rPr>
          <w:rFonts w:ascii="Times New Roman" w:hAnsi="Times New Roman" w:cs="Times New Roman"/>
          <w:sz w:val="24"/>
          <w:szCs w:val="24"/>
        </w:rPr>
        <w:t>. Для местного сообщества также подобное участие выгодно с различных позиций. Например, КСО реализуется через решение вопросов, связанных с организацией работы по социальной поддержке населения, улучшением городской инфраструктуры, улучшением социальной сферы, строительством дополнительных учреждений здравоохранения, спорта, жилых домов т.д.. Кроме того, КСО реализуется через участие крупных компаний в общественно значимых мероприятиях и программах, таких как: культурные, спортивные, образовательные и ряд других, которые требуют существенной спонсорской поддержки.</w:t>
      </w:r>
    </w:p>
    <w:p w:rsidR="003C5122" w:rsidRPr="003C5122" w:rsidRDefault="003C5122" w:rsidP="003C5122">
      <w:pPr>
        <w:spacing w:after="0" w:line="240" w:lineRule="auto"/>
        <w:jc w:val="both"/>
        <w:rPr>
          <w:rFonts w:ascii="Times New Roman" w:hAnsi="Times New Roman" w:cs="Times New Roman"/>
          <w:sz w:val="24"/>
          <w:szCs w:val="24"/>
        </w:rPr>
      </w:pPr>
      <w:r w:rsidRPr="003C5122">
        <w:rPr>
          <w:rFonts w:ascii="Times New Roman" w:hAnsi="Times New Roman" w:cs="Times New Roman"/>
          <w:sz w:val="24"/>
          <w:szCs w:val="24"/>
        </w:rPr>
        <w:tab/>
        <w:t xml:space="preserve">Существует </w:t>
      </w:r>
      <w:r w:rsidR="0024135E">
        <w:rPr>
          <w:rFonts w:ascii="Times New Roman" w:hAnsi="Times New Roman" w:cs="Times New Roman"/>
          <w:sz w:val="24"/>
          <w:szCs w:val="24"/>
        </w:rPr>
        <w:t>ряд факторов</w:t>
      </w:r>
      <w:r w:rsidRPr="003C5122">
        <w:rPr>
          <w:rFonts w:ascii="Times New Roman" w:hAnsi="Times New Roman" w:cs="Times New Roman"/>
          <w:sz w:val="24"/>
          <w:szCs w:val="24"/>
        </w:rPr>
        <w:t>, негативно сказывающ</w:t>
      </w:r>
      <w:r w:rsidR="0024135E">
        <w:rPr>
          <w:rFonts w:ascii="Times New Roman" w:hAnsi="Times New Roman" w:cs="Times New Roman"/>
          <w:sz w:val="24"/>
          <w:szCs w:val="24"/>
        </w:rPr>
        <w:t>их</w:t>
      </w:r>
      <w:r w:rsidRPr="003C5122">
        <w:rPr>
          <w:rFonts w:ascii="Times New Roman" w:hAnsi="Times New Roman" w:cs="Times New Roman"/>
          <w:sz w:val="24"/>
          <w:szCs w:val="24"/>
        </w:rPr>
        <w:t>ся на программах КСО, связанн</w:t>
      </w:r>
      <w:r w:rsidR="0024135E">
        <w:rPr>
          <w:rFonts w:ascii="Times New Roman" w:hAnsi="Times New Roman" w:cs="Times New Roman"/>
          <w:sz w:val="24"/>
          <w:szCs w:val="24"/>
        </w:rPr>
        <w:t>ых</w:t>
      </w:r>
      <w:r w:rsidRPr="003C5122">
        <w:rPr>
          <w:rFonts w:ascii="Times New Roman" w:hAnsi="Times New Roman" w:cs="Times New Roman"/>
          <w:sz w:val="24"/>
          <w:szCs w:val="24"/>
        </w:rPr>
        <w:t xml:space="preserve"> с тем, что ряд крупных промышленных компаний переориентируется на использование вахтового метода, что снижает их участие в социально-экономических процессах на территории, где они осуществляют свою деятельность. Логика бизнеса при этом понятна, так как данном случае, если работник не закреплен за конкретной территорией, то и нет </w:t>
      </w:r>
      <w:r w:rsidRPr="003C5122">
        <w:rPr>
          <w:rFonts w:ascii="Times New Roman" w:hAnsi="Times New Roman" w:cs="Times New Roman"/>
          <w:sz w:val="24"/>
          <w:szCs w:val="24"/>
        </w:rPr>
        <w:lastRenderedPageBreak/>
        <w:t>необходимости вкладывать средства, например, в социальную сферу. Учитывая то, что вокруг таких компаний изначально формировались города, такая тенденция приводит резкому ухудшению как социального, так и психологического климата, что обуславливает возникновение других негативных тенденций. Например, отток населения, снижение качества оказываемых услуг и многие другие последствия. При этом, не для каждого предприятия подобная схема выгодна. Для горнорудных, горно-обогатительных предприятий, имеющих целый комплекс сложных технологических операций по добыче и переработке сырья, необходим достаточно квалифицированный персонал, имеющий представление об особенностях производства и владеющий соответствующими навыками. Далеко не всегда можно обеспечить весь технологический процесс кадрами, привлекаемыми на основе вахты. Подобные предприятия стремятся реализовывать различного рода программы, направленные на «выращивание» кадров со «школьной скамьи». Поэтому в рамках реализации программ КСО при школах создаются специальные классы, ориентированные на привлечение молодого поколения и формирование у них представления о технологических процессах конкретной компании.</w:t>
      </w:r>
    </w:p>
    <w:p w:rsidR="003C5122" w:rsidRPr="003C5122" w:rsidRDefault="003C5122" w:rsidP="003C5122">
      <w:pPr>
        <w:spacing w:after="0" w:line="240" w:lineRule="auto"/>
        <w:jc w:val="both"/>
        <w:rPr>
          <w:rFonts w:ascii="Times New Roman" w:hAnsi="Times New Roman" w:cs="Times New Roman"/>
          <w:sz w:val="24"/>
          <w:szCs w:val="24"/>
        </w:rPr>
      </w:pPr>
      <w:r w:rsidRPr="003C5122">
        <w:rPr>
          <w:rFonts w:ascii="Times New Roman" w:hAnsi="Times New Roman" w:cs="Times New Roman"/>
          <w:sz w:val="24"/>
          <w:szCs w:val="24"/>
        </w:rPr>
        <w:tab/>
        <w:t>Экономический потенциал крупных промышленных предприятий не всегда предполагает рост параметров регионального социально-экономического развития.</w:t>
      </w:r>
    </w:p>
    <w:p w:rsidR="003C5122" w:rsidRPr="003C5122" w:rsidRDefault="003C5122" w:rsidP="003C5122">
      <w:pPr>
        <w:spacing w:after="0" w:line="240" w:lineRule="auto"/>
        <w:jc w:val="both"/>
        <w:rPr>
          <w:rFonts w:ascii="Times New Roman" w:hAnsi="Times New Roman" w:cs="Times New Roman"/>
          <w:sz w:val="24"/>
          <w:szCs w:val="24"/>
        </w:rPr>
      </w:pPr>
      <w:r w:rsidRPr="003C5122">
        <w:rPr>
          <w:rFonts w:ascii="Times New Roman" w:hAnsi="Times New Roman" w:cs="Times New Roman"/>
          <w:sz w:val="24"/>
          <w:szCs w:val="24"/>
        </w:rPr>
        <w:tab/>
        <w:t>Так, например, Мурманская область, при достаточно высоком уровне экономического развития, остается со средними значениями по уровню социального развития, что подтверждается данными, представленными в рейтинге регионов России по интегральному показателю качества жизни</w:t>
      </w:r>
      <w:r w:rsidRPr="003C5122">
        <w:rPr>
          <w:rStyle w:val="a3"/>
          <w:rFonts w:ascii="Times New Roman" w:hAnsi="Times New Roman" w:cs="Times New Roman"/>
          <w:sz w:val="24"/>
          <w:szCs w:val="24"/>
        </w:rPr>
        <w:footnoteReference w:id="2"/>
      </w:r>
      <w:r w:rsidRPr="003C5122">
        <w:rPr>
          <w:rFonts w:ascii="Times New Roman" w:hAnsi="Times New Roman" w:cs="Times New Roman"/>
          <w:sz w:val="24"/>
          <w:szCs w:val="24"/>
        </w:rPr>
        <w:t>, который показывает отставание региона основным значениям. И, несмотря на то, что в рейтинге Мурманская область в 2021 году занимала 38 место, а в 2022 году переместилась на 35-е место</w:t>
      </w:r>
      <w:r w:rsidRPr="003C5122">
        <w:rPr>
          <w:rStyle w:val="a3"/>
          <w:rFonts w:ascii="Times New Roman" w:hAnsi="Times New Roman" w:cs="Times New Roman"/>
          <w:sz w:val="24"/>
          <w:szCs w:val="24"/>
        </w:rPr>
        <w:footnoteReference w:id="3"/>
      </w:r>
      <w:r w:rsidRPr="003C5122">
        <w:rPr>
          <w:rFonts w:ascii="Times New Roman" w:hAnsi="Times New Roman" w:cs="Times New Roman"/>
          <w:sz w:val="24"/>
          <w:szCs w:val="24"/>
        </w:rPr>
        <w:t xml:space="preserve">, работа по активизации участия крупного бизнеса в социальных процессах требует существенных изменений. </w:t>
      </w:r>
    </w:p>
    <w:p w:rsidR="003C5122" w:rsidRPr="003C5122" w:rsidRDefault="003C5122" w:rsidP="003C5122">
      <w:pPr>
        <w:spacing w:after="0" w:line="240" w:lineRule="auto"/>
        <w:jc w:val="both"/>
        <w:rPr>
          <w:rFonts w:ascii="Times New Roman" w:hAnsi="Times New Roman" w:cs="Times New Roman"/>
          <w:sz w:val="24"/>
          <w:szCs w:val="24"/>
        </w:rPr>
      </w:pPr>
      <w:r w:rsidRPr="003C5122">
        <w:rPr>
          <w:rFonts w:ascii="Times New Roman" w:hAnsi="Times New Roman" w:cs="Times New Roman"/>
          <w:sz w:val="24"/>
          <w:szCs w:val="24"/>
        </w:rPr>
        <w:tab/>
        <w:t>Очевидно, что решение множества вопросов, затрагивающих социальную сферу, в том числе сохранение и развитие человеческого капитала, улучшение условий и комфортности проживания, сохранение и улучшение материально- технической базы сферы здравоохранения, образовательной сферы и ряд других невозможно обеспечить только за счет бюджетных средств и усилий местных и региональных властей. Особенно, эта проблема является сложной для таких арктических регионов, как Мурманская область, в которой наблюдается отток трудоспособного населения в регионы с более комфортными условиями проживания. В этой связи необходимо выстраивать взаимовыгодный механизм для бизнеса, власти и местных сообществ.</w:t>
      </w:r>
    </w:p>
    <w:p w:rsidR="003C5122" w:rsidRPr="003C5122" w:rsidRDefault="003C5122" w:rsidP="003C5122">
      <w:pPr>
        <w:spacing w:after="0" w:line="240" w:lineRule="auto"/>
        <w:ind w:firstLine="708"/>
        <w:jc w:val="both"/>
        <w:rPr>
          <w:rFonts w:ascii="Times New Roman" w:hAnsi="Times New Roman" w:cs="Times New Roman"/>
          <w:sz w:val="24"/>
          <w:szCs w:val="24"/>
        </w:rPr>
      </w:pPr>
      <w:r w:rsidRPr="003C5122">
        <w:rPr>
          <w:rFonts w:ascii="Times New Roman" w:hAnsi="Times New Roman" w:cs="Times New Roman"/>
          <w:sz w:val="24"/>
          <w:szCs w:val="24"/>
        </w:rPr>
        <w:t>Среди основных предприятий, формирующих региональный ВРП Мурманской области можно выделить: АО «Кольская ГМК», АО «Олкон» (Оленегорский ГОК), АО «Ковдорский горно-обогатительный комбинат», Кировский филиал АО «Апатит», Филиал АО «Концерн РОСЭНЕРГОАТОМ» «Кольская атомная станция». В регионе присутствуют также и некоторые другие компании, такие как АО «СЗФК» - дочерняя компания ПАО «Акрон», ООО НОВАТЭК-МУРМАНСК, но их участие по программам КСО существенно ниже. В то же время, КСО крупных предприятий реализуется с разной степенью влияния на социально-экономическое развитие Мурманской области.</w:t>
      </w:r>
    </w:p>
    <w:p w:rsidR="003C5122" w:rsidRPr="003C5122" w:rsidRDefault="003C5122" w:rsidP="003C5122">
      <w:pPr>
        <w:spacing w:after="0" w:line="240" w:lineRule="auto"/>
        <w:ind w:firstLine="708"/>
        <w:jc w:val="both"/>
        <w:rPr>
          <w:rFonts w:ascii="Times New Roman" w:hAnsi="Times New Roman" w:cs="Times New Roman"/>
          <w:sz w:val="24"/>
          <w:szCs w:val="24"/>
        </w:rPr>
      </w:pPr>
      <w:r w:rsidRPr="003C5122">
        <w:rPr>
          <w:rFonts w:ascii="Times New Roman" w:hAnsi="Times New Roman" w:cs="Times New Roman"/>
          <w:sz w:val="24"/>
          <w:szCs w:val="24"/>
        </w:rPr>
        <w:t>Данные компании вносят существенный вклад в развитие территорий, где расположены их производства, реализуют комплексные социальные программы, направленные на решение текущих и перспективных задач. Компании принимают активное участие в строительстве и реконструкции объектов социальной инфраструктуры для создания доступной и комфортной среды для работы и жизни на территориях присутствия [</w:t>
      </w:r>
      <w:r w:rsidR="00934F29">
        <w:rPr>
          <w:rFonts w:ascii="Times New Roman" w:hAnsi="Times New Roman" w:cs="Times New Roman"/>
          <w:sz w:val="24"/>
          <w:szCs w:val="24"/>
        </w:rPr>
        <w:t>4</w:t>
      </w:r>
      <w:r w:rsidRPr="003C5122">
        <w:rPr>
          <w:rFonts w:ascii="Times New Roman" w:hAnsi="Times New Roman" w:cs="Times New Roman"/>
          <w:sz w:val="24"/>
          <w:szCs w:val="24"/>
        </w:rPr>
        <w:t>]. При поддержке крупных компаний проводятся работы по благоустройству общественных пространств, строительству и ремонту спортивных объектов, транспортной инфраструктуры, развитию образовательной инфраструктуры.</w:t>
      </w:r>
    </w:p>
    <w:p w:rsidR="003C5122" w:rsidRPr="003C5122" w:rsidRDefault="003C5122" w:rsidP="003C5122">
      <w:pPr>
        <w:spacing w:after="0" w:line="240" w:lineRule="auto"/>
        <w:jc w:val="both"/>
        <w:rPr>
          <w:rFonts w:ascii="Times New Roman" w:hAnsi="Times New Roman" w:cs="Times New Roman"/>
          <w:sz w:val="24"/>
          <w:szCs w:val="24"/>
        </w:rPr>
      </w:pPr>
      <w:r w:rsidRPr="003C5122">
        <w:rPr>
          <w:rFonts w:ascii="Times New Roman" w:hAnsi="Times New Roman" w:cs="Times New Roman"/>
          <w:sz w:val="24"/>
          <w:szCs w:val="24"/>
        </w:rPr>
        <w:lastRenderedPageBreak/>
        <w:tab/>
        <w:t xml:space="preserve">Однако данная работа не всегда имеет системный характер и во многом зависит от приоритетов самих компаний, поэтому не всегда учитываются интересы местного сообщества, особенно в части реализации экологических программ, реализации отдельных инфраструктурных проектов и т.д. </w:t>
      </w:r>
    </w:p>
    <w:p w:rsidR="003C5122" w:rsidRPr="003C5122" w:rsidRDefault="003C5122" w:rsidP="003C5122">
      <w:pPr>
        <w:spacing w:after="0" w:line="240" w:lineRule="auto"/>
        <w:jc w:val="both"/>
        <w:rPr>
          <w:rFonts w:ascii="Times New Roman" w:hAnsi="Times New Roman" w:cs="Times New Roman"/>
          <w:sz w:val="24"/>
          <w:szCs w:val="24"/>
        </w:rPr>
      </w:pPr>
      <w:r w:rsidRPr="003C5122">
        <w:rPr>
          <w:rFonts w:ascii="Times New Roman" w:hAnsi="Times New Roman" w:cs="Times New Roman"/>
          <w:sz w:val="24"/>
          <w:szCs w:val="24"/>
        </w:rPr>
        <w:tab/>
        <w:t>Обозначенные проблемы определяют приоритетность направлений развития региональных социально-экономических систем исходя их существующей отраслевой и территориальной специфики. В создании системы эффективного взаимодействия заинтересованы как власть, так и крупный бизнес</w:t>
      </w:r>
      <w:r w:rsidR="0024135E">
        <w:rPr>
          <w:rFonts w:ascii="Times New Roman" w:hAnsi="Times New Roman" w:cs="Times New Roman"/>
          <w:sz w:val="24"/>
          <w:szCs w:val="24"/>
        </w:rPr>
        <w:t>.</w:t>
      </w:r>
      <w:r w:rsidRPr="003C5122">
        <w:rPr>
          <w:rFonts w:ascii="Times New Roman" w:hAnsi="Times New Roman" w:cs="Times New Roman"/>
          <w:sz w:val="24"/>
          <w:szCs w:val="24"/>
        </w:rPr>
        <w:t xml:space="preserve"> Формирование новых возможностей, направлений и ресурсов для повышения конкурентоспособности региональных социально-экономических систем определяется способностью взаимодействия органов государственной власти, бизнеса и общества находить взаимовыгодные формы сотрудничества для реализации стратегии сбалансированного развития территории. В этом случае, конечно нельзя говорить о том, что применение данного принципа гарантированно позволит решить все насущные проблемы и кардинально, качественно повлиять на изменение ситуации, но, </w:t>
      </w:r>
      <w:r w:rsidR="00934F29" w:rsidRPr="003C5122">
        <w:rPr>
          <w:rFonts w:ascii="Times New Roman" w:hAnsi="Times New Roman" w:cs="Times New Roman"/>
          <w:sz w:val="24"/>
          <w:szCs w:val="24"/>
        </w:rPr>
        <w:t>безусловно,</w:t>
      </w:r>
      <w:r w:rsidRPr="003C5122">
        <w:rPr>
          <w:rFonts w:ascii="Times New Roman" w:hAnsi="Times New Roman" w:cs="Times New Roman"/>
          <w:sz w:val="24"/>
          <w:szCs w:val="24"/>
        </w:rPr>
        <w:t xml:space="preserve"> подобное взаимодействие власти, крупного бизнеса и местного населения способно активировать «точки роста» для повышения уровня инвестиционной привлекательности региона.</w:t>
      </w:r>
    </w:p>
    <w:p w:rsidR="003C5122" w:rsidRPr="0024135E" w:rsidRDefault="003C5122" w:rsidP="003C5122">
      <w:pPr>
        <w:spacing w:after="0" w:line="240" w:lineRule="auto"/>
        <w:jc w:val="both"/>
        <w:rPr>
          <w:rFonts w:ascii="Times New Roman" w:hAnsi="Times New Roman" w:cs="Times New Roman"/>
          <w:sz w:val="24"/>
          <w:szCs w:val="24"/>
        </w:rPr>
      </w:pPr>
      <w:r w:rsidRPr="003C5122">
        <w:rPr>
          <w:rFonts w:ascii="Times New Roman" w:hAnsi="Times New Roman" w:cs="Times New Roman"/>
          <w:sz w:val="24"/>
          <w:szCs w:val="24"/>
        </w:rPr>
        <w:tab/>
      </w:r>
      <w:r w:rsidR="0024135E">
        <w:rPr>
          <w:rFonts w:ascii="Times New Roman" w:hAnsi="Times New Roman" w:cs="Times New Roman"/>
          <w:sz w:val="24"/>
          <w:szCs w:val="24"/>
        </w:rPr>
        <w:t>Таким образом</w:t>
      </w:r>
      <w:r w:rsidRPr="003C5122">
        <w:rPr>
          <w:rFonts w:ascii="Times New Roman" w:hAnsi="Times New Roman" w:cs="Times New Roman"/>
          <w:sz w:val="24"/>
          <w:szCs w:val="24"/>
        </w:rPr>
        <w:t xml:space="preserve">, крупные промышленные предприятия через реализацию </w:t>
      </w:r>
      <w:r w:rsidR="00D705B2">
        <w:rPr>
          <w:rFonts w:ascii="Times New Roman" w:hAnsi="Times New Roman" w:cs="Times New Roman"/>
          <w:sz w:val="24"/>
          <w:szCs w:val="24"/>
        </w:rPr>
        <w:t xml:space="preserve">КСО могут оказывать воздействие на региональную социально-экономическую систему </w:t>
      </w:r>
      <w:r w:rsidRPr="003C5122">
        <w:rPr>
          <w:rFonts w:ascii="Times New Roman" w:hAnsi="Times New Roman" w:cs="Times New Roman"/>
          <w:sz w:val="24"/>
          <w:szCs w:val="24"/>
        </w:rPr>
        <w:t>через функциональные блоки, включающие: анализ противоречий социально-экономического территориального развития; поиск ресурсов и определени</w:t>
      </w:r>
      <w:r w:rsidR="00934F29">
        <w:rPr>
          <w:rFonts w:ascii="Times New Roman" w:hAnsi="Times New Roman" w:cs="Times New Roman"/>
          <w:sz w:val="24"/>
          <w:szCs w:val="24"/>
        </w:rPr>
        <w:t>е</w:t>
      </w:r>
      <w:r w:rsidRPr="003C5122">
        <w:rPr>
          <w:rFonts w:ascii="Times New Roman" w:hAnsi="Times New Roman" w:cs="Times New Roman"/>
          <w:sz w:val="24"/>
          <w:szCs w:val="24"/>
        </w:rPr>
        <w:t xml:space="preserve"> ключевых факторов, обеспечивающих решение проблем; разработку социально ориентированных проектов и программ, обеспечивающих баланс интересов всех участников; мониторинг полученных результатов и корректировк</w:t>
      </w:r>
      <w:r w:rsidR="00934F29">
        <w:rPr>
          <w:rFonts w:ascii="Times New Roman" w:hAnsi="Times New Roman" w:cs="Times New Roman"/>
          <w:sz w:val="24"/>
          <w:szCs w:val="24"/>
        </w:rPr>
        <w:t>у</w:t>
      </w:r>
      <w:r w:rsidRPr="003C5122">
        <w:rPr>
          <w:rFonts w:ascii="Times New Roman" w:hAnsi="Times New Roman" w:cs="Times New Roman"/>
          <w:sz w:val="24"/>
          <w:szCs w:val="24"/>
        </w:rPr>
        <w:t xml:space="preserve"> действий, направленных на минимизацию возможных социально-экономических конфликтов.</w:t>
      </w:r>
    </w:p>
    <w:p w:rsidR="003C5122" w:rsidRDefault="003C5122" w:rsidP="0024135E">
      <w:pPr>
        <w:spacing w:after="0" w:line="240" w:lineRule="auto"/>
        <w:jc w:val="both"/>
        <w:rPr>
          <w:rFonts w:ascii="Times New Roman" w:hAnsi="Times New Roman" w:cs="Times New Roman"/>
          <w:sz w:val="24"/>
          <w:szCs w:val="24"/>
        </w:rPr>
      </w:pPr>
    </w:p>
    <w:p w:rsidR="00827E82" w:rsidRPr="001B5953" w:rsidRDefault="00827E82" w:rsidP="00353244">
      <w:pPr>
        <w:spacing w:after="0" w:line="240" w:lineRule="auto"/>
        <w:ind w:firstLine="709"/>
        <w:jc w:val="center"/>
        <w:rPr>
          <w:rFonts w:ascii="Times New Roman" w:hAnsi="Times New Roman" w:cs="Times New Roman"/>
          <w:b/>
          <w:sz w:val="24"/>
          <w:szCs w:val="24"/>
        </w:rPr>
      </w:pPr>
      <w:r w:rsidRPr="001B5953">
        <w:rPr>
          <w:rFonts w:ascii="Times New Roman" w:hAnsi="Times New Roman" w:cs="Times New Roman"/>
          <w:b/>
          <w:sz w:val="24"/>
          <w:szCs w:val="24"/>
        </w:rPr>
        <w:t>ЛИТЕРАТУРА</w:t>
      </w:r>
    </w:p>
    <w:p w:rsidR="00934F29" w:rsidRPr="00934F29" w:rsidRDefault="00934F29" w:rsidP="00934F29">
      <w:pPr>
        <w:pStyle w:val="a9"/>
        <w:widowControl w:val="0"/>
        <w:numPr>
          <w:ilvl w:val="0"/>
          <w:numId w:val="1"/>
        </w:numPr>
        <w:spacing w:after="0" w:line="240" w:lineRule="auto"/>
        <w:ind w:right="1"/>
        <w:jc w:val="both"/>
        <w:rPr>
          <w:rFonts w:ascii="Times New Roman" w:eastAsia="Calibri" w:hAnsi="Times New Roman" w:cs="Times New Roman"/>
          <w:sz w:val="24"/>
          <w:szCs w:val="24"/>
        </w:rPr>
      </w:pPr>
      <w:r w:rsidRPr="00934F29">
        <w:rPr>
          <w:rFonts w:ascii="Times New Roman" w:eastAsia="Calibri" w:hAnsi="Times New Roman" w:cs="Times New Roman"/>
          <w:sz w:val="24"/>
          <w:szCs w:val="24"/>
        </w:rPr>
        <w:t>Благов Ю. В. Генезис концепции корпоративной социальной ответственности // Вестник Сан</w:t>
      </w:r>
      <w:r w:rsidR="00B84A92">
        <w:rPr>
          <w:rFonts w:ascii="Times New Roman" w:eastAsia="Calibri" w:hAnsi="Times New Roman" w:cs="Times New Roman"/>
          <w:sz w:val="24"/>
          <w:szCs w:val="24"/>
        </w:rPr>
        <w:t>кт-Петербургского университета</w:t>
      </w:r>
      <w:r w:rsidRPr="00934F29">
        <w:rPr>
          <w:rFonts w:ascii="Times New Roman" w:eastAsia="Calibri" w:hAnsi="Times New Roman" w:cs="Times New Roman"/>
          <w:sz w:val="24"/>
          <w:szCs w:val="24"/>
        </w:rPr>
        <w:t>. – серия Менеджмент. – 2016. – С. 3–24.</w:t>
      </w:r>
    </w:p>
    <w:p w:rsidR="00934F29" w:rsidRPr="00934F29" w:rsidRDefault="00934F29" w:rsidP="00934F29">
      <w:pPr>
        <w:pStyle w:val="a9"/>
        <w:widowControl w:val="0"/>
        <w:numPr>
          <w:ilvl w:val="0"/>
          <w:numId w:val="1"/>
        </w:numPr>
        <w:spacing w:after="0" w:line="240" w:lineRule="auto"/>
        <w:ind w:right="1"/>
        <w:jc w:val="both"/>
        <w:rPr>
          <w:rFonts w:ascii="Times New Roman" w:eastAsia="Calibri" w:hAnsi="Times New Roman" w:cs="Times New Roman"/>
          <w:sz w:val="24"/>
          <w:szCs w:val="24"/>
        </w:rPr>
      </w:pPr>
      <w:r w:rsidRPr="00934F29">
        <w:rPr>
          <w:rFonts w:ascii="Times New Roman" w:eastAsia="Calibri" w:hAnsi="Times New Roman" w:cs="Times New Roman"/>
          <w:sz w:val="24"/>
          <w:szCs w:val="24"/>
        </w:rPr>
        <w:t>Данилова Л.С. Социальная ответственность бизнеса: взгляд российских исследователей // Социальные процессы современной России. Международная научно-практическая конференция. В 2 т. Нижний Новгород, 2020. С. 615-619.</w:t>
      </w:r>
    </w:p>
    <w:p w:rsidR="00934F29" w:rsidRPr="00934F29" w:rsidRDefault="00934F29" w:rsidP="00934F29">
      <w:pPr>
        <w:pStyle w:val="a9"/>
        <w:widowControl w:val="0"/>
        <w:numPr>
          <w:ilvl w:val="0"/>
          <w:numId w:val="1"/>
        </w:numPr>
        <w:spacing w:after="0" w:line="240" w:lineRule="auto"/>
        <w:ind w:right="1"/>
        <w:jc w:val="both"/>
        <w:rPr>
          <w:rFonts w:ascii="Times New Roman" w:eastAsia="Calibri" w:hAnsi="Times New Roman" w:cs="Times New Roman"/>
          <w:sz w:val="24"/>
          <w:szCs w:val="24"/>
        </w:rPr>
      </w:pPr>
      <w:r w:rsidRPr="00934F29">
        <w:rPr>
          <w:rFonts w:ascii="Times New Roman" w:eastAsia="Calibri" w:hAnsi="Times New Roman" w:cs="Times New Roman"/>
          <w:sz w:val="24"/>
          <w:szCs w:val="24"/>
        </w:rPr>
        <w:t>Коротков Э. М. Корпоративная социальная ответственность. Москва : Издательство Юрайт, 2019. – 429 с. – ISBN 978-5-534-07332-4.</w:t>
      </w:r>
    </w:p>
    <w:p w:rsidR="00934F29" w:rsidRPr="00934F29" w:rsidRDefault="00934F29" w:rsidP="00934F29">
      <w:pPr>
        <w:pStyle w:val="a9"/>
        <w:widowControl w:val="0"/>
        <w:numPr>
          <w:ilvl w:val="0"/>
          <w:numId w:val="1"/>
        </w:numPr>
        <w:spacing w:after="0" w:line="240" w:lineRule="auto"/>
        <w:ind w:right="1"/>
        <w:jc w:val="both"/>
        <w:rPr>
          <w:rFonts w:ascii="Times New Roman" w:eastAsia="Calibri" w:hAnsi="Times New Roman" w:cs="Times New Roman"/>
          <w:sz w:val="24"/>
          <w:szCs w:val="24"/>
        </w:rPr>
      </w:pPr>
      <w:r w:rsidRPr="00934F29">
        <w:rPr>
          <w:rFonts w:ascii="Times New Roman" w:eastAsia="Calibri" w:hAnsi="Times New Roman" w:cs="Times New Roman"/>
          <w:sz w:val="24"/>
          <w:szCs w:val="24"/>
        </w:rPr>
        <w:t>Снегов В.В., Дядик В.В. Оценка потенциала участия крупного бизнеса в социально-экономическом развитии Арктического региона // Экономические и социальные перемены: факты, тенденции, прогноз 2 (26) 2013</w:t>
      </w:r>
    </w:p>
    <w:p w:rsidR="00854770" w:rsidRPr="00934F29" w:rsidRDefault="00854770" w:rsidP="00353244">
      <w:pPr>
        <w:spacing w:after="0" w:line="240" w:lineRule="auto"/>
        <w:ind w:firstLine="709"/>
        <w:rPr>
          <w:rFonts w:ascii="Times New Roman" w:hAnsi="Times New Roman" w:cs="Times New Roman"/>
          <w:sz w:val="24"/>
          <w:szCs w:val="24"/>
        </w:rPr>
      </w:pPr>
    </w:p>
    <w:sectPr w:rsidR="00854770" w:rsidRPr="00934F29" w:rsidSect="001B5953">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7F71" w:rsidRDefault="00507F71" w:rsidP="00827E82">
      <w:pPr>
        <w:spacing w:after="0" w:line="240" w:lineRule="auto"/>
      </w:pPr>
      <w:r>
        <w:separator/>
      </w:r>
    </w:p>
  </w:endnote>
  <w:endnote w:type="continuationSeparator" w:id="0">
    <w:p w:rsidR="00507F71" w:rsidRDefault="00507F71" w:rsidP="00827E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DejaVu Sans">
    <w:altName w:val="Arial"/>
    <w:panose1 w:val="00000000000000000000"/>
    <w:charset w:val="00"/>
    <w:family w:val="auto"/>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7F71" w:rsidRDefault="00507F71" w:rsidP="00827E82">
      <w:pPr>
        <w:spacing w:after="0" w:line="240" w:lineRule="auto"/>
      </w:pPr>
      <w:r>
        <w:separator/>
      </w:r>
    </w:p>
  </w:footnote>
  <w:footnote w:type="continuationSeparator" w:id="0">
    <w:p w:rsidR="00507F71" w:rsidRDefault="00507F71" w:rsidP="00827E82">
      <w:pPr>
        <w:spacing w:after="0" w:line="240" w:lineRule="auto"/>
      </w:pPr>
      <w:r>
        <w:continuationSeparator/>
      </w:r>
    </w:p>
  </w:footnote>
  <w:footnote w:id="1">
    <w:p w:rsidR="00827E82" w:rsidRPr="00CA7DF7" w:rsidRDefault="00827E82" w:rsidP="00827E82">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sidR="00A16C99">
        <w:rPr>
          <w:rFonts w:ascii="Times New Roman" w:hAnsi="Times New Roman" w:cs="Times New Roman"/>
          <w:sz w:val="20"/>
          <w:szCs w:val="20"/>
        </w:rPr>
        <w:t>Свинин Сергей Вадимович</w:t>
      </w:r>
      <w:r w:rsidRPr="00CA7DF7">
        <w:rPr>
          <w:rFonts w:ascii="Times New Roman" w:hAnsi="Times New Roman" w:cs="Times New Roman"/>
          <w:sz w:val="20"/>
          <w:szCs w:val="20"/>
        </w:rPr>
        <w:t xml:space="preserve">, </w:t>
      </w:r>
      <w:r w:rsidR="00A16C99" w:rsidRPr="00A16C99">
        <w:rPr>
          <w:rFonts w:ascii="Times New Roman" w:hAnsi="Times New Roman" w:cs="Times New Roman"/>
          <w:sz w:val="20"/>
          <w:szCs w:val="20"/>
        </w:rPr>
        <w:t>стажер-исследователь</w:t>
      </w:r>
      <w:r w:rsidR="00A16C99">
        <w:rPr>
          <w:rFonts w:ascii="Times New Roman" w:hAnsi="Times New Roman" w:cs="Times New Roman"/>
          <w:sz w:val="20"/>
          <w:szCs w:val="20"/>
        </w:rPr>
        <w:t>,</w:t>
      </w:r>
      <w:r w:rsidR="00A16C99" w:rsidRPr="00A16C99">
        <w:rPr>
          <w:rFonts w:ascii="Times New Roman" w:hAnsi="Times New Roman" w:cs="Times New Roman"/>
          <w:sz w:val="20"/>
          <w:szCs w:val="20"/>
        </w:rPr>
        <w:t xml:space="preserve"> ИЭП КНЦ РАН</w:t>
      </w:r>
      <w:r w:rsidR="00A16C99">
        <w:rPr>
          <w:rFonts w:ascii="Times New Roman" w:hAnsi="Times New Roman" w:cs="Times New Roman"/>
          <w:sz w:val="20"/>
          <w:szCs w:val="20"/>
        </w:rPr>
        <w:t xml:space="preserve"> </w:t>
      </w:r>
      <w:r w:rsidRPr="00CA7DF7">
        <w:rPr>
          <w:rFonts w:ascii="Times New Roman" w:hAnsi="Times New Roman" w:cs="Times New Roman"/>
          <w:sz w:val="20"/>
          <w:szCs w:val="20"/>
        </w:rPr>
        <w:t xml:space="preserve">(Адрес: </w:t>
      </w:r>
      <w:r w:rsidR="00A16C99">
        <w:rPr>
          <w:rFonts w:ascii="Times New Roman" w:hAnsi="Times New Roman" w:cs="Times New Roman"/>
          <w:sz w:val="20"/>
          <w:szCs w:val="20"/>
        </w:rPr>
        <w:t>184209</w:t>
      </w:r>
      <w:r w:rsidRPr="00CA7DF7">
        <w:rPr>
          <w:rFonts w:ascii="Times New Roman" w:hAnsi="Times New Roman" w:cs="Times New Roman"/>
          <w:sz w:val="20"/>
          <w:szCs w:val="20"/>
        </w:rPr>
        <w:t xml:space="preserve">, </w:t>
      </w:r>
      <w:r w:rsidR="00A16C99">
        <w:rPr>
          <w:rFonts w:ascii="Times New Roman" w:hAnsi="Times New Roman" w:cs="Times New Roman"/>
          <w:sz w:val="20"/>
          <w:szCs w:val="20"/>
        </w:rPr>
        <w:t>Россия</w:t>
      </w:r>
      <w:r w:rsidRPr="00CA7DF7">
        <w:rPr>
          <w:rFonts w:ascii="Times New Roman" w:hAnsi="Times New Roman" w:cs="Times New Roman"/>
          <w:sz w:val="20"/>
          <w:szCs w:val="20"/>
        </w:rPr>
        <w:t xml:space="preserve">, </w:t>
      </w:r>
      <w:r w:rsidR="00A16C99">
        <w:rPr>
          <w:rFonts w:ascii="Times New Roman" w:hAnsi="Times New Roman" w:cs="Times New Roman"/>
          <w:sz w:val="20"/>
          <w:szCs w:val="20"/>
        </w:rPr>
        <w:t>г. Апатиты</w:t>
      </w:r>
      <w:r w:rsidRPr="00CA7DF7">
        <w:rPr>
          <w:rFonts w:ascii="Times New Roman" w:hAnsi="Times New Roman" w:cs="Times New Roman"/>
          <w:sz w:val="20"/>
          <w:szCs w:val="20"/>
        </w:rPr>
        <w:t xml:space="preserve">, ул. </w:t>
      </w:r>
      <w:r w:rsidR="00A16C99">
        <w:rPr>
          <w:rFonts w:ascii="Times New Roman" w:hAnsi="Times New Roman" w:cs="Times New Roman"/>
          <w:sz w:val="20"/>
          <w:szCs w:val="20"/>
        </w:rPr>
        <w:t>Ферсмана</w:t>
      </w:r>
      <w:r w:rsidRPr="00CA7DF7">
        <w:rPr>
          <w:rFonts w:ascii="Times New Roman" w:hAnsi="Times New Roman" w:cs="Times New Roman"/>
          <w:sz w:val="20"/>
          <w:szCs w:val="20"/>
        </w:rPr>
        <w:t xml:space="preserve">, д. </w:t>
      </w:r>
      <w:r w:rsidR="00A16C99">
        <w:rPr>
          <w:rFonts w:ascii="Times New Roman" w:hAnsi="Times New Roman" w:cs="Times New Roman"/>
          <w:sz w:val="20"/>
          <w:szCs w:val="20"/>
        </w:rPr>
        <w:t xml:space="preserve">24а, </w:t>
      </w:r>
      <w:r w:rsidRPr="00CA7DF7">
        <w:rPr>
          <w:rFonts w:ascii="Times New Roman" w:hAnsi="Times New Roman" w:cs="Times New Roman"/>
          <w:sz w:val="20"/>
          <w:szCs w:val="20"/>
        </w:rPr>
        <w:t>E-mail:</w:t>
      </w:r>
      <w:r w:rsidR="00A16C99">
        <w:rPr>
          <w:rFonts w:ascii="Times New Roman" w:hAnsi="Times New Roman" w:cs="Times New Roman"/>
          <w:sz w:val="20"/>
          <w:szCs w:val="20"/>
        </w:rPr>
        <w:t xml:space="preserve"> </w:t>
      </w:r>
      <w:r w:rsidR="00A16C99" w:rsidRPr="00A16C99">
        <w:rPr>
          <w:rFonts w:ascii="Times New Roman" w:hAnsi="Times New Roman" w:cs="Times New Roman"/>
          <w:sz w:val="20"/>
          <w:szCs w:val="20"/>
        </w:rPr>
        <w:t>sv.svinin@yandex.ru</w:t>
      </w:r>
      <w:r w:rsidRPr="00CA7DF7">
        <w:rPr>
          <w:rFonts w:ascii="Times New Roman" w:hAnsi="Times New Roman" w:cs="Times New Roman"/>
          <w:sz w:val="20"/>
          <w:szCs w:val="20"/>
        </w:rPr>
        <w:t>).</w:t>
      </w:r>
    </w:p>
  </w:footnote>
  <w:footnote w:id="2">
    <w:p w:rsidR="003C5122" w:rsidRDefault="003C5122" w:rsidP="003C5122">
      <w:pPr>
        <w:pStyle w:val="a7"/>
      </w:pPr>
      <w:r>
        <w:rPr>
          <w:rStyle w:val="a3"/>
        </w:rPr>
        <w:footnoteRef/>
      </w:r>
      <w:r>
        <w:t xml:space="preserve"> По данным интернет-портала</w:t>
      </w:r>
      <w:r w:rsidRPr="00401A74">
        <w:t xml:space="preserve"> Агентств</w:t>
      </w:r>
      <w:r>
        <w:t>а</w:t>
      </w:r>
      <w:r w:rsidRPr="00401A74">
        <w:t xml:space="preserve"> стратегических инициатив</w:t>
      </w:r>
      <w:r>
        <w:t xml:space="preserve">. Режим доступа: </w:t>
      </w:r>
      <w:r>
        <w:rPr>
          <w:lang w:val="en-US"/>
        </w:rPr>
        <w:t>URL</w:t>
      </w:r>
      <w:r w:rsidRPr="00401A74">
        <w:t>: https://asi.ru/government_officials/quality-of-life-ranking/</w:t>
      </w:r>
    </w:p>
  </w:footnote>
  <w:footnote w:id="3">
    <w:p w:rsidR="003C5122" w:rsidRPr="00401A74" w:rsidRDefault="003C5122" w:rsidP="003C5122">
      <w:pPr>
        <w:pStyle w:val="a7"/>
        <w:rPr>
          <w:lang w:val="en-US"/>
        </w:rPr>
      </w:pPr>
      <w:r>
        <w:rPr>
          <w:rStyle w:val="a3"/>
        </w:rPr>
        <w:footnoteRef/>
      </w:r>
      <w:r>
        <w:t>Там же.</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1154B79"/>
    <w:multiLevelType w:val="hybridMultilevel"/>
    <w:tmpl w:val="55806DA4"/>
    <w:lvl w:ilvl="0" w:tplc="F04E7718">
      <w:start w:val="1"/>
      <w:numFmt w:val="decimal"/>
      <w:lvlText w:val="%1."/>
      <w:lvlJc w:val="left"/>
      <w:pPr>
        <w:ind w:left="290" w:hanging="360"/>
      </w:pPr>
      <w:rPr>
        <w:rFonts w:hint="default"/>
      </w:rPr>
    </w:lvl>
    <w:lvl w:ilvl="1" w:tplc="04190019" w:tentative="1">
      <w:start w:val="1"/>
      <w:numFmt w:val="lowerLetter"/>
      <w:lvlText w:val="%2."/>
      <w:lvlJc w:val="left"/>
      <w:pPr>
        <w:ind w:left="1010" w:hanging="360"/>
      </w:pPr>
    </w:lvl>
    <w:lvl w:ilvl="2" w:tplc="0419001B" w:tentative="1">
      <w:start w:val="1"/>
      <w:numFmt w:val="lowerRoman"/>
      <w:lvlText w:val="%3."/>
      <w:lvlJc w:val="right"/>
      <w:pPr>
        <w:ind w:left="1730" w:hanging="180"/>
      </w:pPr>
    </w:lvl>
    <w:lvl w:ilvl="3" w:tplc="0419000F" w:tentative="1">
      <w:start w:val="1"/>
      <w:numFmt w:val="decimal"/>
      <w:lvlText w:val="%4."/>
      <w:lvlJc w:val="left"/>
      <w:pPr>
        <w:ind w:left="2450" w:hanging="360"/>
      </w:pPr>
    </w:lvl>
    <w:lvl w:ilvl="4" w:tplc="04190019" w:tentative="1">
      <w:start w:val="1"/>
      <w:numFmt w:val="lowerLetter"/>
      <w:lvlText w:val="%5."/>
      <w:lvlJc w:val="left"/>
      <w:pPr>
        <w:ind w:left="3170" w:hanging="360"/>
      </w:pPr>
    </w:lvl>
    <w:lvl w:ilvl="5" w:tplc="0419001B" w:tentative="1">
      <w:start w:val="1"/>
      <w:numFmt w:val="lowerRoman"/>
      <w:lvlText w:val="%6."/>
      <w:lvlJc w:val="right"/>
      <w:pPr>
        <w:ind w:left="3890" w:hanging="180"/>
      </w:pPr>
    </w:lvl>
    <w:lvl w:ilvl="6" w:tplc="0419000F" w:tentative="1">
      <w:start w:val="1"/>
      <w:numFmt w:val="decimal"/>
      <w:lvlText w:val="%7."/>
      <w:lvlJc w:val="left"/>
      <w:pPr>
        <w:ind w:left="4610" w:hanging="360"/>
      </w:pPr>
    </w:lvl>
    <w:lvl w:ilvl="7" w:tplc="04190019" w:tentative="1">
      <w:start w:val="1"/>
      <w:numFmt w:val="lowerLetter"/>
      <w:lvlText w:val="%8."/>
      <w:lvlJc w:val="left"/>
      <w:pPr>
        <w:ind w:left="5330" w:hanging="360"/>
      </w:pPr>
    </w:lvl>
    <w:lvl w:ilvl="8" w:tplc="0419001B" w:tentative="1">
      <w:start w:val="1"/>
      <w:numFmt w:val="lowerRoman"/>
      <w:lvlText w:val="%9."/>
      <w:lvlJc w:val="right"/>
      <w:pPr>
        <w:ind w:left="6050" w:hanging="180"/>
      </w:pPr>
    </w:lvl>
  </w:abstractNum>
  <w:abstractNum w:abstractNumId="1">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1"/>
    <w:footnote w:id="0"/>
  </w:footnotePr>
  <w:endnotePr>
    <w:endnote w:id="-1"/>
    <w:endnote w:id="0"/>
  </w:endnotePr>
  <w:compat/>
  <w:rsids>
    <w:rsidRoot w:val="00827E82"/>
    <w:rsid w:val="00071943"/>
    <w:rsid w:val="00093BEC"/>
    <w:rsid w:val="001B5953"/>
    <w:rsid w:val="0024135E"/>
    <w:rsid w:val="00287F75"/>
    <w:rsid w:val="00353244"/>
    <w:rsid w:val="00395BB4"/>
    <w:rsid w:val="003C5122"/>
    <w:rsid w:val="004145A0"/>
    <w:rsid w:val="0044325D"/>
    <w:rsid w:val="004E19C6"/>
    <w:rsid w:val="00507F71"/>
    <w:rsid w:val="00590F6E"/>
    <w:rsid w:val="00594924"/>
    <w:rsid w:val="005F5AF9"/>
    <w:rsid w:val="006C66A5"/>
    <w:rsid w:val="007155F3"/>
    <w:rsid w:val="00787640"/>
    <w:rsid w:val="007C5690"/>
    <w:rsid w:val="007D79E0"/>
    <w:rsid w:val="00827E82"/>
    <w:rsid w:val="00854770"/>
    <w:rsid w:val="008C75C1"/>
    <w:rsid w:val="00916BF7"/>
    <w:rsid w:val="00934F29"/>
    <w:rsid w:val="00A16C99"/>
    <w:rsid w:val="00A440BE"/>
    <w:rsid w:val="00B6344D"/>
    <w:rsid w:val="00B84A92"/>
    <w:rsid w:val="00BC155A"/>
    <w:rsid w:val="00C10BF9"/>
    <w:rsid w:val="00D705B2"/>
    <w:rsid w:val="00D80BBD"/>
    <w:rsid w:val="00E65C32"/>
    <w:rsid w:val="00EA4672"/>
    <w:rsid w:val="00ED6EA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paragraph" w:styleId="a4">
    <w:name w:val="Balloon Text"/>
    <w:basedOn w:val="a"/>
    <w:link w:val="a5"/>
    <w:uiPriority w:val="99"/>
    <w:semiHidden/>
    <w:unhideWhenUsed/>
    <w:rsid w:val="00A16C99"/>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A16C99"/>
    <w:rPr>
      <w:rFonts w:ascii="Tahoma" w:hAnsi="Tahoma" w:cs="Tahoma"/>
      <w:sz w:val="16"/>
      <w:szCs w:val="16"/>
    </w:rPr>
  </w:style>
  <w:style w:type="table" w:styleId="a6">
    <w:name w:val="Table Grid"/>
    <w:basedOn w:val="a1"/>
    <w:uiPriority w:val="59"/>
    <w:rsid w:val="003C512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note text"/>
    <w:basedOn w:val="a"/>
    <w:link w:val="a8"/>
    <w:uiPriority w:val="99"/>
    <w:semiHidden/>
    <w:unhideWhenUsed/>
    <w:rsid w:val="003C5122"/>
    <w:pPr>
      <w:spacing w:after="0" w:line="240" w:lineRule="auto"/>
    </w:pPr>
    <w:rPr>
      <w:sz w:val="20"/>
      <w:szCs w:val="20"/>
    </w:rPr>
  </w:style>
  <w:style w:type="character" w:customStyle="1" w:styleId="a8">
    <w:name w:val="Текст сноски Знак"/>
    <w:basedOn w:val="a0"/>
    <w:link w:val="a7"/>
    <w:uiPriority w:val="99"/>
    <w:semiHidden/>
    <w:rsid w:val="003C5122"/>
    <w:rPr>
      <w:sz w:val="20"/>
      <w:szCs w:val="20"/>
    </w:rPr>
  </w:style>
  <w:style w:type="paragraph" w:styleId="a9">
    <w:name w:val="List Paragraph"/>
    <w:basedOn w:val="a"/>
    <w:uiPriority w:val="34"/>
    <w:qFormat/>
    <w:rsid w:val="00934F29"/>
    <w:pPr>
      <w:spacing w:after="200" w:line="276" w:lineRule="auto"/>
      <w:ind w:left="720"/>
      <w:contextualSpacing/>
    </w:p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AA2AC5A-67FD-4545-B7C2-30EA0B061E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1920</Words>
  <Characters>10948</Characters>
  <Application>Microsoft Office Word</Application>
  <DocSecurity>0</DocSecurity>
  <Lines>91</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12843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Георгиевна Леонидова</dc:creator>
  <cp:lastModifiedBy>Кондратович</cp:lastModifiedBy>
  <cp:revision>6</cp:revision>
  <dcterms:created xsi:type="dcterms:W3CDTF">2023-05-14T16:22:00Z</dcterms:created>
  <dcterms:modified xsi:type="dcterms:W3CDTF">2023-05-14T16:49:00Z</dcterms:modified>
</cp:coreProperties>
</file>