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EE0C7" w14:textId="16C5E316" w:rsidR="005C093D" w:rsidRPr="003B6570" w:rsidRDefault="005C093D" w:rsidP="005C093D">
      <w:pPr>
        <w:spacing w:line="240" w:lineRule="auto"/>
        <w:jc w:val="right"/>
        <w:rPr>
          <w:rFonts w:ascii="Times New Roman" w:hAnsi="Times New Roman" w:cs="Times New Roman"/>
          <w:b/>
          <w:bCs/>
          <w:i/>
          <w:iCs/>
        </w:rPr>
      </w:pPr>
      <w:r w:rsidRPr="003B6570">
        <w:rPr>
          <w:rFonts w:ascii="Times New Roman" w:hAnsi="Times New Roman" w:cs="Times New Roman"/>
          <w:b/>
          <w:bCs/>
          <w:i/>
          <w:iCs/>
        </w:rPr>
        <w:t>Дубова А.А.</w:t>
      </w:r>
      <w:r w:rsidR="0032505C">
        <w:rPr>
          <w:rStyle w:val="a6"/>
          <w:rFonts w:ascii="Times New Roman" w:hAnsi="Times New Roman" w:cs="Times New Roman"/>
          <w:b/>
          <w:bCs/>
          <w:i/>
          <w:iCs/>
        </w:rPr>
        <w:footnoteReference w:id="1"/>
      </w:r>
    </w:p>
    <w:p w14:paraId="02136824" w14:textId="1EDD4ABF" w:rsidR="005C093D" w:rsidRDefault="005C093D" w:rsidP="00396B49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1A1A1A"/>
          <w:sz w:val="24"/>
          <w:szCs w:val="24"/>
          <w:shd w:val="clear" w:color="auto" w:fill="FFFFFF"/>
        </w:rPr>
      </w:pPr>
      <w:r w:rsidRPr="00396B49">
        <w:rPr>
          <w:rFonts w:ascii="Times New Roman" w:hAnsi="Times New Roman" w:cs="Times New Roman"/>
          <w:b/>
          <w:bCs/>
          <w:color w:val="1A1A1A"/>
          <w:sz w:val="24"/>
          <w:szCs w:val="24"/>
          <w:shd w:val="clear" w:color="auto" w:fill="FFFFFF"/>
        </w:rPr>
        <w:t>Государственно-частное партнерство как модель развития публичной инфраструктуры</w:t>
      </w:r>
    </w:p>
    <w:p w14:paraId="79ABC83B" w14:textId="77777777" w:rsidR="00396B49" w:rsidRDefault="00396B49" w:rsidP="00396B49">
      <w:pPr>
        <w:spacing w:after="0" w:line="240" w:lineRule="auto"/>
        <w:rPr>
          <w:rFonts w:ascii="Times New Roman" w:hAnsi="Times New Roman" w:cs="Times New Roman"/>
          <w:b/>
          <w:bCs/>
          <w:color w:val="1A1A1A"/>
          <w:sz w:val="24"/>
          <w:szCs w:val="24"/>
          <w:shd w:val="clear" w:color="auto" w:fill="FFFFFF"/>
        </w:rPr>
      </w:pPr>
    </w:p>
    <w:p w14:paraId="378D8EA7" w14:textId="379F3C09" w:rsidR="00733847" w:rsidRDefault="00396B49" w:rsidP="00396B49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  <w:color w:val="1A1A1A"/>
          <w:shd w:val="clear" w:color="auto" w:fill="FFFFFF"/>
        </w:rPr>
      </w:pPr>
      <w:r w:rsidRPr="00396B49">
        <w:rPr>
          <w:rFonts w:ascii="Times New Roman" w:hAnsi="Times New Roman" w:cs="Times New Roman"/>
          <w:b/>
          <w:bCs/>
          <w:color w:val="1A1A1A"/>
          <w:shd w:val="clear" w:color="auto" w:fill="FFFFFF"/>
        </w:rPr>
        <w:t xml:space="preserve">Аннотация: </w:t>
      </w:r>
      <w:r w:rsidRPr="00396B49">
        <w:rPr>
          <w:rFonts w:ascii="Times New Roman" w:hAnsi="Times New Roman" w:cs="Times New Roman"/>
          <w:i/>
          <w:iCs/>
          <w:color w:val="1A1A1A"/>
          <w:shd w:val="clear" w:color="auto" w:fill="FFFFFF"/>
        </w:rPr>
        <w:t xml:space="preserve">Концепция государственно-частного партнерства является эффективным инструментом для развития публичной инфраструктуры. </w:t>
      </w:r>
      <w:r w:rsidR="00733847" w:rsidRPr="00733847">
        <w:rPr>
          <w:rFonts w:ascii="Times New Roman" w:hAnsi="Times New Roman" w:cs="Times New Roman"/>
          <w:i/>
          <w:iCs/>
          <w:color w:val="1A1A1A"/>
          <w:shd w:val="clear" w:color="auto" w:fill="FFFFFF"/>
        </w:rPr>
        <w:t xml:space="preserve">В данной статье </w:t>
      </w:r>
      <w:r w:rsidR="00733847">
        <w:rPr>
          <w:rFonts w:ascii="Times New Roman" w:hAnsi="Times New Roman" w:cs="Times New Roman"/>
          <w:i/>
          <w:iCs/>
          <w:color w:val="1A1A1A"/>
          <w:shd w:val="clear" w:color="auto" w:fill="FFFFFF"/>
        </w:rPr>
        <w:t xml:space="preserve">будут подробно рассмотрены </w:t>
      </w:r>
      <w:r w:rsidR="00733847" w:rsidRPr="00733847">
        <w:rPr>
          <w:rFonts w:ascii="Times New Roman" w:hAnsi="Times New Roman" w:cs="Times New Roman"/>
          <w:i/>
          <w:iCs/>
          <w:color w:val="1A1A1A"/>
          <w:shd w:val="clear" w:color="auto" w:fill="FFFFFF"/>
        </w:rPr>
        <w:t>преимущества и недостатки данной модели</w:t>
      </w:r>
      <w:r w:rsidR="00733847">
        <w:rPr>
          <w:rFonts w:ascii="Times New Roman" w:hAnsi="Times New Roman" w:cs="Times New Roman"/>
          <w:i/>
          <w:iCs/>
          <w:color w:val="1A1A1A"/>
          <w:shd w:val="clear" w:color="auto" w:fill="FFFFFF"/>
        </w:rPr>
        <w:t>, примеры успешно реализованных проектов в России.</w:t>
      </w:r>
    </w:p>
    <w:p w14:paraId="7800E6CD" w14:textId="746645D6" w:rsidR="00396B49" w:rsidRPr="00396B49" w:rsidRDefault="00396B49" w:rsidP="00396B49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color w:val="1A1A1A"/>
          <w:shd w:val="clear" w:color="auto" w:fill="FFFFFF"/>
        </w:rPr>
      </w:pPr>
      <w:r w:rsidRPr="00396B49">
        <w:rPr>
          <w:rFonts w:ascii="Times New Roman" w:hAnsi="Times New Roman" w:cs="Times New Roman"/>
          <w:b/>
          <w:bCs/>
          <w:color w:val="1A1A1A"/>
          <w:shd w:val="clear" w:color="auto" w:fill="FFFFFF"/>
        </w:rPr>
        <w:t>Ключевые слова:</w:t>
      </w:r>
      <w:r>
        <w:rPr>
          <w:rFonts w:ascii="Times New Roman" w:hAnsi="Times New Roman" w:cs="Times New Roman"/>
          <w:b/>
          <w:bCs/>
          <w:color w:val="1A1A1A"/>
          <w:shd w:val="clear" w:color="auto" w:fill="FFFFFF"/>
        </w:rPr>
        <w:t xml:space="preserve"> </w:t>
      </w:r>
      <w:r w:rsidRPr="00396B49">
        <w:rPr>
          <w:rFonts w:ascii="Times New Roman" w:hAnsi="Times New Roman" w:cs="Times New Roman"/>
          <w:i/>
          <w:iCs/>
          <w:color w:val="1A1A1A"/>
          <w:shd w:val="clear" w:color="auto" w:fill="FFFFFF"/>
        </w:rPr>
        <w:t xml:space="preserve">государственно-частное партнерство, государство, бизнес, инвестиции, </w:t>
      </w:r>
      <w:r w:rsidR="00253497">
        <w:rPr>
          <w:rFonts w:ascii="Times New Roman" w:hAnsi="Times New Roman" w:cs="Times New Roman"/>
          <w:i/>
          <w:iCs/>
          <w:color w:val="1A1A1A"/>
          <w:shd w:val="clear" w:color="auto" w:fill="FFFFFF"/>
        </w:rPr>
        <w:t>публичная инфраструктура</w:t>
      </w:r>
      <w:r w:rsidR="003B21AF">
        <w:rPr>
          <w:rFonts w:ascii="Times New Roman" w:hAnsi="Times New Roman" w:cs="Times New Roman"/>
          <w:i/>
          <w:iCs/>
          <w:color w:val="1A1A1A"/>
          <w:shd w:val="clear" w:color="auto" w:fill="FFFFFF"/>
        </w:rPr>
        <w:t>.</w:t>
      </w:r>
    </w:p>
    <w:p w14:paraId="039DBEE4" w14:textId="77777777" w:rsidR="00396B49" w:rsidRPr="00396B49" w:rsidRDefault="00396B49" w:rsidP="00396B49">
      <w:pPr>
        <w:spacing w:after="0" w:line="240" w:lineRule="auto"/>
        <w:rPr>
          <w:rFonts w:ascii="Times New Roman" w:hAnsi="Times New Roman" w:cs="Times New Roman"/>
          <w:b/>
          <w:bCs/>
          <w:color w:val="1A1A1A"/>
          <w:sz w:val="24"/>
          <w:szCs w:val="24"/>
          <w:shd w:val="clear" w:color="auto" w:fill="FFFFFF"/>
        </w:rPr>
      </w:pPr>
    </w:p>
    <w:p w14:paraId="7A9C9CD7" w14:textId="5AA96337" w:rsidR="00BB2D80" w:rsidRPr="00BB2D80" w:rsidRDefault="00BB2D80" w:rsidP="00BB2D8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 xml:space="preserve">Государственная инфраструктура, включая дороги, мосты, гидротехнические сооружения, общественный транспорт и другие объекты, является важной составляющей экономики любой страны. Однако, качество и доступность </w:t>
      </w:r>
      <w:r>
        <w:rPr>
          <w:rFonts w:ascii="Times New Roman" w:hAnsi="Times New Roman" w:cs="Times New Roman"/>
          <w:sz w:val="24"/>
          <w:szCs w:val="24"/>
        </w:rPr>
        <w:t>публичной</w:t>
      </w:r>
      <w:r w:rsidRPr="00BB2D80">
        <w:rPr>
          <w:rFonts w:ascii="Times New Roman" w:hAnsi="Times New Roman" w:cs="Times New Roman"/>
          <w:sz w:val="24"/>
          <w:szCs w:val="24"/>
        </w:rPr>
        <w:t xml:space="preserve"> инфраструктуры могут сильно варьироваться в зависимости от страны, региона и даже района. В некоторых местах </w:t>
      </w:r>
      <w:r w:rsidR="00090745">
        <w:rPr>
          <w:rFonts w:ascii="Times New Roman" w:hAnsi="Times New Roman" w:cs="Times New Roman"/>
          <w:sz w:val="24"/>
          <w:szCs w:val="24"/>
        </w:rPr>
        <w:t>публичная</w:t>
      </w:r>
      <w:r w:rsidRPr="00BB2D80">
        <w:rPr>
          <w:rFonts w:ascii="Times New Roman" w:hAnsi="Times New Roman" w:cs="Times New Roman"/>
          <w:sz w:val="24"/>
          <w:szCs w:val="24"/>
        </w:rPr>
        <w:t xml:space="preserve"> инфраструктура может быть устаревшей или недостаточной для нужд населения.</w:t>
      </w:r>
    </w:p>
    <w:p w14:paraId="2E77C761" w14:textId="1B5BBB12" w:rsidR="00450307" w:rsidRDefault="00BB2D80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 xml:space="preserve">В последние годы все больше стран начинают использовать </w:t>
      </w:r>
      <w:r>
        <w:rPr>
          <w:rFonts w:ascii="Times New Roman" w:hAnsi="Times New Roman" w:cs="Times New Roman"/>
          <w:sz w:val="24"/>
          <w:szCs w:val="24"/>
        </w:rPr>
        <w:t>г</w:t>
      </w:r>
      <w:r w:rsidRPr="001816B8">
        <w:rPr>
          <w:rFonts w:ascii="Times New Roman" w:hAnsi="Times New Roman" w:cs="Times New Roman"/>
          <w:sz w:val="24"/>
          <w:szCs w:val="24"/>
        </w:rPr>
        <w:t>осударственно-частное партнерство</w:t>
      </w:r>
      <w:r>
        <w:rPr>
          <w:rFonts w:ascii="Times New Roman" w:hAnsi="Times New Roman" w:cs="Times New Roman"/>
          <w:sz w:val="24"/>
          <w:szCs w:val="24"/>
        </w:rPr>
        <w:t xml:space="preserve"> (далее – ГЧП)</w:t>
      </w:r>
      <w:r w:rsidRPr="00BB2D80">
        <w:rPr>
          <w:rFonts w:ascii="Times New Roman" w:hAnsi="Times New Roman" w:cs="Times New Roman"/>
          <w:sz w:val="24"/>
          <w:szCs w:val="24"/>
        </w:rPr>
        <w:t xml:space="preserve"> для развития публичной инфраструктуры.</w:t>
      </w:r>
      <w:r>
        <w:rPr>
          <w:rFonts w:ascii="Times New Roman" w:hAnsi="Times New Roman" w:cs="Times New Roman"/>
          <w:sz w:val="24"/>
          <w:szCs w:val="24"/>
        </w:rPr>
        <w:t xml:space="preserve"> ГЧП</w:t>
      </w:r>
      <w:r w:rsidRPr="00BB2D80">
        <w:rPr>
          <w:rFonts w:ascii="Times New Roman" w:hAnsi="Times New Roman" w:cs="Times New Roman"/>
          <w:sz w:val="24"/>
          <w:szCs w:val="24"/>
        </w:rPr>
        <w:t xml:space="preserve"> </w:t>
      </w:r>
      <w:r w:rsidR="005E7B15" w:rsidRPr="001816B8">
        <w:rPr>
          <w:rFonts w:ascii="Times New Roman" w:hAnsi="Times New Roman" w:cs="Times New Roman"/>
          <w:sz w:val="24"/>
          <w:szCs w:val="24"/>
        </w:rPr>
        <w:t>- юридически оформленное на определенный срок и основанное на объединении ресурсов, распределении рисков сотрудничество публичного партнера, с одной стороны, и частного партнера, с другой стороны, в целях привлечения в экономику частных инвестиций, обеспечения органами государственной власти доступности товаров, работ, услуг и повышения их качества</w:t>
      </w:r>
      <w:r w:rsidR="005E7B15">
        <w:rPr>
          <w:rFonts w:ascii="Times New Roman" w:hAnsi="Times New Roman" w:cs="Times New Roman"/>
          <w:sz w:val="24"/>
          <w:szCs w:val="24"/>
        </w:rPr>
        <w:t xml:space="preserve"> </w:t>
      </w:r>
      <w:r w:rsidR="005E7B15" w:rsidRPr="001536E0">
        <w:rPr>
          <w:rFonts w:ascii="Times New Roman" w:eastAsia="Calibri" w:hAnsi="Times New Roman" w:cs="Times New Roman"/>
          <w:iCs/>
          <w:sz w:val="24"/>
          <w:szCs w:val="24"/>
        </w:rPr>
        <w:t>[</w:t>
      </w:r>
      <w:r w:rsidR="005E7B15">
        <w:rPr>
          <w:rFonts w:ascii="Times New Roman" w:eastAsia="Calibri" w:hAnsi="Times New Roman" w:cs="Times New Roman"/>
          <w:iCs/>
          <w:sz w:val="24"/>
          <w:szCs w:val="24"/>
        </w:rPr>
        <w:t>1</w:t>
      </w:r>
      <w:r w:rsidR="005E7B15" w:rsidRPr="001536E0">
        <w:rPr>
          <w:rFonts w:ascii="Times New Roman" w:eastAsia="Calibri" w:hAnsi="Times New Roman" w:cs="Times New Roman"/>
          <w:iCs/>
          <w:sz w:val="24"/>
          <w:szCs w:val="24"/>
        </w:rPr>
        <w:t>]</w:t>
      </w:r>
      <w:r w:rsidR="005E7B1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34D020F" w14:textId="2F502526" w:rsidR="002333EE" w:rsidRDefault="002333EE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33EE">
        <w:rPr>
          <w:rFonts w:ascii="Times New Roman" w:hAnsi="Times New Roman" w:cs="Times New Roman"/>
          <w:sz w:val="24"/>
          <w:szCs w:val="24"/>
        </w:rPr>
        <w:t>Концепция ГЧП в России начала активно развиваться в 2005 году и с тех пор стала эффективным инструментом в развитии публичной инфраструктуры. В России ГЧП-модель используется в различных сферах, включая транспортную инфраструктуру, жилищное строительство, энергетику, здравоохранение и др. Важным фактором успеха ГЧП-проектов является правильный выбор партнеров и формата партнерства, а также прозрачность и контроль за реализацией проектов со стороны государства.</w:t>
      </w:r>
    </w:p>
    <w:p w14:paraId="6CEAE09F" w14:textId="05851617" w:rsidR="006C2C53" w:rsidRDefault="006C2C53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2C53">
        <w:rPr>
          <w:rFonts w:ascii="Times New Roman" w:hAnsi="Times New Roman" w:cs="Times New Roman"/>
          <w:sz w:val="24"/>
          <w:szCs w:val="24"/>
        </w:rPr>
        <w:t>Основной принцип ГЧП заключается в том, что государство и частный сектор совместно финансируют и реализуют проекты. ГЧП позволяет ускорить и улучшить качество выполнения работ, а также снизить риски и затраты на реализацию проектов. Кроме того, в рамках ГЧП государство может привлечь дополнительные инвестиции для развития инфраструктуры, что особенно важно в условиях ограниченных бюджетных ресурсов.</w:t>
      </w:r>
    </w:p>
    <w:p w14:paraId="24DA952E" w14:textId="24FCA6C8" w:rsidR="00BB2D80" w:rsidRPr="00BB2D80" w:rsidRDefault="00BB2D80" w:rsidP="00BB2D8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>Основными чертами государственно-частного партнерства являются</w:t>
      </w:r>
      <w:r w:rsidR="00B60177">
        <w:rPr>
          <w:rFonts w:ascii="Times New Roman" w:hAnsi="Times New Roman" w:cs="Times New Roman"/>
          <w:sz w:val="24"/>
          <w:szCs w:val="24"/>
        </w:rPr>
        <w:t xml:space="preserve"> </w:t>
      </w:r>
      <w:r w:rsidR="00B60177" w:rsidRPr="001536E0">
        <w:rPr>
          <w:rFonts w:ascii="Times New Roman" w:eastAsia="Calibri" w:hAnsi="Times New Roman" w:cs="Times New Roman"/>
          <w:iCs/>
          <w:sz w:val="24"/>
          <w:szCs w:val="24"/>
        </w:rPr>
        <w:t>[</w:t>
      </w:r>
      <w:r w:rsidR="00D753AD">
        <w:rPr>
          <w:rFonts w:ascii="Times New Roman" w:eastAsia="Calibri" w:hAnsi="Times New Roman" w:cs="Times New Roman"/>
          <w:iCs/>
          <w:sz w:val="24"/>
          <w:szCs w:val="24"/>
        </w:rPr>
        <w:t>5</w:t>
      </w:r>
      <w:r w:rsidR="00B60177" w:rsidRPr="001536E0">
        <w:rPr>
          <w:rFonts w:ascii="Times New Roman" w:eastAsia="Calibri" w:hAnsi="Times New Roman" w:cs="Times New Roman"/>
          <w:iCs/>
          <w:sz w:val="24"/>
          <w:szCs w:val="24"/>
        </w:rPr>
        <w:t>]</w:t>
      </w:r>
      <w:r w:rsidRPr="00BB2D80">
        <w:rPr>
          <w:rFonts w:ascii="Times New Roman" w:hAnsi="Times New Roman" w:cs="Times New Roman"/>
          <w:sz w:val="24"/>
          <w:szCs w:val="24"/>
        </w:rPr>
        <w:t>:</w:t>
      </w:r>
    </w:p>
    <w:p w14:paraId="7099DD86" w14:textId="77777777" w:rsidR="00BB2D80" w:rsidRPr="00BB2D80" w:rsidRDefault="00BB2D80" w:rsidP="00090745">
      <w:pPr>
        <w:pStyle w:val="a7"/>
        <w:numPr>
          <w:ilvl w:val="0"/>
          <w:numId w:val="1"/>
        </w:numPr>
        <w:spacing w:after="0" w:line="240" w:lineRule="auto"/>
        <w:ind w:left="0" w:firstLine="624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>ГЧП осуществляется в зоне ответственности государства;</w:t>
      </w:r>
    </w:p>
    <w:p w14:paraId="59D45963" w14:textId="77777777" w:rsidR="00BB2D80" w:rsidRPr="00BB2D80" w:rsidRDefault="00BB2D80" w:rsidP="00090745">
      <w:pPr>
        <w:pStyle w:val="a7"/>
        <w:numPr>
          <w:ilvl w:val="0"/>
          <w:numId w:val="1"/>
        </w:numPr>
        <w:spacing w:after="0" w:line="240" w:lineRule="auto"/>
        <w:ind w:left="0" w:firstLine="624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>направлено на развитие инфраструктуры (производственной и социальной);</w:t>
      </w:r>
    </w:p>
    <w:p w14:paraId="4276009C" w14:textId="77777777" w:rsidR="00BB2D80" w:rsidRPr="00BB2D80" w:rsidRDefault="00BB2D80" w:rsidP="00090745">
      <w:pPr>
        <w:pStyle w:val="a7"/>
        <w:numPr>
          <w:ilvl w:val="0"/>
          <w:numId w:val="1"/>
        </w:numPr>
        <w:spacing w:after="0" w:line="240" w:lineRule="auto"/>
        <w:ind w:left="0" w:firstLine="624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>осуществляет специфические формы софинансирования (совместные инвестиции, инвестиции частных инвесторов, инвестиции государства);</w:t>
      </w:r>
    </w:p>
    <w:p w14:paraId="44022BC0" w14:textId="77777777" w:rsidR="00BB2D80" w:rsidRPr="00BB2D80" w:rsidRDefault="00BB2D80" w:rsidP="00090745">
      <w:pPr>
        <w:pStyle w:val="a7"/>
        <w:numPr>
          <w:ilvl w:val="0"/>
          <w:numId w:val="1"/>
        </w:numPr>
        <w:spacing w:after="0" w:line="240" w:lineRule="auto"/>
        <w:ind w:left="0" w:firstLine="624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>обеспечивает частным компаниям более широкие возможности для участия в управлении проектами, чем при выполнении государственных заказов;</w:t>
      </w:r>
    </w:p>
    <w:p w14:paraId="22553EBE" w14:textId="77777777" w:rsidR="00BB2D80" w:rsidRPr="00BB2D80" w:rsidRDefault="00BB2D80" w:rsidP="00090745">
      <w:pPr>
        <w:pStyle w:val="a7"/>
        <w:numPr>
          <w:ilvl w:val="0"/>
          <w:numId w:val="1"/>
        </w:numPr>
        <w:spacing w:after="0" w:line="240" w:lineRule="auto"/>
        <w:ind w:left="0" w:firstLine="624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>использует специфические формы распределения ответственности между партнерами;</w:t>
      </w:r>
    </w:p>
    <w:p w14:paraId="3B54B845" w14:textId="77777777" w:rsidR="00BB2D80" w:rsidRPr="00BB2D80" w:rsidRDefault="00BB2D80" w:rsidP="00090745">
      <w:pPr>
        <w:pStyle w:val="a7"/>
        <w:numPr>
          <w:ilvl w:val="0"/>
          <w:numId w:val="1"/>
        </w:numPr>
        <w:spacing w:after="0" w:line="240" w:lineRule="auto"/>
        <w:ind w:left="0" w:firstLine="624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>носит долгосрочный характер, но имеет определенные ограничения;</w:t>
      </w:r>
    </w:p>
    <w:p w14:paraId="3C2E0037" w14:textId="77777777" w:rsidR="00BB2D80" w:rsidRPr="00BB2D80" w:rsidRDefault="00BB2D80" w:rsidP="00090745">
      <w:pPr>
        <w:pStyle w:val="a7"/>
        <w:numPr>
          <w:ilvl w:val="0"/>
          <w:numId w:val="1"/>
        </w:numPr>
        <w:spacing w:after="0" w:line="240" w:lineRule="auto"/>
        <w:ind w:left="0" w:firstLine="624"/>
        <w:jc w:val="both"/>
        <w:rPr>
          <w:rFonts w:ascii="Times New Roman" w:hAnsi="Times New Roman" w:cs="Times New Roman"/>
          <w:sz w:val="24"/>
          <w:szCs w:val="24"/>
        </w:rPr>
      </w:pPr>
      <w:r w:rsidRPr="00BB2D80">
        <w:rPr>
          <w:rFonts w:ascii="Times New Roman" w:hAnsi="Times New Roman" w:cs="Times New Roman"/>
          <w:sz w:val="24"/>
          <w:szCs w:val="24"/>
        </w:rPr>
        <w:t>обеспечивает разграничение рисков проекта между партнерами.</w:t>
      </w:r>
    </w:p>
    <w:p w14:paraId="0C54C7AE" w14:textId="3654A50E" w:rsidR="002333EE" w:rsidRDefault="0032505C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2333EE">
        <w:rPr>
          <w:rFonts w:ascii="Times New Roman" w:hAnsi="Times New Roman" w:cs="Times New Roman"/>
          <w:sz w:val="24"/>
          <w:szCs w:val="24"/>
        </w:rPr>
        <w:t xml:space="preserve">о данным </w:t>
      </w:r>
      <w:bookmarkStart w:id="0" w:name="_Hlk134952600"/>
      <w:r w:rsidR="00845F5F">
        <w:rPr>
          <w:rFonts w:ascii="Times New Roman" w:hAnsi="Times New Roman" w:cs="Times New Roman"/>
          <w:sz w:val="24"/>
          <w:szCs w:val="24"/>
        </w:rPr>
        <w:t xml:space="preserve">ежегодного </w:t>
      </w:r>
      <w:r w:rsidR="002333EE">
        <w:rPr>
          <w:rFonts w:ascii="Times New Roman" w:hAnsi="Times New Roman" w:cs="Times New Roman"/>
          <w:sz w:val="24"/>
          <w:szCs w:val="24"/>
        </w:rPr>
        <w:t>аналитического обзора</w:t>
      </w:r>
      <w:r w:rsidR="00845F5F">
        <w:rPr>
          <w:rFonts w:ascii="Times New Roman" w:hAnsi="Times New Roman" w:cs="Times New Roman"/>
          <w:sz w:val="24"/>
          <w:szCs w:val="24"/>
        </w:rPr>
        <w:t xml:space="preserve"> </w:t>
      </w:r>
      <w:r w:rsidR="002333EE">
        <w:rPr>
          <w:rFonts w:ascii="Times New Roman" w:hAnsi="Times New Roman" w:cs="Times New Roman"/>
          <w:sz w:val="24"/>
          <w:szCs w:val="24"/>
        </w:rPr>
        <w:t>Национальн</w:t>
      </w:r>
      <w:r w:rsidR="00845F5F">
        <w:rPr>
          <w:rFonts w:ascii="Times New Roman" w:hAnsi="Times New Roman" w:cs="Times New Roman"/>
          <w:sz w:val="24"/>
          <w:szCs w:val="24"/>
        </w:rPr>
        <w:t>ого</w:t>
      </w:r>
      <w:r w:rsidR="002333EE">
        <w:rPr>
          <w:rFonts w:ascii="Times New Roman" w:hAnsi="Times New Roman" w:cs="Times New Roman"/>
          <w:sz w:val="24"/>
          <w:szCs w:val="24"/>
        </w:rPr>
        <w:t xml:space="preserve"> Центр</w:t>
      </w:r>
      <w:r w:rsidR="00845F5F">
        <w:rPr>
          <w:rFonts w:ascii="Times New Roman" w:hAnsi="Times New Roman" w:cs="Times New Roman"/>
          <w:sz w:val="24"/>
          <w:szCs w:val="24"/>
        </w:rPr>
        <w:t>а</w:t>
      </w:r>
      <w:r w:rsidR="002333EE">
        <w:rPr>
          <w:rFonts w:ascii="Times New Roman" w:hAnsi="Times New Roman" w:cs="Times New Roman"/>
          <w:sz w:val="24"/>
          <w:szCs w:val="24"/>
        </w:rPr>
        <w:t xml:space="preserve"> ГЧП</w:t>
      </w:r>
      <w:bookmarkEnd w:id="0"/>
      <w:r w:rsidR="00845F5F">
        <w:rPr>
          <w:rFonts w:ascii="Times New Roman" w:hAnsi="Times New Roman" w:cs="Times New Roman"/>
          <w:sz w:val="24"/>
          <w:szCs w:val="24"/>
        </w:rPr>
        <w:t xml:space="preserve">, в </w:t>
      </w:r>
      <w:r w:rsidR="002333EE">
        <w:rPr>
          <w:rFonts w:ascii="Times New Roman" w:hAnsi="Times New Roman" w:cs="Times New Roman"/>
          <w:sz w:val="24"/>
          <w:szCs w:val="24"/>
        </w:rPr>
        <w:t>сентябр</w:t>
      </w:r>
      <w:r w:rsidR="00845F5F">
        <w:rPr>
          <w:rFonts w:ascii="Times New Roman" w:hAnsi="Times New Roman" w:cs="Times New Roman"/>
          <w:sz w:val="24"/>
          <w:szCs w:val="24"/>
        </w:rPr>
        <w:t>е</w:t>
      </w:r>
      <w:r w:rsidR="002333EE" w:rsidRPr="00B013EA">
        <w:rPr>
          <w:rFonts w:ascii="Times New Roman" w:hAnsi="Times New Roman" w:cs="Times New Roman"/>
          <w:sz w:val="24"/>
          <w:szCs w:val="24"/>
        </w:rPr>
        <w:t xml:space="preserve"> 202</w:t>
      </w:r>
      <w:r w:rsidR="002333EE">
        <w:rPr>
          <w:rFonts w:ascii="Times New Roman" w:hAnsi="Times New Roman" w:cs="Times New Roman"/>
          <w:sz w:val="24"/>
          <w:szCs w:val="24"/>
        </w:rPr>
        <w:t>2</w:t>
      </w:r>
      <w:r w:rsidR="002333EE" w:rsidRPr="00B013EA">
        <w:rPr>
          <w:rFonts w:ascii="Times New Roman" w:hAnsi="Times New Roman" w:cs="Times New Roman"/>
          <w:sz w:val="24"/>
          <w:szCs w:val="24"/>
        </w:rPr>
        <w:t xml:space="preserve"> года в Российской Федерации заключено </w:t>
      </w:r>
      <w:r w:rsidR="002333EE">
        <w:rPr>
          <w:rFonts w:ascii="Times New Roman" w:hAnsi="Times New Roman" w:cs="Times New Roman"/>
          <w:sz w:val="24"/>
          <w:szCs w:val="24"/>
        </w:rPr>
        <w:t xml:space="preserve">свыше </w:t>
      </w:r>
      <w:r w:rsidR="002333EE" w:rsidRPr="00B013EA">
        <w:rPr>
          <w:rFonts w:ascii="Times New Roman" w:hAnsi="Times New Roman" w:cs="Times New Roman"/>
          <w:sz w:val="24"/>
          <w:szCs w:val="24"/>
        </w:rPr>
        <w:t>3,</w:t>
      </w:r>
      <w:r w:rsidR="002333EE">
        <w:rPr>
          <w:rFonts w:ascii="Times New Roman" w:hAnsi="Times New Roman" w:cs="Times New Roman"/>
          <w:sz w:val="24"/>
          <w:szCs w:val="24"/>
        </w:rPr>
        <w:t>7</w:t>
      </w:r>
      <w:r w:rsidR="002333EE" w:rsidRPr="00B013EA">
        <w:rPr>
          <w:rFonts w:ascii="Times New Roman" w:hAnsi="Times New Roman" w:cs="Times New Roman"/>
          <w:sz w:val="24"/>
          <w:szCs w:val="24"/>
        </w:rPr>
        <w:t xml:space="preserve"> тыс</w:t>
      </w:r>
      <w:r w:rsidR="002333EE">
        <w:rPr>
          <w:rFonts w:ascii="Times New Roman" w:hAnsi="Times New Roman" w:cs="Times New Roman"/>
          <w:sz w:val="24"/>
          <w:szCs w:val="24"/>
        </w:rPr>
        <w:t>яч</w:t>
      </w:r>
      <w:r w:rsidR="002333EE" w:rsidRPr="00B013EA">
        <w:rPr>
          <w:rFonts w:ascii="Times New Roman" w:hAnsi="Times New Roman" w:cs="Times New Roman"/>
          <w:sz w:val="24"/>
          <w:szCs w:val="24"/>
        </w:rPr>
        <w:t xml:space="preserve"> </w:t>
      </w:r>
      <w:r w:rsidR="002333EE">
        <w:rPr>
          <w:rFonts w:ascii="Times New Roman" w:hAnsi="Times New Roman" w:cs="Times New Roman"/>
          <w:sz w:val="24"/>
          <w:szCs w:val="24"/>
        </w:rPr>
        <w:t xml:space="preserve">концессионных соглашений (далее – </w:t>
      </w:r>
      <w:r w:rsidR="002333EE" w:rsidRPr="00B013EA">
        <w:rPr>
          <w:rFonts w:ascii="Times New Roman" w:hAnsi="Times New Roman" w:cs="Times New Roman"/>
          <w:sz w:val="24"/>
          <w:szCs w:val="24"/>
        </w:rPr>
        <w:t>КС</w:t>
      </w:r>
      <w:r w:rsidR="002333EE">
        <w:rPr>
          <w:rFonts w:ascii="Times New Roman" w:hAnsi="Times New Roman" w:cs="Times New Roman"/>
          <w:sz w:val="24"/>
          <w:szCs w:val="24"/>
        </w:rPr>
        <w:t>)</w:t>
      </w:r>
      <w:r w:rsidR="002333EE" w:rsidRPr="00B013EA">
        <w:rPr>
          <w:rFonts w:ascii="Times New Roman" w:hAnsi="Times New Roman" w:cs="Times New Roman"/>
          <w:sz w:val="24"/>
          <w:szCs w:val="24"/>
        </w:rPr>
        <w:t xml:space="preserve"> с общим объемом инвестиционных обязательств</w:t>
      </w:r>
      <w:r w:rsidR="002333EE">
        <w:rPr>
          <w:rFonts w:ascii="Times New Roman" w:hAnsi="Times New Roman" w:cs="Times New Roman"/>
          <w:sz w:val="24"/>
          <w:szCs w:val="24"/>
        </w:rPr>
        <w:t xml:space="preserve"> 5,4</w:t>
      </w:r>
      <w:r w:rsidR="002333EE" w:rsidRPr="00B013EA">
        <w:rPr>
          <w:rFonts w:ascii="Times New Roman" w:hAnsi="Times New Roman" w:cs="Times New Roman"/>
          <w:sz w:val="24"/>
          <w:szCs w:val="24"/>
        </w:rPr>
        <w:t xml:space="preserve"> </w:t>
      </w:r>
      <w:r w:rsidR="002333EE">
        <w:rPr>
          <w:rFonts w:ascii="Times New Roman" w:hAnsi="Times New Roman" w:cs="Times New Roman"/>
          <w:sz w:val="24"/>
          <w:szCs w:val="24"/>
        </w:rPr>
        <w:t>миллиардов</w:t>
      </w:r>
      <w:r w:rsidR="002333EE" w:rsidRPr="00B013EA">
        <w:rPr>
          <w:rFonts w:ascii="Times New Roman" w:hAnsi="Times New Roman" w:cs="Times New Roman"/>
          <w:sz w:val="24"/>
          <w:szCs w:val="24"/>
        </w:rPr>
        <w:t xml:space="preserve"> рублей</w:t>
      </w:r>
      <w:r w:rsidR="002333EE">
        <w:rPr>
          <w:rFonts w:ascii="Times New Roman" w:hAnsi="Times New Roman" w:cs="Times New Roman"/>
          <w:sz w:val="24"/>
          <w:szCs w:val="24"/>
        </w:rPr>
        <w:t xml:space="preserve"> – рисунок 1.</w:t>
      </w:r>
    </w:p>
    <w:p w14:paraId="2A08CA15" w14:textId="77777777" w:rsidR="00845F5F" w:rsidRDefault="00845F5F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E716946" w14:textId="77777777" w:rsidR="00845F5F" w:rsidRDefault="002333EE" w:rsidP="00845F5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7B09C9D" wp14:editId="4C5ADC36">
            <wp:extent cx="5486400" cy="1188720"/>
            <wp:effectExtent l="0" t="0" r="19050" b="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75FFF6EB" w14:textId="6BB80A56" w:rsidR="002333EE" w:rsidRDefault="002333EE" w:rsidP="00845F5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 – </w:t>
      </w:r>
      <w:r w:rsidRPr="0032505C">
        <w:rPr>
          <w:rFonts w:ascii="Times New Roman" w:hAnsi="Times New Roman" w:cs="Times New Roman"/>
          <w:b/>
          <w:bCs/>
          <w:sz w:val="24"/>
          <w:szCs w:val="24"/>
        </w:rPr>
        <w:t>Количественная оценка реализации проектов ГЧП в РФ, по состоянию на сентябрь 2022</w:t>
      </w:r>
      <w:r w:rsidR="00A951CE" w:rsidRPr="0032505C">
        <w:rPr>
          <w:rStyle w:val="a6"/>
          <w:rFonts w:ascii="Times New Roman" w:hAnsi="Times New Roman" w:cs="Times New Roman"/>
          <w:b/>
          <w:bCs/>
          <w:sz w:val="24"/>
          <w:szCs w:val="24"/>
        </w:rPr>
        <w:footnoteReference w:id="2"/>
      </w:r>
    </w:p>
    <w:p w14:paraId="7C7B4D8C" w14:textId="77777777" w:rsidR="004A7E46" w:rsidRDefault="004A7E46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8C3E7EC" w14:textId="04CB0B40" w:rsidR="002333EE" w:rsidRDefault="002333EE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33EE">
        <w:rPr>
          <w:rFonts w:ascii="Times New Roman" w:hAnsi="Times New Roman" w:cs="Times New Roman"/>
          <w:sz w:val="24"/>
          <w:szCs w:val="24"/>
        </w:rPr>
        <w:t>ГЧП-модель позволяет снизить нагрузку на государственный бюджет и привлечь дополнительные инвестиции, что особенно важно в условиях ограниченности бюджетных ресурсов. Кроме того, ГЧП-модель позволяет эффективно использовать опыт и ресурсы частных компаний, что улучшает качество и скорость реализации проектов.</w:t>
      </w:r>
    </w:p>
    <w:p w14:paraId="1B328B04" w14:textId="19A63843" w:rsidR="005E7B15" w:rsidRDefault="005E7B15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Взаимовыгодное</w:t>
      </w:r>
      <w:r w:rsidRPr="008657FF">
        <w:rPr>
          <w:rFonts w:ascii="Times New Roman" w:hAnsi="Times New Roman" w:cs="Times New Roman"/>
          <w:sz w:val="24"/>
          <w:szCs w:val="24"/>
        </w:rPr>
        <w:t xml:space="preserve"> взаимодействие бизнеса и власти возможно только </w:t>
      </w:r>
      <w:r>
        <w:rPr>
          <w:rFonts w:ascii="Times New Roman" w:hAnsi="Times New Roman" w:cs="Times New Roman"/>
          <w:sz w:val="24"/>
          <w:szCs w:val="24"/>
        </w:rPr>
        <w:t xml:space="preserve">при условии одновременного удовлетворения </w:t>
      </w:r>
      <w:r w:rsidRPr="008657FF">
        <w:rPr>
          <w:rFonts w:ascii="Times New Roman" w:hAnsi="Times New Roman" w:cs="Times New Roman"/>
          <w:sz w:val="24"/>
          <w:szCs w:val="24"/>
        </w:rPr>
        <w:t>запрос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8657FF">
        <w:rPr>
          <w:rFonts w:ascii="Times New Roman" w:hAnsi="Times New Roman" w:cs="Times New Roman"/>
          <w:sz w:val="24"/>
          <w:szCs w:val="24"/>
        </w:rPr>
        <w:t xml:space="preserve"> государственного и частного секто</w:t>
      </w:r>
      <w:r>
        <w:rPr>
          <w:rFonts w:ascii="Times New Roman" w:hAnsi="Times New Roman" w:cs="Times New Roman"/>
          <w:sz w:val="24"/>
          <w:szCs w:val="24"/>
        </w:rPr>
        <w:t>ров экономики</w:t>
      </w:r>
      <w:r w:rsidRPr="008657FF">
        <w:rPr>
          <w:rFonts w:ascii="Times New Roman" w:hAnsi="Times New Roman" w:cs="Times New Roman"/>
          <w:sz w:val="24"/>
          <w:szCs w:val="24"/>
        </w:rPr>
        <w:t>.</w:t>
      </w:r>
      <w:r w:rsidR="00450307">
        <w:rPr>
          <w:rFonts w:ascii="Times New Roman" w:hAnsi="Times New Roman" w:cs="Times New Roman"/>
          <w:sz w:val="24"/>
          <w:szCs w:val="24"/>
        </w:rPr>
        <w:t xml:space="preserve"> </w:t>
      </w:r>
      <w:r w:rsidR="00450307" w:rsidRPr="008657FF">
        <w:rPr>
          <w:rFonts w:ascii="Times New Roman" w:hAnsi="Times New Roman" w:cs="Times New Roman"/>
          <w:sz w:val="24"/>
          <w:szCs w:val="24"/>
        </w:rPr>
        <w:t>Причинами заинтересованности государства в ГЧП являются необходимость развития стратегически важных, социально значимых и инновационно прорывных сфер и отраслей; обеспечение занятости;</w:t>
      </w:r>
      <w:r w:rsidR="00450307">
        <w:rPr>
          <w:rFonts w:ascii="Times New Roman" w:hAnsi="Times New Roman" w:cs="Times New Roman"/>
          <w:sz w:val="24"/>
          <w:szCs w:val="24"/>
        </w:rPr>
        <w:t xml:space="preserve"> </w:t>
      </w:r>
      <w:r w:rsidR="00450307" w:rsidRPr="008657FF">
        <w:rPr>
          <w:rFonts w:ascii="Times New Roman" w:hAnsi="Times New Roman" w:cs="Times New Roman"/>
          <w:sz w:val="24"/>
          <w:szCs w:val="24"/>
        </w:rPr>
        <w:t>обеспечение экономического роста в целом; региональное развитие. При этом государство, будучи выразителем комплекса интересов разных групп влияния, зачастую становится инициатором проектов ГЧП</w:t>
      </w:r>
      <w:r w:rsidR="00450307">
        <w:rPr>
          <w:rFonts w:ascii="Times New Roman" w:hAnsi="Times New Roman" w:cs="Times New Roman"/>
          <w:sz w:val="24"/>
          <w:szCs w:val="24"/>
        </w:rPr>
        <w:t xml:space="preserve"> </w:t>
      </w:r>
      <w:r w:rsidR="00450307" w:rsidRPr="001536E0">
        <w:rPr>
          <w:rFonts w:ascii="Times New Roman" w:eastAsia="Calibri" w:hAnsi="Times New Roman" w:cs="Times New Roman"/>
          <w:iCs/>
          <w:sz w:val="24"/>
          <w:szCs w:val="24"/>
        </w:rPr>
        <w:t>[</w:t>
      </w:r>
      <w:r w:rsidR="00D753AD">
        <w:rPr>
          <w:rFonts w:ascii="Times New Roman" w:eastAsia="Calibri" w:hAnsi="Times New Roman" w:cs="Times New Roman"/>
          <w:iCs/>
          <w:sz w:val="24"/>
          <w:szCs w:val="24"/>
        </w:rPr>
        <w:t>3</w:t>
      </w:r>
      <w:r w:rsidR="00450307">
        <w:rPr>
          <w:rFonts w:ascii="Times New Roman" w:eastAsia="Calibri" w:hAnsi="Times New Roman" w:cs="Times New Roman"/>
          <w:iCs/>
          <w:sz w:val="24"/>
          <w:szCs w:val="24"/>
        </w:rPr>
        <w:t>,</w:t>
      </w:r>
      <w:r w:rsidR="00D753AD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 w:rsidR="00450307">
        <w:rPr>
          <w:rFonts w:ascii="Times New Roman" w:eastAsia="Calibri" w:hAnsi="Times New Roman" w:cs="Times New Roman"/>
          <w:iCs/>
          <w:sz w:val="24"/>
          <w:szCs w:val="24"/>
        </w:rPr>
        <w:t>с. 174</w:t>
      </w:r>
      <w:r w:rsidR="00450307" w:rsidRPr="001536E0">
        <w:rPr>
          <w:rFonts w:ascii="Times New Roman" w:eastAsia="Calibri" w:hAnsi="Times New Roman" w:cs="Times New Roman"/>
          <w:iCs/>
          <w:sz w:val="24"/>
          <w:szCs w:val="24"/>
        </w:rPr>
        <w:t>]</w:t>
      </w:r>
      <w:r w:rsidR="00450307">
        <w:rPr>
          <w:rFonts w:ascii="Times New Roman" w:hAnsi="Times New Roman" w:cs="Times New Roman"/>
          <w:sz w:val="24"/>
          <w:szCs w:val="24"/>
        </w:rPr>
        <w:t xml:space="preserve">. </w:t>
      </w:r>
      <w:r w:rsidR="00450307" w:rsidRPr="008657FF">
        <w:rPr>
          <w:rFonts w:ascii="Times New Roman" w:hAnsi="Times New Roman" w:cs="Times New Roman"/>
          <w:sz w:val="24"/>
          <w:szCs w:val="24"/>
        </w:rPr>
        <w:t>Бизнес</w:t>
      </w:r>
      <w:r w:rsidR="00450307">
        <w:rPr>
          <w:rFonts w:ascii="Times New Roman" w:hAnsi="Times New Roman" w:cs="Times New Roman"/>
          <w:sz w:val="24"/>
          <w:szCs w:val="24"/>
        </w:rPr>
        <w:t>,</w:t>
      </w:r>
      <w:r w:rsidR="00450307" w:rsidRPr="008657FF">
        <w:rPr>
          <w:rFonts w:ascii="Times New Roman" w:hAnsi="Times New Roman" w:cs="Times New Roman"/>
          <w:sz w:val="24"/>
          <w:szCs w:val="24"/>
        </w:rPr>
        <w:t xml:space="preserve"> в первую очередь ждет</w:t>
      </w:r>
      <w:r w:rsidR="00450307">
        <w:rPr>
          <w:rFonts w:ascii="Times New Roman" w:hAnsi="Times New Roman" w:cs="Times New Roman"/>
          <w:sz w:val="24"/>
          <w:szCs w:val="24"/>
        </w:rPr>
        <w:t>,</w:t>
      </w:r>
      <w:r w:rsidR="00450307" w:rsidRPr="008657FF">
        <w:rPr>
          <w:rFonts w:ascii="Times New Roman" w:hAnsi="Times New Roman" w:cs="Times New Roman"/>
          <w:sz w:val="24"/>
          <w:szCs w:val="24"/>
        </w:rPr>
        <w:t xml:space="preserve"> от участия в ГЧП роста капитализации компании, максимизации прибыли за счет извлечения гарантированного дохода, доступа к инвестиционным ресурсам. Бизнес не прочь получить от участия в ГЧП-проектах и репутационно-имиджевые плюсы, а также доступ в сферы, ранее для него «непрофильные»</w:t>
      </w:r>
      <w:r w:rsidR="00450307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450307" w:rsidRPr="001536E0">
        <w:rPr>
          <w:rFonts w:ascii="Times New Roman" w:eastAsia="Calibri" w:hAnsi="Times New Roman" w:cs="Times New Roman"/>
          <w:iCs/>
          <w:sz w:val="24"/>
          <w:szCs w:val="24"/>
        </w:rPr>
        <w:t>[</w:t>
      </w:r>
      <w:r w:rsidR="00D753AD">
        <w:rPr>
          <w:rFonts w:ascii="Times New Roman" w:eastAsia="Calibri" w:hAnsi="Times New Roman" w:cs="Times New Roman"/>
          <w:iCs/>
          <w:sz w:val="24"/>
          <w:szCs w:val="24"/>
        </w:rPr>
        <w:t>6</w:t>
      </w:r>
      <w:r w:rsidR="00450307">
        <w:rPr>
          <w:rFonts w:ascii="Times New Roman" w:eastAsia="Calibri" w:hAnsi="Times New Roman" w:cs="Times New Roman"/>
          <w:iCs/>
          <w:sz w:val="24"/>
          <w:szCs w:val="24"/>
        </w:rPr>
        <w:t>,</w:t>
      </w:r>
      <w:r w:rsidR="00D753AD">
        <w:rPr>
          <w:rFonts w:ascii="Times New Roman" w:eastAsia="Calibri" w:hAnsi="Times New Roman" w:cs="Times New Roman"/>
          <w:iCs/>
          <w:sz w:val="24"/>
          <w:szCs w:val="24"/>
        </w:rPr>
        <w:t xml:space="preserve"> </w:t>
      </w:r>
      <w:r w:rsidR="00450307">
        <w:rPr>
          <w:rFonts w:ascii="Times New Roman" w:eastAsia="Calibri" w:hAnsi="Times New Roman" w:cs="Times New Roman"/>
          <w:iCs/>
          <w:sz w:val="24"/>
          <w:szCs w:val="24"/>
        </w:rPr>
        <w:t>с. 16</w:t>
      </w:r>
      <w:r w:rsidR="00450307" w:rsidRPr="001536E0">
        <w:rPr>
          <w:rFonts w:ascii="Times New Roman" w:eastAsia="Calibri" w:hAnsi="Times New Roman" w:cs="Times New Roman"/>
          <w:iCs/>
          <w:sz w:val="24"/>
          <w:szCs w:val="24"/>
        </w:rPr>
        <w:t>]</w:t>
      </w:r>
      <w:r w:rsidR="00450307">
        <w:rPr>
          <w:rFonts w:ascii="Times New Roman" w:hAnsi="Times New Roman" w:cs="Times New Roman"/>
          <w:sz w:val="24"/>
          <w:szCs w:val="24"/>
        </w:rPr>
        <w:t>.</w:t>
      </w:r>
    </w:p>
    <w:p w14:paraId="1121BBA4" w14:textId="54B1AC56" w:rsidR="004A7E46" w:rsidRDefault="00A03F97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3F97">
        <w:rPr>
          <w:rFonts w:ascii="Times New Roman" w:hAnsi="Times New Roman" w:cs="Times New Roman"/>
          <w:sz w:val="24"/>
          <w:szCs w:val="24"/>
        </w:rPr>
        <w:t xml:space="preserve">В России уже есть положительный опыт использования ГЧП для развития общественной инфраструктуры. </w:t>
      </w:r>
      <w:r w:rsidR="004A7E46" w:rsidRPr="004A7E46">
        <w:rPr>
          <w:rFonts w:ascii="Times New Roman" w:hAnsi="Times New Roman" w:cs="Times New Roman"/>
          <w:sz w:val="24"/>
          <w:szCs w:val="24"/>
        </w:rPr>
        <w:t>Одним из крупных ГЧП-проектов в России является строительство моста через Керченский пролив, который был запущен в 2016 году и успешно завершен в 2018 году</w:t>
      </w:r>
      <w:r w:rsidR="004A7E46">
        <w:rPr>
          <w:rFonts w:ascii="Times New Roman" w:hAnsi="Times New Roman" w:cs="Times New Roman"/>
          <w:sz w:val="24"/>
          <w:szCs w:val="24"/>
        </w:rPr>
        <w:t>.</w:t>
      </w:r>
      <w:r w:rsidR="006C2C53">
        <w:rPr>
          <w:rFonts w:ascii="Times New Roman" w:hAnsi="Times New Roman" w:cs="Times New Roman"/>
          <w:sz w:val="24"/>
          <w:szCs w:val="24"/>
        </w:rPr>
        <w:t xml:space="preserve"> </w:t>
      </w:r>
      <w:r w:rsidR="006C2C53" w:rsidRPr="006C2C53">
        <w:rPr>
          <w:rFonts w:ascii="Times New Roman" w:hAnsi="Times New Roman" w:cs="Times New Roman"/>
          <w:sz w:val="24"/>
          <w:szCs w:val="24"/>
        </w:rPr>
        <w:t>Еще одним примером реализации проекта ГЧП является строительство ЦКАД (Центральная кольцевая автомобильная дорога) в Москве. Этот проект был запущен в 2011 году и позволил существенно улучшить транспортную доступность Москвы и уменьшить загруженность центра города.</w:t>
      </w:r>
    </w:p>
    <w:p w14:paraId="6A99E535" w14:textId="758BD971" w:rsidR="002333EE" w:rsidRPr="002333EE" w:rsidRDefault="002333EE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33EE">
        <w:rPr>
          <w:rFonts w:ascii="Times New Roman" w:hAnsi="Times New Roman" w:cs="Times New Roman"/>
          <w:sz w:val="24"/>
          <w:szCs w:val="24"/>
        </w:rPr>
        <w:t>Однако, использование ГЧП для развития общественной инфраструктуры также имеет свои проблемы и вызовы. Одна из основных проблем – это необходимость балансирования интересов государства и частных компаний, чтобы обеспечить максимальную выгоду для всех сторон.</w:t>
      </w:r>
    </w:p>
    <w:p w14:paraId="2CFB1412" w14:textId="2C1280F1" w:rsidR="002333EE" w:rsidRPr="002333EE" w:rsidRDefault="002333EE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33EE">
        <w:rPr>
          <w:rFonts w:ascii="Times New Roman" w:hAnsi="Times New Roman" w:cs="Times New Roman"/>
          <w:sz w:val="24"/>
          <w:szCs w:val="24"/>
        </w:rPr>
        <w:t>С одной стороны, государство заинтересовано в получении максимально эффективного результата при наименьших затратах. С другой стороны, частные компании и инвесторы заинтересованы в получении прибыли, что может привести к конфликту интересов между сторонами. Кроме того, существует риск того, что некоторые компании могут использовать ГЧП для получения неправомерных преимуществ в конкурентной среде [</w:t>
      </w:r>
      <w:r w:rsidR="00501DA6" w:rsidRPr="00501DA6">
        <w:rPr>
          <w:rFonts w:ascii="Times New Roman" w:hAnsi="Times New Roman" w:cs="Times New Roman"/>
          <w:sz w:val="24"/>
          <w:szCs w:val="24"/>
        </w:rPr>
        <w:t>7</w:t>
      </w:r>
      <w:r w:rsidRPr="002333EE">
        <w:rPr>
          <w:rFonts w:ascii="Times New Roman" w:hAnsi="Times New Roman" w:cs="Times New Roman"/>
          <w:sz w:val="24"/>
          <w:szCs w:val="24"/>
        </w:rPr>
        <w:t>, стр. 89].</w:t>
      </w:r>
    </w:p>
    <w:p w14:paraId="373DCD02" w14:textId="03F7C49B" w:rsidR="002333EE" w:rsidRPr="002333EE" w:rsidRDefault="002333EE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33EE">
        <w:rPr>
          <w:rFonts w:ascii="Times New Roman" w:hAnsi="Times New Roman" w:cs="Times New Roman"/>
          <w:sz w:val="24"/>
          <w:szCs w:val="24"/>
        </w:rPr>
        <w:t>Еще одной проблемой является нехватка квалифицированных кадров для реализации проектов ГЧП в сфере общественной инфраструктуры. Для успешной реализации проектов требуется комплекс знаний и навыков, включая экономическую, юридическую, инженерную и техническую экспертизу. Однако, на сегодняшний день недостаток таких специалистов на рынке труда является серьезной проблемой [</w:t>
      </w:r>
      <w:r w:rsidR="00501DA6" w:rsidRPr="00501DA6">
        <w:rPr>
          <w:rFonts w:ascii="Times New Roman" w:hAnsi="Times New Roman" w:cs="Times New Roman"/>
          <w:sz w:val="24"/>
          <w:szCs w:val="24"/>
        </w:rPr>
        <w:t>2</w:t>
      </w:r>
      <w:r w:rsidRPr="002333EE">
        <w:rPr>
          <w:rFonts w:ascii="Times New Roman" w:hAnsi="Times New Roman" w:cs="Times New Roman"/>
          <w:sz w:val="24"/>
          <w:szCs w:val="24"/>
        </w:rPr>
        <w:t>, стр. 113].</w:t>
      </w:r>
    </w:p>
    <w:p w14:paraId="58EE90BB" w14:textId="7F567642" w:rsidR="002333EE" w:rsidRPr="002333EE" w:rsidRDefault="002333EE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33EE">
        <w:rPr>
          <w:rFonts w:ascii="Times New Roman" w:hAnsi="Times New Roman" w:cs="Times New Roman"/>
          <w:sz w:val="24"/>
          <w:szCs w:val="24"/>
        </w:rPr>
        <w:t>Кроме того, проекты ГЧП могут столкнуться с проблемой недостаточной прозрачности и недостаточным учетом общественных интересов. Недостаточная прозрачность может создать условия для коррупции и злоупотреблений, а недостаточное учет общественных интересов может привести к неэффективному использованию ресурсов [</w:t>
      </w:r>
      <w:r w:rsidR="00501DA6" w:rsidRPr="00501DA6">
        <w:rPr>
          <w:rFonts w:ascii="Times New Roman" w:hAnsi="Times New Roman" w:cs="Times New Roman"/>
          <w:sz w:val="24"/>
          <w:szCs w:val="24"/>
        </w:rPr>
        <w:t>4</w:t>
      </w:r>
      <w:r w:rsidRPr="002333EE">
        <w:rPr>
          <w:rFonts w:ascii="Times New Roman" w:hAnsi="Times New Roman" w:cs="Times New Roman"/>
          <w:sz w:val="24"/>
          <w:szCs w:val="24"/>
        </w:rPr>
        <w:t xml:space="preserve">, стр. </w:t>
      </w:r>
      <w:r w:rsidR="00501DA6" w:rsidRPr="00501DA6">
        <w:rPr>
          <w:rFonts w:ascii="Times New Roman" w:hAnsi="Times New Roman" w:cs="Times New Roman"/>
          <w:sz w:val="24"/>
          <w:szCs w:val="24"/>
        </w:rPr>
        <w:t>28</w:t>
      </w:r>
      <w:r w:rsidRPr="002333EE">
        <w:rPr>
          <w:rFonts w:ascii="Times New Roman" w:hAnsi="Times New Roman" w:cs="Times New Roman"/>
          <w:sz w:val="24"/>
          <w:szCs w:val="24"/>
        </w:rPr>
        <w:t>].</w:t>
      </w:r>
    </w:p>
    <w:p w14:paraId="533328F4" w14:textId="69971C12" w:rsidR="002333EE" w:rsidRPr="002333EE" w:rsidRDefault="00BF17BC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F17BC">
        <w:rPr>
          <w:rFonts w:ascii="Times New Roman" w:hAnsi="Times New Roman" w:cs="Times New Roman"/>
          <w:sz w:val="24"/>
          <w:szCs w:val="24"/>
        </w:rPr>
        <w:lastRenderedPageBreak/>
        <w:t>Еще одной проблемой, которая может возникнуть при использовании ГЧП для развития общественной инфраструктуры, является неопределенность в законодательстве. Некоторые аспекты ГЧП не имеют ясного законодательного регулирования, что может привести к трудностям в реализации проектов и повышенным рискам для инвесторов</w:t>
      </w:r>
      <w:r w:rsidR="002333EE" w:rsidRPr="002333EE">
        <w:rPr>
          <w:rFonts w:ascii="Times New Roman" w:hAnsi="Times New Roman" w:cs="Times New Roman"/>
          <w:sz w:val="24"/>
          <w:szCs w:val="24"/>
        </w:rPr>
        <w:t>.</w:t>
      </w:r>
    </w:p>
    <w:p w14:paraId="6CB6FC5E" w14:textId="0D64D703" w:rsidR="002333EE" w:rsidRDefault="00090745" w:rsidP="004A7E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0745">
        <w:rPr>
          <w:rFonts w:ascii="Times New Roman" w:hAnsi="Times New Roman" w:cs="Times New Roman"/>
          <w:sz w:val="24"/>
          <w:szCs w:val="24"/>
        </w:rPr>
        <w:t>В целом, использование ГЧП для развития общественной инфраструктуры может быть полезным инструментом для повышения качества жизни населения и развития экономики.</w:t>
      </w:r>
      <w:r>
        <w:rPr>
          <w:rFonts w:ascii="Times New Roman" w:hAnsi="Times New Roman" w:cs="Times New Roman"/>
          <w:sz w:val="24"/>
          <w:szCs w:val="24"/>
        </w:rPr>
        <w:t xml:space="preserve"> Но </w:t>
      </w:r>
      <w:r w:rsidR="002333EE" w:rsidRPr="002333EE">
        <w:rPr>
          <w:rFonts w:ascii="Times New Roman" w:hAnsi="Times New Roman" w:cs="Times New Roman"/>
          <w:sz w:val="24"/>
          <w:szCs w:val="24"/>
        </w:rPr>
        <w:t>несмотря на значительный потенциал использования ГЧП, существует ряд проблем, которые необходимо учитывать и решать для успешной реализации проектов</w:t>
      </w:r>
      <w:r w:rsidR="001330A2">
        <w:rPr>
          <w:rFonts w:ascii="Times New Roman" w:hAnsi="Times New Roman" w:cs="Times New Roman"/>
          <w:sz w:val="24"/>
          <w:szCs w:val="24"/>
        </w:rPr>
        <w:t>.</w:t>
      </w:r>
      <w:r w:rsidR="007545BB">
        <w:rPr>
          <w:rFonts w:ascii="Times New Roman" w:hAnsi="Times New Roman" w:cs="Times New Roman"/>
          <w:sz w:val="24"/>
          <w:szCs w:val="24"/>
        </w:rPr>
        <w:t xml:space="preserve"> </w:t>
      </w:r>
      <w:r w:rsidR="001330A2">
        <w:rPr>
          <w:rFonts w:ascii="Times New Roman" w:hAnsi="Times New Roman" w:cs="Times New Roman"/>
          <w:sz w:val="24"/>
          <w:szCs w:val="24"/>
        </w:rPr>
        <w:t>П</w:t>
      </w:r>
      <w:r w:rsidR="007545BB" w:rsidRPr="007545BB">
        <w:rPr>
          <w:rFonts w:ascii="Times New Roman" w:hAnsi="Times New Roman" w:cs="Times New Roman"/>
          <w:sz w:val="24"/>
          <w:szCs w:val="24"/>
        </w:rPr>
        <w:t>ри правильной организации и регулировании ГЧП может стать мощным инструментом развития публичной инфраструктуры, что уже продемонстрировано в России на примере реализации многих крупных инфраструктурных проектов.</w:t>
      </w:r>
      <w:r w:rsidR="007545BB">
        <w:rPr>
          <w:rFonts w:ascii="Times New Roman" w:hAnsi="Times New Roman" w:cs="Times New Roman"/>
          <w:sz w:val="24"/>
          <w:szCs w:val="24"/>
        </w:rPr>
        <w:t xml:space="preserve"> </w:t>
      </w:r>
      <w:r w:rsidR="002333EE" w:rsidRPr="002333EE">
        <w:rPr>
          <w:rFonts w:ascii="Times New Roman" w:hAnsi="Times New Roman" w:cs="Times New Roman"/>
          <w:sz w:val="24"/>
          <w:szCs w:val="24"/>
        </w:rPr>
        <w:t>Для того чтобы обеспечить максимально возможный эффект от использования ГЧП, необходимо разработать стратегии, которые учитывают интересы всех сторон, в том числе государства, частных компаний и общества в целом. Кроме того, необходимо проводить системную работу по привлечению и подготовке кадров, а также обеспечивать прозрачность и учет общественных интересов в реализации проектов.</w:t>
      </w:r>
    </w:p>
    <w:p w14:paraId="66A8E599" w14:textId="77777777" w:rsidR="0032505C" w:rsidRDefault="0032505C" w:rsidP="00A951C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6A2B67" w14:textId="684CD589" w:rsidR="00090745" w:rsidRPr="00A951CE" w:rsidRDefault="00090745" w:rsidP="00A951C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951CE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0DA41970" w14:textId="5BA088B5" w:rsidR="00A951CE" w:rsidRPr="00BF17BC" w:rsidRDefault="00A951CE" w:rsidP="00BF17BC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7BC">
        <w:rPr>
          <w:rFonts w:ascii="Times New Roman" w:hAnsi="Times New Roman" w:cs="Times New Roman"/>
          <w:sz w:val="24"/>
          <w:szCs w:val="24"/>
        </w:rPr>
        <w:t>Федеральный закон "О государственно-частном партнерстве, муниципально-частном партнерстве в Российской Федерации и внесении изменений в отдельные законодательные акты Российской Федерации" от 13.07.2015 N 224-ФЗ (ред. от 29.12.2022);</w:t>
      </w:r>
    </w:p>
    <w:p w14:paraId="6AC7C6C0" w14:textId="1EE19EE9" w:rsidR="00B60177" w:rsidRPr="00BF17BC" w:rsidRDefault="00B60177" w:rsidP="00BF17BC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7BC">
        <w:rPr>
          <w:rFonts w:ascii="Times New Roman" w:hAnsi="Times New Roman" w:cs="Times New Roman"/>
          <w:sz w:val="24"/>
          <w:szCs w:val="24"/>
        </w:rPr>
        <w:t>Гришина, А.А. Государственно-частное партнерство в России: проблемы и перспективы // Экономика и управление. – 2020. - (дата обращения: 13.05.2023)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0D20B468" w14:textId="509A0A1D" w:rsidR="00B60177" w:rsidRPr="00BF17BC" w:rsidRDefault="00B60177" w:rsidP="00BF17BC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7BC">
        <w:rPr>
          <w:rFonts w:ascii="Times New Roman" w:hAnsi="Times New Roman" w:cs="Times New Roman"/>
          <w:sz w:val="24"/>
          <w:szCs w:val="24"/>
        </w:rPr>
        <w:t xml:space="preserve">Киселев, И. А. Государственно-частное партнерство в России как новый вид перспективных взаимоотношений — Текст : электронный // Молодой ученый. — 2022. — № 14 (409). — С. 173-176. — URL: </w:t>
      </w:r>
      <w:hyperlink r:id="rId13" w:history="1">
        <w:r w:rsidRPr="00BF17BC">
          <w:rPr>
            <w:rFonts w:ascii="Times New Roman" w:hAnsi="Times New Roman" w:cs="Times New Roman"/>
            <w:sz w:val="24"/>
            <w:szCs w:val="24"/>
          </w:rPr>
          <w:t>https://moluch.ru/archive/409/90020/</w:t>
        </w:r>
      </w:hyperlink>
      <w:r w:rsidRPr="00BF17BC">
        <w:rPr>
          <w:rFonts w:ascii="Times New Roman" w:hAnsi="Times New Roman" w:cs="Times New Roman"/>
          <w:sz w:val="24"/>
          <w:szCs w:val="24"/>
        </w:rPr>
        <w:t xml:space="preserve"> (дата обращения: 13.05.2023)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3AB5A89D" w14:textId="77EEC377" w:rsidR="00B60177" w:rsidRPr="00BF17BC" w:rsidRDefault="00B60177" w:rsidP="00B60177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7BC">
        <w:rPr>
          <w:rFonts w:ascii="Times New Roman" w:hAnsi="Times New Roman" w:cs="Times New Roman"/>
          <w:sz w:val="24"/>
          <w:szCs w:val="24"/>
        </w:rPr>
        <w:t>Попков, И.А. Особенности государственно-частного партнерства в сфере развития общественной инфраструктуры // Инвестиции в России – 2017 - №8 - стр. 25-29.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BF17BC">
        <w:rPr>
          <w:rFonts w:ascii="Times New Roman" w:hAnsi="Times New Roman" w:cs="Times New Roman"/>
          <w:sz w:val="24"/>
          <w:szCs w:val="24"/>
        </w:rPr>
        <w:t>(дата обращения: 13.05.2023)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661256AA" w14:textId="1DCD986E" w:rsidR="00B60177" w:rsidRPr="00B60177" w:rsidRDefault="00B60177" w:rsidP="00BF17BC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0177">
        <w:rPr>
          <w:rFonts w:ascii="Times New Roman" w:hAnsi="Times New Roman" w:cs="Times New Roman"/>
          <w:sz w:val="24"/>
          <w:szCs w:val="24"/>
        </w:rPr>
        <w:t xml:space="preserve">Савченко, И.И. Государственно-частное партнерство в России: современное состояние и проблемы развития – Текст: электронный // Известия Дальневосточного федерального университета. Экономика и управление – 2015. - URL: </w:t>
      </w:r>
      <w:hyperlink r:id="rId14" w:history="1">
        <w:r w:rsidRPr="00B60177">
          <w:rPr>
            <w:rStyle w:val="a3"/>
            <w:rFonts w:ascii="Times New Roman" w:hAnsi="Times New Roman" w:cs="Times New Roman"/>
            <w:sz w:val="24"/>
            <w:szCs w:val="24"/>
          </w:rPr>
          <w:t>https://cyberleninka.ru/article/n/gosudarstvenno-chastnoe-partnerstvo-v-rossii-sovremennoe-sostoyanie-i-problemy-razvitiya</w:t>
        </w:r>
      </w:hyperlink>
      <w:r w:rsidRPr="00B60177">
        <w:rPr>
          <w:rFonts w:ascii="Times New Roman" w:hAnsi="Times New Roman" w:cs="Times New Roman"/>
          <w:sz w:val="24"/>
          <w:szCs w:val="24"/>
        </w:rPr>
        <w:t xml:space="preserve"> - (дата обращения: 13.05.2023)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6893AA79" w14:textId="77777777" w:rsidR="00B60177" w:rsidRPr="00BF17BC" w:rsidRDefault="00B60177" w:rsidP="00BF17BC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7BC">
        <w:rPr>
          <w:rFonts w:ascii="Times New Roman" w:hAnsi="Times New Roman" w:cs="Times New Roman"/>
          <w:sz w:val="24"/>
          <w:szCs w:val="24"/>
        </w:rPr>
        <w:t>Ткаченко, И.Н. Государственно-частное партнерство : учебное пособие для вузов — Москва : Издательство Юрайт, 2022. — 188 с. — (Высшее образование). — ISBN 978-5-534-00518-9. — Текст : электронный — URL: https://urait.ru/bcode/498882/p.16 (дата обращения: 13.05.2023);</w:t>
      </w:r>
    </w:p>
    <w:p w14:paraId="03FFC152" w14:textId="77777777" w:rsidR="00B60177" w:rsidRPr="00BF17BC" w:rsidRDefault="00B60177" w:rsidP="00BF17BC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17BC">
        <w:rPr>
          <w:rFonts w:ascii="Times New Roman" w:hAnsi="Times New Roman" w:cs="Times New Roman"/>
          <w:sz w:val="24"/>
          <w:szCs w:val="24"/>
        </w:rPr>
        <w:t>Хасанов, И.М. Государственно-частное партнерство как инструмент модернизации городской инфраструктуры // Научный вестник МГТУ ГА. – 2018 - №313 – с. 89 - URL: (дата обращения: 13.05.2023).</w:t>
      </w:r>
    </w:p>
    <w:sectPr w:rsidR="00B60177" w:rsidRPr="00BF17BC" w:rsidSect="00845F5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7D84BC" w14:textId="77777777" w:rsidR="006A67E7" w:rsidRDefault="006A67E7" w:rsidP="00BB2D80">
      <w:pPr>
        <w:spacing w:after="0" w:line="240" w:lineRule="auto"/>
      </w:pPr>
      <w:r>
        <w:separator/>
      </w:r>
    </w:p>
  </w:endnote>
  <w:endnote w:type="continuationSeparator" w:id="0">
    <w:p w14:paraId="1FDAAB80" w14:textId="77777777" w:rsidR="006A67E7" w:rsidRDefault="006A67E7" w:rsidP="00BB2D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E8920" w14:textId="77777777" w:rsidR="006A67E7" w:rsidRDefault="006A67E7" w:rsidP="00BB2D80">
      <w:pPr>
        <w:spacing w:after="0" w:line="240" w:lineRule="auto"/>
      </w:pPr>
      <w:r>
        <w:separator/>
      </w:r>
    </w:p>
  </w:footnote>
  <w:footnote w:type="continuationSeparator" w:id="0">
    <w:p w14:paraId="34CF6C53" w14:textId="77777777" w:rsidR="006A67E7" w:rsidRDefault="006A67E7" w:rsidP="00BB2D80">
      <w:pPr>
        <w:spacing w:after="0" w:line="240" w:lineRule="auto"/>
      </w:pPr>
      <w:r>
        <w:continuationSeparator/>
      </w:r>
    </w:p>
  </w:footnote>
  <w:footnote w:id="1">
    <w:p w14:paraId="40A577D1" w14:textId="631E63A7" w:rsidR="0032505C" w:rsidRPr="0032505C" w:rsidRDefault="0032505C" w:rsidP="0032505C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32505C">
        <w:rPr>
          <w:rFonts w:ascii="Times New Roman" w:hAnsi="Times New Roman" w:cs="Times New Roman"/>
        </w:rPr>
        <w:t xml:space="preserve">Дубова Анастасия Александровна, студент, Ярославский государственный университет им. П.Г.Демидова (Адрес: 150049, Россия, Ярославская область, Ярославль, ул. Свободы, д.101/6, кв. 28; </w:t>
      </w:r>
      <w:r w:rsidRPr="0032505C">
        <w:rPr>
          <w:rFonts w:ascii="Times New Roman" w:hAnsi="Times New Roman" w:cs="Times New Roman"/>
          <w:lang w:val="en-US"/>
        </w:rPr>
        <w:t>E</w:t>
      </w:r>
      <w:r w:rsidRPr="0032505C">
        <w:rPr>
          <w:rFonts w:ascii="Times New Roman" w:hAnsi="Times New Roman" w:cs="Times New Roman"/>
        </w:rPr>
        <w:t>-</w:t>
      </w:r>
      <w:r w:rsidRPr="0032505C">
        <w:rPr>
          <w:rFonts w:ascii="Times New Roman" w:hAnsi="Times New Roman" w:cs="Times New Roman"/>
          <w:lang w:val="en-US"/>
        </w:rPr>
        <w:t>mail</w:t>
      </w:r>
      <w:r w:rsidRPr="0032505C">
        <w:rPr>
          <w:rFonts w:ascii="Times New Roman" w:hAnsi="Times New Roman" w:cs="Times New Roman"/>
        </w:rPr>
        <w:t xml:space="preserve">: </w:t>
      </w:r>
      <w:hyperlink r:id="rId1" w:history="1">
        <w:r w:rsidRPr="0032505C">
          <w:rPr>
            <w:rStyle w:val="a3"/>
            <w:rFonts w:ascii="Times New Roman" w:hAnsi="Times New Roman" w:cs="Times New Roman"/>
            <w:lang w:val="en-US"/>
          </w:rPr>
          <w:t>adubova</w:t>
        </w:r>
        <w:r w:rsidRPr="00253497">
          <w:rPr>
            <w:rStyle w:val="a3"/>
            <w:rFonts w:ascii="Times New Roman" w:hAnsi="Times New Roman" w:cs="Times New Roman"/>
          </w:rPr>
          <w:t>.</w:t>
        </w:r>
        <w:r w:rsidRPr="0032505C">
          <w:rPr>
            <w:rStyle w:val="a3"/>
            <w:rFonts w:ascii="Times New Roman" w:hAnsi="Times New Roman" w:cs="Times New Roman"/>
            <w:lang w:val="en-US"/>
          </w:rPr>
          <w:t>yar</w:t>
        </w:r>
        <w:r w:rsidRPr="00253497">
          <w:rPr>
            <w:rStyle w:val="a3"/>
            <w:rFonts w:ascii="Times New Roman" w:hAnsi="Times New Roman" w:cs="Times New Roman"/>
          </w:rPr>
          <w:t>76@</w:t>
        </w:r>
        <w:r w:rsidRPr="0032505C">
          <w:rPr>
            <w:rStyle w:val="a3"/>
            <w:rFonts w:ascii="Times New Roman" w:hAnsi="Times New Roman" w:cs="Times New Roman"/>
            <w:lang w:val="en-US"/>
          </w:rPr>
          <w:t>yandex</w:t>
        </w:r>
        <w:r w:rsidRPr="00253497">
          <w:rPr>
            <w:rStyle w:val="a3"/>
            <w:rFonts w:ascii="Times New Roman" w:hAnsi="Times New Roman" w:cs="Times New Roman"/>
          </w:rPr>
          <w:t>.</w:t>
        </w:r>
        <w:r w:rsidRPr="0032505C">
          <w:rPr>
            <w:rStyle w:val="a3"/>
            <w:rFonts w:ascii="Times New Roman" w:hAnsi="Times New Roman" w:cs="Times New Roman"/>
            <w:lang w:val="en-US"/>
          </w:rPr>
          <w:t>ru</w:t>
        </w:r>
      </w:hyperlink>
      <w:r>
        <w:rPr>
          <w:rStyle w:val="a3"/>
          <w:rFonts w:ascii="Times New Roman" w:hAnsi="Times New Roman" w:cs="Times New Roman"/>
        </w:rPr>
        <w:t>)</w:t>
      </w:r>
    </w:p>
  </w:footnote>
  <w:footnote w:id="2">
    <w:p w14:paraId="47367103" w14:textId="110923AD" w:rsidR="00A951CE" w:rsidRPr="00256BA7" w:rsidRDefault="00A951CE" w:rsidP="00256BA7">
      <w:pPr>
        <w:pStyle w:val="a4"/>
        <w:jc w:val="both"/>
        <w:rPr>
          <w:rFonts w:ascii="Times New Roman" w:hAnsi="Times New Roman" w:cs="Times New Roman"/>
        </w:rPr>
      </w:pPr>
      <w:r w:rsidRPr="00256BA7">
        <w:rPr>
          <w:rStyle w:val="a6"/>
          <w:rFonts w:ascii="Times New Roman" w:hAnsi="Times New Roman" w:cs="Times New Roman"/>
        </w:rPr>
        <w:footnoteRef/>
      </w:r>
      <w:r w:rsidRPr="00256BA7">
        <w:rPr>
          <w:rFonts w:ascii="Times New Roman" w:hAnsi="Times New Roman" w:cs="Times New Roman"/>
        </w:rPr>
        <w:t xml:space="preserve"> Источник: Аналитический обзор Национального Центра ГЧП 2022 – </w:t>
      </w:r>
      <w:r w:rsidRPr="00256BA7">
        <w:rPr>
          <w:rFonts w:ascii="Times New Roman" w:hAnsi="Times New Roman" w:cs="Times New Roman"/>
          <w:lang w:val="en-US"/>
        </w:rPr>
        <w:t>URL</w:t>
      </w:r>
      <w:r w:rsidRPr="00256BA7">
        <w:rPr>
          <w:rFonts w:ascii="Times New Roman" w:hAnsi="Times New Roman" w:cs="Times New Roman"/>
        </w:rPr>
        <w:t xml:space="preserve">: </w:t>
      </w:r>
      <w:hyperlink r:id="rId2" w:history="1">
        <w:r w:rsidR="00256BA7" w:rsidRPr="00256BA7">
          <w:rPr>
            <w:rStyle w:val="a3"/>
            <w:rFonts w:ascii="Times New Roman" w:hAnsi="Times New Roman" w:cs="Times New Roman"/>
          </w:rPr>
          <w:t>https://rosinfra.ru/digest/documents/one/investicii-v-infrastrukturu-i-gcp-2022-analiticeskij-obzor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3E50B6"/>
    <w:multiLevelType w:val="hybridMultilevel"/>
    <w:tmpl w:val="E18E877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601A8F"/>
    <w:multiLevelType w:val="hybridMultilevel"/>
    <w:tmpl w:val="0F94EF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7613D"/>
    <w:multiLevelType w:val="hybridMultilevel"/>
    <w:tmpl w:val="43243D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3516075">
    <w:abstractNumId w:val="2"/>
  </w:num>
  <w:num w:numId="2" w16cid:durableId="933393982">
    <w:abstractNumId w:val="0"/>
  </w:num>
  <w:num w:numId="3" w16cid:durableId="1911843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DFD"/>
    <w:rsid w:val="00090745"/>
    <w:rsid w:val="001330A2"/>
    <w:rsid w:val="00167B54"/>
    <w:rsid w:val="002333EE"/>
    <w:rsid w:val="00253497"/>
    <w:rsid w:val="00256BA7"/>
    <w:rsid w:val="00286DC8"/>
    <w:rsid w:val="0032505C"/>
    <w:rsid w:val="00396B49"/>
    <w:rsid w:val="003B21AF"/>
    <w:rsid w:val="00450307"/>
    <w:rsid w:val="004A7E46"/>
    <w:rsid w:val="00501DA6"/>
    <w:rsid w:val="005C093D"/>
    <w:rsid w:val="005E7B15"/>
    <w:rsid w:val="006075CF"/>
    <w:rsid w:val="006A67E7"/>
    <w:rsid w:val="006B4F06"/>
    <w:rsid w:val="006C2C53"/>
    <w:rsid w:val="007318D2"/>
    <w:rsid w:val="00733847"/>
    <w:rsid w:val="007545BB"/>
    <w:rsid w:val="00845F5F"/>
    <w:rsid w:val="008602B0"/>
    <w:rsid w:val="00863344"/>
    <w:rsid w:val="008C5DBE"/>
    <w:rsid w:val="009F0F53"/>
    <w:rsid w:val="00A03F97"/>
    <w:rsid w:val="00A951CE"/>
    <w:rsid w:val="00AB5DFD"/>
    <w:rsid w:val="00B60177"/>
    <w:rsid w:val="00BB2D80"/>
    <w:rsid w:val="00BF17BC"/>
    <w:rsid w:val="00D753AD"/>
    <w:rsid w:val="00F57C24"/>
    <w:rsid w:val="00FB5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F08F8"/>
  <w15:docId w15:val="{EF49A977-F03D-4B86-91C8-A78037B06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75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C093D"/>
    <w:rPr>
      <w:color w:val="0563C1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BB2D80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BB2D80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BB2D80"/>
    <w:rPr>
      <w:vertAlign w:val="superscript"/>
    </w:rPr>
  </w:style>
  <w:style w:type="paragraph" w:styleId="a7">
    <w:name w:val="List Paragraph"/>
    <w:basedOn w:val="a"/>
    <w:uiPriority w:val="34"/>
    <w:qFormat/>
    <w:rsid w:val="00090745"/>
    <w:pPr>
      <w:ind w:left="720"/>
      <w:contextualSpacing/>
    </w:pPr>
  </w:style>
  <w:style w:type="character" w:styleId="a8">
    <w:name w:val="Unresolved Mention"/>
    <w:basedOn w:val="a0"/>
    <w:uiPriority w:val="99"/>
    <w:semiHidden/>
    <w:unhideWhenUsed/>
    <w:rsid w:val="00B601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029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yperlink" Target="https://moluch.ru/archive/409/90020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hyperlink" Target="https://cyberleninka.ru/article/n/gosudarstvenno-chastnoe-partnerstvo-v-rossii-sovremennoe-sostoyanie-i-problemy-razvitiya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rosinfra.ru/digest/documents/one/investicii-v-infrastrukturu-i-gcp-2022-analiticeskij-obzor" TargetMode="External"/><Relationship Id="rId1" Type="http://schemas.openxmlformats.org/officeDocument/2006/relationships/hyperlink" Target="mailto:adubova.yar76@yandex.ru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9C3912A-7A7C-495A-B8FA-C46602B5FD31}" type="doc">
      <dgm:prSet loTypeId="urn:microsoft.com/office/officeart/2005/8/layout/process1" loCatId="process" qsTypeId="urn:microsoft.com/office/officeart/2005/8/quickstyle/simple1" qsCatId="simple" csTypeId="urn:microsoft.com/office/officeart/2005/8/colors/accent0_1" csCatId="mainScheme" phldr="1"/>
      <dgm:spPr/>
    </dgm:pt>
    <dgm:pt modelId="{7272BCDE-58BA-4F5C-A014-FA9C3F5D027D}">
      <dgm:prSet phldrT="[Текст]" custT="1"/>
      <dgm:spPr>
        <a:xfrm>
          <a:off x="4822" y="110373"/>
          <a:ext cx="1441251" cy="1219433"/>
        </a:xfrm>
        <a:prstGeom prst="roundRect">
          <a:avLst>
            <a:gd name="adj" fmla="val 10000"/>
          </a:avLst>
        </a:prstGeom>
      </dgm:spPr>
      <dgm:t>
        <a:bodyPr/>
        <a:lstStyle/>
        <a:p>
          <a:pPr algn="ctr">
            <a:buNone/>
          </a:pPr>
          <a:r>
            <a:rPr lang="ru-RU" sz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Количество проектов</a:t>
          </a:r>
        </a:p>
        <a:p>
          <a:pPr algn="ctr">
            <a:buNone/>
          </a:pPr>
          <a:r>
            <a:rPr lang="ru-RU" sz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3 724</a:t>
          </a:r>
        </a:p>
      </dgm:t>
    </dgm:pt>
    <dgm:pt modelId="{C9BB011B-CF4A-4C72-A244-39BFDB9029B0}" type="parTrans" cxnId="{AE87CB83-F91A-4D54-A1D6-5D22FEB61D00}">
      <dgm:prSet/>
      <dgm:spPr/>
      <dgm:t>
        <a:bodyPr/>
        <a:lstStyle/>
        <a:p>
          <a:pPr algn="ctr"/>
          <a:endParaRPr lang="ru-RU"/>
        </a:p>
      </dgm:t>
    </dgm:pt>
    <dgm:pt modelId="{727E2732-4208-4353-A045-A5A187F18DE6}" type="sibTrans" cxnId="{AE87CB83-F91A-4D54-A1D6-5D22FEB61D00}">
      <dgm:prSet/>
      <dgm:spPr>
        <a:xfrm>
          <a:off x="1590198" y="541374"/>
          <a:ext cx="305545" cy="357430"/>
        </a:xfrm>
        <a:prstGeom prst="rightArrow">
          <a:avLst>
            <a:gd name="adj1" fmla="val 60000"/>
            <a:gd name="adj2" fmla="val 50000"/>
          </a:avLst>
        </a:prstGeom>
      </dgm:spPr>
      <dgm:t>
        <a:bodyPr/>
        <a:lstStyle/>
        <a:p>
          <a:pPr algn="ctr">
            <a:buNone/>
          </a:pPr>
          <a:endParaRPr lang="ru-RU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gm:t>
    </dgm:pt>
    <dgm:pt modelId="{9C98DA84-73E1-4683-ABB0-77EA8CA1FBC0}">
      <dgm:prSet phldrT="[Текст]" custT="1"/>
      <dgm:spPr>
        <a:xfrm>
          <a:off x="2022574" y="110373"/>
          <a:ext cx="1441251" cy="1219433"/>
        </a:xfrm>
        <a:prstGeom prst="roundRect">
          <a:avLst>
            <a:gd name="adj" fmla="val 10000"/>
          </a:avLst>
        </a:prstGeom>
      </dgm:spPr>
      <dgm:t>
        <a:bodyPr/>
        <a:lstStyle/>
        <a:p>
          <a:pPr algn="ctr">
            <a:buNone/>
          </a:pPr>
          <a:r>
            <a:rPr lang="ru-RU" sz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Общий объем инвестиций </a:t>
          </a:r>
        </a:p>
        <a:p>
          <a:pPr algn="ctr">
            <a:buNone/>
          </a:pPr>
          <a:r>
            <a:rPr lang="ru-RU" sz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5 411,9</a:t>
          </a:r>
        </a:p>
        <a:p>
          <a:pPr algn="ctr">
            <a:buNone/>
          </a:pPr>
          <a:r>
            <a:rPr lang="ru-RU" sz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млрд. руб. </a:t>
          </a:r>
        </a:p>
      </dgm:t>
    </dgm:pt>
    <dgm:pt modelId="{E6FBD8AE-7631-4F3A-B1B9-BAD567639E6A}" type="parTrans" cxnId="{A4715505-882E-44DF-8599-CF9D7AD81D5D}">
      <dgm:prSet/>
      <dgm:spPr/>
      <dgm:t>
        <a:bodyPr/>
        <a:lstStyle/>
        <a:p>
          <a:pPr algn="ctr"/>
          <a:endParaRPr lang="ru-RU"/>
        </a:p>
      </dgm:t>
    </dgm:pt>
    <dgm:pt modelId="{17BB0F51-BA2F-47C4-A330-FACD0BC0EDDA}" type="sibTrans" cxnId="{A4715505-882E-44DF-8599-CF9D7AD81D5D}">
      <dgm:prSet/>
      <dgm:spPr>
        <a:xfrm>
          <a:off x="3607950" y="541374"/>
          <a:ext cx="305545" cy="357430"/>
        </a:xfrm>
        <a:prstGeom prst="rightArrow">
          <a:avLst>
            <a:gd name="adj1" fmla="val 60000"/>
            <a:gd name="adj2" fmla="val 50000"/>
          </a:avLst>
        </a:prstGeom>
      </dgm:spPr>
      <dgm:t>
        <a:bodyPr/>
        <a:lstStyle/>
        <a:p>
          <a:pPr algn="ctr">
            <a:buNone/>
          </a:pPr>
          <a:endParaRPr lang="ru-RU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gm:t>
    </dgm:pt>
    <dgm:pt modelId="{40CF50EA-C77F-4DA4-8418-883BA61A22BC}">
      <dgm:prSet phldrT="[Текст]" custT="1"/>
      <dgm:spPr>
        <a:xfrm>
          <a:off x="4040326" y="110373"/>
          <a:ext cx="1441251" cy="1219433"/>
        </a:xfrm>
        <a:prstGeom prst="roundRect">
          <a:avLst>
            <a:gd name="adj" fmla="val 10000"/>
          </a:avLst>
        </a:prstGeom>
      </dgm:spPr>
      <dgm:t>
        <a:bodyPr/>
        <a:lstStyle/>
        <a:p>
          <a:pPr algn="ctr">
            <a:buNone/>
          </a:pPr>
          <a:r>
            <a:rPr lang="ru-RU" sz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Объем частных инвестиций </a:t>
          </a:r>
        </a:p>
        <a:p>
          <a:pPr algn="ctr">
            <a:buNone/>
          </a:pPr>
          <a:r>
            <a:rPr lang="ru-RU" sz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3 906,3</a:t>
          </a:r>
        </a:p>
        <a:p>
          <a:pPr algn="ctr">
            <a:buNone/>
          </a:pPr>
          <a:r>
            <a:rPr lang="ru-RU" sz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млрд. руб.</a:t>
          </a:r>
        </a:p>
      </dgm:t>
    </dgm:pt>
    <dgm:pt modelId="{119DA52D-A4F5-4030-A086-21E0975A79C8}" type="parTrans" cxnId="{76975694-FCF0-4B24-9F68-FCB268860B68}">
      <dgm:prSet/>
      <dgm:spPr/>
      <dgm:t>
        <a:bodyPr/>
        <a:lstStyle/>
        <a:p>
          <a:pPr algn="ctr"/>
          <a:endParaRPr lang="ru-RU"/>
        </a:p>
      </dgm:t>
    </dgm:pt>
    <dgm:pt modelId="{95E8526E-C5CC-4017-9684-08C329EEFDBB}" type="sibTrans" cxnId="{76975694-FCF0-4B24-9F68-FCB268860B68}">
      <dgm:prSet/>
      <dgm:spPr/>
      <dgm:t>
        <a:bodyPr/>
        <a:lstStyle/>
        <a:p>
          <a:pPr algn="ctr"/>
          <a:endParaRPr lang="ru-RU"/>
        </a:p>
      </dgm:t>
    </dgm:pt>
    <dgm:pt modelId="{DB801058-AAF7-4F45-B477-D44CAA2C88B1}" type="pres">
      <dgm:prSet presAssocID="{39C3912A-7A7C-495A-B8FA-C46602B5FD31}" presName="Name0" presStyleCnt="0">
        <dgm:presLayoutVars>
          <dgm:dir/>
          <dgm:resizeHandles val="exact"/>
        </dgm:presLayoutVars>
      </dgm:prSet>
      <dgm:spPr/>
    </dgm:pt>
    <dgm:pt modelId="{BF5B1152-E6A2-4303-8C34-DC92998E6F14}" type="pres">
      <dgm:prSet presAssocID="{7272BCDE-58BA-4F5C-A014-FA9C3F5D027D}" presName="node" presStyleLbl="node1" presStyleIdx="0" presStyleCnt="3">
        <dgm:presLayoutVars>
          <dgm:bulletEnabled val="1"/>
        </dgm:presLayoutVars>
      </dgm:prSet>
      <dgm:spPr/>
    </dgm:pt>
    <dgm:pt modelId="{C2ED34FE-CF59-4CE2-92B3-7046B2E91EF5}" type="pres">
      <dgm:prSet presAssocID="{727E2732-4208-4353-A045-A5A187F18DE6}" presName="sibTrans" presStyleLbl="sibTrans2D1" presStyleIdx="0" presStyleCnt="2"/>
      <dgm:spPr/>
    </dgm:pt>
    <dgm:pt modelId="{D86708D2-B5FE-4CE5-BE41-C0430C75D007}" type="pres">
      <dgm:prSet presAssocID="{727E2732-4208-4353-A045-A5A187F18DE6}" presName="connectorText" presStyleLbl="sibTrans2D1" presStyleIdx="0" presStyleCnt="2"/>
      <dgm:spPr/>
    </dgm:pt>
    <dgm:pt modelId="{03FEEC32-EABC-4997-B1BC-62EB51787A41}" type="pres">
      <dgm:prSet presAssocID="{9C98DA84-73E1-4683-ABB0-77EA8CA1FBC0}" presName="node" presStyleLbl="node1" presStyleIdx="1" presStyleCnt="3">
        <dgm:presLayoutVars>
          <dgm:bulletEnabled val="1"/>
        </dgm:presLayoutVars>
      </dgm:prSet>
      <dgm:spPr/>
    </dgm:pt>
    <dgm:pt modelId="{2CA83316-DB21-4071-9A64-0E2B48B591F1}" type="pres">
      <dgm:prSet presAssocID="{17BB0F51-BA2F-47C4-A330-FACD0BC0EDDA}" presName="sibTrans" presStyleLbl="sibTrans2D1" presStyleIdx="1" presStyleCnt="2"/>
      <dgm:spPr/>
    </dgm:pt>
    <dgm:pt modelId="{79AEC039-641B-4E39-AEE2-59FF3B872E8F}" type="pres">
      <dgm:prSet presAssocID="{17BB0F51-BA2F-47C4-A330-FACD0BC0EDDA}" presName="connectorText" presStyleLbl="sibTrans2D1" presStyleIdx="1" presStyleCnt="2"/>
      <dgm:spPr/>
    </dgm:pt>
    <dgm:pt modelId="{1B392C3D-97C7-4BCE-80F0-7A0D866665F6}" type="pres">
      <dgm:prSet presAssocID="{40CF50EA-C77F-4DA4-8418-883BA61A22BC}" presName="node" presStyleLbl="node1" presStyleIdx="2" presStyleCnt="3">
        <dgm:presLayoutVars>
          <dgm:bulletEnabled val="1"/>
        </dgm:presLayoutVars>
      </dgm:prSet>
      <dgm:spPr/>
    </dgm:pt>
  </dgm:ptLst>
  <dgm:cxnLst>
    <dgm:cxn modelId="{A4715505-882E-44DF-8599-CF9D7AD81D5D}" srcId="{39C3912A-7A7C-495A-B8FA-C46602B5FD31}" destId="{9C98DA84-73E1-4683-ABB0-77EA8CA1FBC0}" srcOrd="1" destOrd="0" parTransId="{E6FBD8AE-7631-4F3A-B1B9-BAD567639E6A}" sibTransId="{17BB0F51-BA2F-47C4-A330-FACD0BC0EDDA}"/>
    <dgm:cxn modelId="{3433A614-B42B-4EAB-99C1-E1D37D248C04}" type="presOf" srcId="{40CF50EA-C77F-4DA4-8418-883BA61A22BC}" destId="{1B392C3D-97C7-4BCE-80F0-7A0D866665F6}" srcOrd="0" destOrd="0" presId="urn:microsoft.com/office/officeart/2005/8/layout/process1"/>
    <dgm:cxn modelId="{27E21932-CBC2-4474-AEC9-89F01CED0BE3}" type="presOf" srcId="{9C98DA84-73E1-4683-ABB0-77EA8CA1FBC0}" destId="{03FEEC32-EABC-4997-B1BC-62EB51787A41}" srcOrd="0" destOrd="0" presId="urn:microsoft.com/office/officeart/2005/8/layout/process1"/>
    <dgm:cxn modelId="{D5370260-B52F-4C81-A1A0-816E51B9F1CA}" type="presOf" srcId="{17BB0F51-BA2F-47C4-A330-FACD0BC0EDDA}" destId="{79AEC039-641B-4E39-AEE2-59FF3B872E8F}" srcOrd="1" destOrd="0" presId="urn:microsoft.com/office/officeart/2005/8/layout/process1"/>
    <dgm:cxn modelId="{7F599654-80DE-4FB4-940D-D9191A772638}" type="presOf" srcId="{727E2732-4208-4353-A045-A5A187F18DE6}" destId="{C2ED34FE-CF59-4CE2-92B3-7046B2E91EF5}" srcOrd="0" destOrd="0" presId="urn:microsoft.com/office/officeart/2005/8/layout/process1"/>
    <dgm:cxn modelId="{A1DD9E83-0CEF-4BDB-BBD9-A42A228B0BCF}" type="presOf" srcId="{727E2732-4208-4353-A045-A5A187F18DE6}" destId="{D86708D2-B5FE-4CE5-BE41-C0430C75D007}" srcOrd="1" destOrd="0" presId="urn:microsoft.com/office/officeart/2005/8/layout/process1"/>
    <dgm:cxn modelId="{AE87CB83-F91A-4D54-A1D6-5D22FEB61D00}" srcId="{39C3912A-7A7C-495A-B8FA-C46602B5FD31}" destId="{7272BCDE-58BA-4F5C-A014-FA9C3F5D027D}" srcOrd="0" destOrd="0" parTransId="{C9BB011B-CF4A-4C72-A244-39BFDB9029B0}" sibTransId="{727E2732-4208-4353-A045-A5A187F18DE6}"/>
    <dgm:cxn modelId="{76975694-FCF0-4B24-9F68-FCB268860B68}" srcId="{39C3912A-7A7C-495A-B8FA-C46602B5FD31}" destId="{40CF50EA-C77F-4DA4-8418-883BA61A22BC}" srcOrd="2" destOrd="0" parTransId="{119DA52D-A4F5-4030-A086-21E0975A79C8}" sibTransId="{95E8526E-C5CC-4017-9684-08C329EEFDBB}"/>
    <dgm:cxn modelId="{10C4B7A2-FA88-46D4-A8F0-72602780263A}" type="presOf" srcId="{39C3912A-7A7C-495A-B8FA-C46602B5FD31}" destId="{DB801058-AAF7-4F45-B477-D44CAA2C88B1}" srcOrd="0" destOrd="0" presId="urn:microsoft.com/office/officeart/2005/8/layout/process1"/>
    <dgm:cxn modelId="{5E7ACEAE-8AF2-4127-8FA0-0BF825ECDE52}" type="presOf" srcId="{7272BCDE-58BA-4F5C-A014-FA9C3F5D027D}" destId="{BF5B1152-E6A2-4303-8C34-DC92998E6F14}" srcOrd="0" destOrd="0" presId="urn:microsoft.com/office/officeart/2005/8/layout/process1"/>
    <dgm:cxn modelId="{155453C9-40E7-4926-AB62-F76A86D28F30}" type="presOf" srcId="{17BB0F51-BA2F-47C4-A330-FACD0BC0EDDA}" destId="{2CA83316-DB21-4071-9A64-0E2B48B591F1}" srcOrd="0" destOrd="0" presId="urn:microsoft.com/office/officeart/2005/8/layout/process1"/>
    <dgm:cxn modelId="{EC400D6E-E217-4D88-8214-1D07C82176C1}" type="presParOf" srcId="{DB801058-AAF7-4F45-B477-D44CAA2C88B1}" destId="{BF5B1152-E6A2-4303-8C34-DC92998E6F14}" srcOrd="0" destOrd="0" presId="urn:microsoft.com/office/officeart/2005/8/layout/process1"/>
    <dgm:cxn modelId="{096B58DD-8AEB-4A34-AF7A-FC53E334D68B}" type="presParOf" srcId="{DB801058-AAF7-4F45-B477-D44CAA2C88B1}" destId="{C2ED34FE-CF59-4CE2-92B3-7046B2E91EF5}" srcOrd="1" destOrd="0" presId="urn:microsoft.com/office/officeart/2005/8/layout/process1"/>
    <dgm:cxn modelId="{DEC944CF-D0FE-4F54-B13B-7709F9C123CE}" type="presParOf" srcId="{C2ED34FE-CF59-4CE2-92B3-7046B2E91EF5}" destId="{D86708D2-B5FE-4CE5-BE41-C0430C75D007}" srcOrd="0" destOrd="0" presId="urn:microsoft.com/office/officeart/2005/8/layout/process1"/>
    <dgm:cxn modelId="{E91FFFAD-976E-4BC2-B84F-3E8E48766C9E}" type="presParOf" srcId="{DB801058-AAF7-4F45-B477-D44CAA2C88B1}" destId="{03FEEC32-EABC-4997-B1BC-62EB51787A41}" srcOrd="2" destOrd="0" presId="urn:microsoft.com/office/officeart/2005/8/layout/process1"/>
    <dgm:cxn modelId="{EBDD418A-E289-4EAA-AEFE-73814C2454A9}" type="presParOf" srcId="{DB801058-AAF7-4F45-B477-D44CAA2C88B1}" destId="{2CA83316-DB21-4071-9A64-0E2B48B591F1}" srcOrd="3" destOrd="0" presId="urn:microsoft.com/office/officeart/2005/8/layout/process1"/>
    <dgm:cxn modelId="{91A07E3F-9109-420A-B41D-1E712CF1ADAD}" type="presParOf" srcId="{2CA83316-DB21-4071-9A64-0E2B48B591F1}" destId="{79AEC039-641B-4E39-AEE2-59FF3B872E8F}" srcOrd="0" destOrd="0" presId="urn:microsoft.com/office/officeart/2005/8/layout/process1"/>
    <dgm:cxn modelId="{A39B7A44-541E-4691-AD8F-EF94D315781F}" type="presParOf" srcId="{DB801058-AAF7-4F45-B477-D44CAA2C88B1}" destId="{1B392C3D-97C7-4BCE-80F0-7A0D866665F6}" srcOrd="4" destOrd="0" presId="urn:microsoft.com/office/officeart/2005/8/layout/process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F5B1152-E6A2-4303-8C34-DC92998E6F14}">
      <dsp:nvSpPr>
        <dsp:cNvPr id="0" name=""/>
        <dsp:cNvSpPr/>
      </dsp:nvSpPr>
      <dsp:spPr>
        <a:xfrm>
          <a:off x="4822" y="141716"/>
          <a:ext cx="1441251" cy="905286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Количество проектов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3 724</a:t>
          </a:r>
        </a:p>
      </dsp:txBody>
      <dsp:txXfrm>
        <a:off x="31337" y="168231"/>
        <a:ext cx="1388221" cy="852256"/>
      </dsp:txXfrm>
    </dsp:sp>
    <dsp:sp modelId="{C2ED34FE-CF59-4CE2-92B3-7046B2E91EF5}">
      <dsp:nvSpPr>
        <dsp:cNvPr id="0" name=""/>
        <dsp:cNvSpPr/>
      </dsp:nvSpPr>
      <dsp:spPr>
        <a:xfrm>
          <a:off x="1590198" y="415644"/>
          <a:ext cx="305545" cy="357430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15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sp:txBody>
      <dsp:txXfrm>
        <a:off x="1590198" y="487130"/>
        <a:ext cx="213882" cy="214458"/>
      </dsp:txXfrm>
    </dsp:sp>
    <dsp:sp modelId="{03FEEC32-EABC-4997-B1BC-62EB51787A41}">
      <dsp:nvSpPr>
        <dsp:cNvPr id="0" name=""/>
        <dsp:cNvSpPr/>
      </dsp:nvSpPr>
      <dsp:spPr>
        <a:xfrm>
          <a:off x="2022574" y="141716"/>
          <a:ext cx="1441251" cy="905286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Общий объем инвестиций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5 411,9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млрд. руб. </a:t>
          </a:r>
        </a:p>
      </dsp:txBody>
      <dsp:txXfrm>
        <a:off x="2049089" y="168231"/>
        <a:ext cx="1388221" cy="852256"/>
      </dsp:txXfrm>
    </dsp:sp>
    <dsp:sp modelId="{2CA83316-DB21-4071-9A64-0E2B48B591F1}">
      <dsp:nvSpPr>
        <dsp:cNvPr id="0" name=""/>
        <dsp:cNvSpPr/>
      </dsp:nvSpPr>
      <dsp:spPr>
        <a:xfrm>
          <a:off x="3607950" y="415644"/>
          <a:ext cx="305545" cy="357430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1500" kern="1200">
            <a:solidFill>
              <a:sysClr val="window" lastClr="FFFFFF"/>
            </a:solidFill>
            <a:latin typeface="Calibri" panose="020F0502020204030204"/>
            <a:ea typeface="+mn-ea"/>
            <a:cs typeface="+mn-cs"/>
          </a:endParaRPr>
        </a:p>
      </dsp:txBody>
      <dsp:txXfrm>
        <a:off x="3607950" y="487130"/>
        <a:ext cx="213882" cy="214458"/>
      </dsp:txXfrm>
    </dsp:sp>
    <dsp:sp modelId="{1B392C3D-97C7-4BCE-80F0-7A0D866665F6}">
      <dsp:nvSpPr>
        <dsp:cNvPr id="0" name=""/>
        <dsp:cNvSpPr/>
      </dsp:nvSpPr>
      <dsp:spPr>
        <a:xfrm>
          <a:off x="4040326" y="141716"/>
          <a:ext cx="1441251" cy="905286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Объем частных инвестиций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3 906,3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ea typeface="+mn-ea"/>
              <a:cs typeface="Times New Roman" panose="02020603050405020304" pitchFamily="18" charset="0"/>
            </a:rPr>
            <a:t>млрд. руб.</a:t>
          </a:r>
        </a:p>
      </dsp:txBody>
      <dsp:txXfrm>
        <a:off x="4066841" y="168231"/>
        <a:ext cx="1388221" cy="85225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1">
  <dgm:title val=""/>
  <dgm:desc val=""/>
  <dgm:catLst>
    <dgm:cat type="process" pri="1000"/>
    <dgm:cat type="convert" pri="15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h" for="ch" ptType="node" op="equ"/>
      <dgm:constr type="primFontSz" for="ch" ptType="node" op="equ" val="65"/>
      <dgm:constr type="w" for="ch" ptType="sibTrans" refType="w" refFor="ch" refPtType="node" op="equ" fact="0.4"/>
      <dgm:constr type="h" for="ch" ptType="sibTrans" op="equ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6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h" val="NaN" fact="1.5" max="NaN"/>
          <dgm:rule type="primFontSz" val="5" fact="NaN" max="NaN"/>
          <dgm:rule type="h" val="INF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ectorText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E52CE5-9F26-46C2-A2EF-09A8A4DAD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2320</TotalTime>
  <Pages>3</Pages>
  <Words>1411</Words>
  <Characters>8043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Дубова</dc:creator>
  <cp:keywords/>
  <dc:description/>
  <cp:lastModifiedBy>Анастасия Дубова</cp:lastModifiedBy>
  <cp:revision>11</cp:revision>
  <dcterms:created xsi:type="dcterms:W3CDTF">2023-05-11T19:36:00Z</dcterms:created>
  <dcterms:modified xsi:type="dcterms:W3CDTF">2023-05-14T17:54:00Z</dcterms:modified>
</cp:coreProperties>
</file>