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4AE8" w:rsidRPr="001A4AE8" w:rsidRDefault="001A4AE8" w:rsidP="001A4AE8">
      <w:pPr>
        <w:widowControl w:val="0"/>
        <w:shd w:val="clear" w:color="auto" w:fill="FFFFFF"/>
        <w:spacing w:after="0" w:line="240" w:lineRule="auto"/>
        <w:ind w:firstLine="709"/>
        <w:jc w:val="right"/>
        <w:outlineLvl w:val="0"/>
        <w:rPr>
          <w:rFonts w:ascii="Times New Roman" w:hAnsi="Times New Roman" w:cs="Times New Roman"/>
          <w:b/>
          <w:bCs/>
          <w:caps/>
          <w:spacing w:val="-7"/>
          <w:sz w:val="24"/>
          <w:szCs w:val="24"/>
        </w:rPr>
      </w:pPr>
      <w:bookmarkStart w:id="0" w:name="_Toc76714064"/>
      <w:r>
        <w:rPr>
          <w:rFonts w:ascii="Times New Roman" w:hAnsi="Times New Roman" w:cs="Times New Roman"/>
          <w:b/>
          <w:bCs/>
          <w:spacing w:val="-7"/>
          <w:sz w:val="24"/>
          <w:szCs w:val="24"/>
          <w:lang w:eastAsia="ru-RU"/>
        </w:rPr>
        <w:t>Селютин В</w:t>
      </w:r>
      <w:r w:rsidRPr="001A4AE8">
        <w:rPr>
          <w:rFonts w:ascii="Times New Roman" w:hAnsi="Times New Roman" w:cs="Times New Roman"/>
          <w:b/>
          <w:bCs/>
          <w:spacing w:val="-7"/>
          <w:sz w:val="24"/>
          <w:szCs w:val="24"/>
          <w:lang w:eastAsia="ru-RU"/>
        </w:rPr>
        <w:t>.</w:t>
      </w:r>
      <w:r>
        <w:rPr>
          <w:rFonts w:ascii="Times New Roman" w:hAnsi="Times New Roman" w:cs="Times New Roman"/>
          <w:b/>
          <w:bCs/>
          <w:spacing w:val="-7"/>
          <w:sz w:val="24"/>
          <w:szCs w:val="24"/>
          <w:lang w:eastAsia="ru-RU"/>
        </w:rPr>
        <w:t>В</w:t>
      </w:r>
      <w:r w:rsidRPr="001A4AE8">
        <w:rPr>
          <w:rFonts w:ascii="Times New Roman" w:hAnsi="Times New Roman" w:cs="Times New Roman"/>
          <w:b/>
          <w:bCs/>
          <w:spacing w:val="-7"/>
          <w:sz w:val="24"/>
          <w:szCs w:val="24"/>
          <w:lang w:eastAsia="ru-RU"/>
        </w:rPr>
        <w:t>.</w:t>
      </w:r>
      <w:r w:rsidRPr="001A4AE8">
        <w:rPr>
          <w:rFonts w:ascii="Times New Roman" w:hAnsi="Times New Roman" w:cs="Times New Roman"/>
          <w:b/>
          <w:bCs/>
          <w:caps/>
          <w:spacing w:val="-7"/>
          <w:sz w:val="24"/>
          <w:szCs w:val="24"/>
          <w:vertAlign w:val="superscript"/>
        </w:rPr>
        <w:footnoteReference w:customMarkFollows="1" w:id="1"/>
        <w:t>1</w:t>
      </w:r>
      <w:bookmarkEnd w:id="0"/>
    </w:p>
    <w:p w:rsidR="001A4AE8" w:rsidRPr="001A4AE8" w:rsidRDefault="001A4AE8" w:rsidP="001A4AE8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1A4AE8" w:rsidRPr="00713B79" w:rsidRDefault="0018291A" w:rsidP="001D0127">
      <w:pPr>
        <w:keepNext/>
        <w:keepLines/>
        <w:spacing w:after="0" w:line="360" w:lineRule="auto"/>
        <w:ind w:firstLine="709"/>
        <w:jc w:val="center"/>
        <w:outlineLvl w:val="0"/>
        <w:rPr>
          <w:rFonts w:ascii="Times New Roman" w:eastAsia="Times New Roman" w:hAnsi="Times New Roman" w:cs="Times New Roman"/>
          <w:b/>
          <w:snapToGrid w:val="0"/>
          <w:color w:val="000000" w:themeColor="text1"/>
          <w:sz w:val="24"/>
          <w:szCs w:val="24"/>
          <w:lang w:eastAsia="ru-RU"/>
        </w:rPr>
      </w:pPr>
      <w:r w:rsidRPr="00713B79">
        <w:rPr>
          <w:rFonts w:ascii="Times New Roman" w:hAnsi="Times New Roman" w:cs="Times New Roman"/>
          <w:b/>
          <w:sz w:val="24"/>
          <w:szCs w:val="24"/>
        </w:rPr>
        <w:t>Э</w:t>
      </w:r>
      <w:r w:rsidR="001A4AE8" w:rsidRPr="00713B79">
        <w:rPr>
          <w:rFonts w:ascii="Times New Roman" w:hAnsi="Times New Roman" w:cs="Times New Roman"/>
          <w:b/>
          <w:sz w:val="24"/>
          <w:szCs w:val="24"/>
        </w:rPr>
        <w:t>ффективность региона</w:t>
      </w:r>
      <w:r w:rsidRPr="00713B79">
        <w:rPr>
          <w:rFonts w:ascii="Times New Roman" w:hAnsi="Times New Roman" w:cs="Times New Roman"/>
          <w:b/>
          <w:sz w:val="24"/>
          <w:szCs w:val="24"/>
        </w:rPr>
        <w:t>льной экономики</w:t>
      </w:r>
      <w:r w:rsidR="001A4AE8" w:rsidRPr="00713B79">
        <w:rPr>
          <w:rFonts w:ascii="Times New Roman" w:hAnsi="Times New Roman" w:cs="Times New Roman"/>
          <w:b/>
          <w:sz w:val="24"/>
          <w:szCs w:val="24"/>
        </w:rPr>
        <w:t>: три измерения</w:t>
      </w:r>
      <w:r w:rsidR="001A4AE8" w:rsidRPr="00713B79">
        <w:rPr>
          <w:rFonts w:ascii="Times New Roman" w:eastAsia="Times New Roman" w:hAnsi="Times New Roman" w:cs="Times New Roman"/>
          <w:b/>
          <w:snapToGrid w:val="0"/>
          <w:color w:val="000000" w:themeColor="text1"/>
          <w:sz w:val="24"/>
          <w:szCs w:val="24"/>
          <w:lang w:eastAsia="ru-RU"/>
        </w:rPr>
        <w:t xml:space="preserve"> </w:t>
      </w:r>
    </w:p>
    <w:p w:rsidR="001A4AE8" w:rsidRPr="005B72B7" w:rsidRDefault="001A4AE8" w:rsidP="001D0127">
      <w:pPr>
        <w:spacing w:after="0" w:line="36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413B5" w:rsidRPr="00F413B5" w:rsidRDefault="001A4AE8" w:rsidP="00F413B5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  <w:r w:rsidRPr="00566BE3">
        <w:rPr>
          <w:rFonts w:ascii="Times New Roman" w:hAnsi="Times New Roman" w:cs="Times New Roman"/>
          <w:b/>
          <w:bCs/>
          <w:iCs/>
        </w:rPr>
        <w:t>Аннотация:</w:t>
      </w:r>
      <w:r w:rsidRPr="00566BE3">
        <w:rPr>
          <w:rFonts w:ascii="Times New Roman" w:hAnsi="Times New Roman" w:cs="Times New Roman"/>
          <w:i/>
        </w:rPr>
        <w:t xml:space="preserve"> </w:t>
      </w:r>
      <w:r w:rsidR="0017384B" w:rsidRPr="0017384B">
        <w:rPr>
          <w:rFonts w:ascii="Times New Roman" w:hAnsi="Times New Roman" w:cs="Times New Roman"/>
          <w:i/>
        </w:rPr>
        <w:t xml:space="preserve">Эффективность использования производственных возможностей регионов Северо-Западного федерального округа рассчитывается на основе двухфакторной модели производственной функции. </w:t>
      </w:r>
      <w:bookmarkStart w:id="1" w:name="_GoBack"/>
      <w:bookmarkEnd w:id="1"/>
      <w:r w:rsidR="0017384B" w:rsidRPr="0017384B">
        <w:rPr>
          <w:rFonts w:ascii="Times New Roman" w:hAnsi="Times New Roman" w:cs="Times New Roman"/>
          <w:i/>
        </w:rPr>
        <w:t>Проанализирован</w:t>
      </w:r>
      <w:r w:rsidR="0017384B">
        <w:rPr>
          <w:rFonts w:ascii="Times New Roman" w:hAnsi="Times New Roman" w:cs="Times New Roman"/>
          <w:i/>
        </w:rPr>
        <w:t>ы</w:t>
      </w:r>
      <w:r w:rsidR="0017384B" w:rsidRPr="0017384B">
        <w:rPr>
          <w:rFonts w:ascii="Times New Roman" w:hAnsi="Times New Roman" w:cs="Times New Roman"/>
          <w:i/>
        </w:rPr>
        <w:t xml:space="preserve"> бюджетная эффективность и элементы социальной эффективности</w:t>
      </w:r>
      <w:r w:rsidR="009A061C">
        <w:rPr>
          <w:rFonts w:ascii="Times New Roman" w:hAnsi="Times New Roman" w:cs="Times New Roman"/>
          <w:i/>
        </w:rPr>
        <w:t>.</w:t>
      </w:r>
      <w:r w:rsidR="00F413B5" w:rsidRPr="00F413B5">
        <w:rPr>
          <w:rFonts w:ascii="Times New Roman" w:hAnsi="Times New Roman" w:cs="Times New Roman"/>
          <w:i/>
        </w:rPr>
        <w:t xml:space="preserve"> </w:t>
      </w:r>
    </w:p>
    <w:p w:rsidR="00F413B5" w:rsidRPr="00CA2CF6" w:rsidRDefault="00F413B5" w:rsidP="001A4AE8">
      <w:pPr>
        <w:spacing w:after="0" w:line="240" w:lineRule="auto"/>
        <w:ind w:firstLine="425"/>
        <w:jc w:val="both"/>
        <w:rPr>
          <w:rFonts w:ascii="Times New Roman" w:hAnsi="Times New Roman" w:cs="Times New Roman"/>
          <w:sz w:val="24"/>
          <w:szCs w:val="24"/>
        </w:rPr>
      </w:pPr>
    </w:p>
    <w:p w:rsidR="001A4AE8" w:rsidRPr="003A5318" w:rsidRDefault="001A4AE8" w:rsidP="001A4AE8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  <w:r w:rsidRPr="003A5318">
        <w:rPr>
          <w:rFonts w:ascii="Times New Roman" w:hAnsi="Times New Roman" w:cs="Times New Roman"/>
          <w:b/>
          <w:bCs/>
          <w:iCs/>
        </w:rPr>
        <w:t>Ключевые слова:</w:t>
      </w:r>
      <w:r w:rsidRPr="003A5318">
        <w:rPr>
          <w:rFonts w:ascii="Times New Roman" w:hAnsi="Times New Roman" w:cs="Times New Roman"/>
          <w:i/>
        </w:rPr>
        <w:t xml:space="preserve"> </w:t>
      </w:r>
      <w:r w:rsidR="00980613">
        <w:rPr>
          <w:rFonts w:ascii="Times New Roman" w:hAnsi="Times New Roman" w:cs="Times New Roman"/>
          <w:i/>
        </w:rPr>
        <w:t xml:space="preserve">экономическая </w:t>
      </w:r>
      <w:r w:rsidR="003A5318">
        <w:rPr>
          <w:rFonts w:ascii="Times New Roman" w:hAnsi="Times New Roman" w:cs="Times New Roman"/>
          <w:i/>
        </w:rPr>
        <w:t xml:space="preserve">эффективность, </w:t>
      </w:r>
      <w:r w:rsidR="00566BE3">
        <w:rPr>
          <w:rFonts w:ascii="Times New Roman" w:hAnsi="Times New Roman" w:cs="Times New Roman"/>
          <w:i/>
        </w:rPr>
        <w:t xml:space="preserve">производственная функция, </w:t>
      </w:r>
      <w:proofErr w:type="spellStart"/>
      <w:r w:rsidR="00E2352A">
        <w:rPr>
          <w:rFonts w:ascii="Times New Roman" w:hAnsi="Times New Roman" w:cs="Times New Roman"/>
          <w:i/>
        </w:rPr>
        <w:t>п</w:t>
      </w:r>
      <w:r w:rsidR="003A5318">
        <w:rPr>
          <w:rFonts w:ascii="Times New Roman" w:hAnsi="Times New Roman" w:cs="Times New Roman"/>
          <w:i/>
        </w:rPr>
        <w:t>арето</w:t>
      </w:r>
      <w:proofErr w:type="spellEnd"/>
      <w:r w:rsidR="003A5318">
        <w:rPr>
          <w:rFonts w:ascii="Times New Roman" w:hAnsi="Times New Roman" w:cs="Times New Roman"/>
          <w:i/>
        </w:rPr>
        <w:t>-оптимальность</w:t>
      </w:r>
      <w:r w:rsidRPr="003A5318">
        <w:rPr>
          <w:rFonts w:ascii="Times New Roman" w:hAnsi="Times New Roman" w:cs="Times New Roman"/>
          <w:i/>
        </w:rPr>
        <w:t xml:space="preserve">, </w:t>
      </w:r>
      <w:r w:rsidR="003A5318">
        <w:rPr>
          <w:rFonts w:ascii="Times New Roman" w:hAnsi="Times New Roman" w:cs="Times New Roman"/>
          <w:i/>
        </w:rPr>
        <w:t>Северо-Западный федеральный округ</w:t>
      </w:r>
      <w:r w:rsidRPr="003A5318">
        <w:rPr>
          <w:rFonts w:ascii="Times New Roman" w:hAnsi="Times New Roman" w:cs="Times New Roman"/>
          <w:i/>
        </w:rPr>
        <w:t>.</w:t>
      </w:r>
    </w:p>
    <w:p w:rsidR="001A4AE8" w:rsidRDefault="001A4AE8" w:rsidP="00D05F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3A5318" w:rsidRDefault="003A5318" w:rsidP="003A5318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A5318">
        <w:rPr>
          <w:rFonts w:ascii="Times New Roman" w:hAnsi="Times New Roman" w:cs="Times New Roman"/>
          <w:sz w:val="24"/>
          <w:szCs w:val="24"/>
        </w:rPr>
        <w:t xml:space="preserve">С тех пор как понятие «устойчивое развитие» в глобальном контексте впервые появилось в 1987 году в рамках доклада Дж. </w:t>
      </w:r>
      <w:proofErr w:type="spellStart"/>
      <w:r w:rsidRPr="003A5318">
        <w:rPr>
          <w:rFonts w:ascii="Times New Roman" w:hAnsi="Times New Roman" w:cs="Times New Roman"/>
          <w:sz w:val="24"/>
          <w:szCs w:val="24"/>
        </w:rPr>
        <w:t>Брунтланд</w:t>
      </w:r>
      <w:proofErr w:type="spellEnd"/>
      <w:r w:rsidRPr="003A5318">
        <w:rPr>
          <w:rFonts w:ascii="Times New Roman" w:hAnsi="Times New Roman" w:cs="Times New Roman"/>
          <w:sz w:val="24"/>
          <w:szCs w:val="24"/>
        </w:rPr>
        <w:t xml:space="preserve"> «Наше общее будущее», эта концепция подверглась значительной трансформации. Если в первые годы акцент был сделан на защиту среды обитания и экологические проблемы, то в последующие годы усилилось понимание того, что решать проблемы окружающей среды невозможно без учёта экономических и социальных факторов. </w:t>
      </w:r>
    </w:p>
    <w:p w:rsidR="00E00D34" w:rsidRDefault="00E00D34" w:rsidP="00E00D3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0D34">
        <w:rPr>
          <w:rFonts w:ascii="Times New Roman" w:hAnsi="Times New Roman" w:cs="Times New Roman"/>
          <w:sz w:val="24"/>
          <w:szCs w:val="24"/>
        </w:rPr>
        <w:t xml:space="preserve">Одним из важных условий устойчивого развития является экономическая эффективность. </w:t>
      </w:r>
      <w:r w:rsidRPr="00E00D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Эффективность является важнейшей характеристикой любой целенаправленной системы, вне зависимости от её природы – технической, экономической, производственной, социальной или политической. </w:t>
      </w:r>
    </w:p>
    <w:p w:rsidR="00D70C37" w:rsidRPr="00350C1F" w:rsidRDefault="00E00D34" w:rsidP="00D70C37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00D3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Эффективность региональных систем может оцениваться в различных системах </w:t>
      </w: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координат и метриках. Это обусловлено тем, что регионы представляют собой составные социально-экономические системы, включающие объекты разной природы и разного целеполагания. Вследствие этого результаты их функционирования могут рассматриваться с различных точек зрения – общества в целом и отдельных его категорий, корпораций, государственных институтов и т.д. </w:t>
      </w:r>
      <w:r w:rsidR="00D70C37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задача оценки региональной эффективности является многокритериальной.</w:t>
      </w:r>
    </w:p>
    <w:p w:rsidR="00E00D34" w:rsidRPr="00350C1F" w:rsidRDefault="00E00D34" w:rsidP="00E00D3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научной литературе и в официальных документах фигурируют такие аспекты региональной эффективности как экономическая, финансовая, бюджетная, налоговая, социальная, экологическая, </w:t>
      </w:r>
      <w:proofErr w:type="spellStart"/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энергоэффективность</w:t>
      </w:r>
      <w:proofErr w:type="spellEnd"/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E30D7C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этом термином «эффективность» зачастую подменяются такие оценочные показатели функционирования как «результативность», «эффект» или «качество».</w:t>
      </w:r>
      <w:r w:rsidR="00C83D09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В конечном итоге, г</w:t>
      </w:r>
      <w:r w:rsidRPr="00350C1F">
        <w:rPr>
          <w:rFonts w:ascii="Times New Roman" w:hAnsi="Times New Roman" w:cs="Times New Roman"/>
          <w:sz w:val="24"/>
          <w:szCs w:val="24"/>
        </w:rPr>
        <w:t xml:space="preserve">лавным критерием эффективности региональных </w:t>
      </w:r>
      <w:proofErr w:type="spellStart"/>
      <w:r w:rsidRPr="00350C1F">
        <w:rPr>
          <w:rFonts w:ascii="Times New Roman" w:hAnsi="Times New Roman" w:cs="Times New Roman"/>
          <w:sz w:val="24"/>
          <w:szCs w:val="24"/>
        </w:rPr>
        <w:t>социо</w:t>
      </w:r>
      <w:proofErr w:type="spellEnd"/>
      <w:r w:rsidRPr="00350C1F">
        <w:rPr>
          <w:rFonts w:ascii="Times New Roman" w:hAnsi="Times New Roman" w:cs="Times New Roman"/>
          <w:sz w:val="24"/>
          <w:szCs w:val="24"/>
        </w:rPr>
        <w:t xml:space="preserve">-эколого-экономических систем является степень удовлетворения конечных потребностей общества, связанных с развитием личности и сохранением окружающей природной среды. </w:t>
      </w:r>
    </w:p>
    <w:p w:rsidR="00A85A33" w:rsidRPr="00350C1F" w:rsidRDefault="00A85A33" w:rsidP="00A85A33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Помимо объективных факторов, таких как сложившийся уровень экономического развития, ресурсная база, географическое положение, мировые цены и других, значимое влияние на уровень и динамику эффективности экономики региона, а также использование регионом своих конкурентных преимуществ, оказывают субъективные факторы, в частности эффективность деятельности локальных администраций по управлению территориями [</w:t>
      </w:r>
      <w:r w:rsidR="00F96E75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F96E75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3</w:t>
      </w: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</w:p>
    <w:p w:rsidR="005D1F21" w:rsidRPr="00350C1F" w:rsidRDefault="000A72CD" w:rsidP="005D1F2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0C1F">
        <w:rPr>
          <w:rFonts w:ascii="Times New Roman" w:hAnsi="Times New Roman" w:cs="Times New Roman"/>
          <w:sz w:val="24"/>
          <w:szCs w:val="24"/>
        </w:rPr>
        <w:t>Во многих системах, от физических до экономических</w:t>
      </w:r>
      <w:r w:rsidR="005D1F21" w:rsidRPr="00350C1F">
        <w:rPr>
          <w:rFonts w:ascii="Times New Roman" w:hAnsi="Times New Roman" w:cs="Times New Roman"/>
          <w:sz w:val="24"/>
          <w:szCs w:val="24"/>
        </w:rPr>
        <w:t>,</w:t>
      </w:r>
      <w:r w:rsidRPr="00350C1F">
        <w:rPr>
          <w:rFonts w:ascii="Times New Roman" w:hAnsi="Times New Roman" w:cs="Times New Roman"/>
          <w:sz w:val="24"/>
          <w:szCs w:val="24"/>
        </w:rPr>
        <w:t xml:space="preserve"> эффективность определяется отношени</w:t>
      </w:r>
      <w:r w:rsidR="00F25A75" w:rsidRPr="00350C1F">
        <w:rPr>
          <w:rFonts w:ascii="Times New Roman" w:hAnsi="Times New Roman" w:cs="Times New Roman"/>
          <w:sz w:val="24"/>
          <w:szCs w:val="24"/>
        </w:rPr>
        <w:t>ем</w:t>
      </w:r>
      <w:r w:rsidRPr="00350C1F">
        <w:rPr>
          <w:rFonts w:ascii="Times New Roman" w:hAnsi="Times New Roman" w:cs="Times New Roman"/>
          <w:sz w:val="24"/>
          <w:szCs w:val="24"/>
        </w:rPr>
        <w:t xml:space="preserve"> выхода к входу. Для </w:t>
      </w:r>
      <w:r w:rsidR="00F25A75" w:rsidRPr="00350C1F">
        <w:rPr>
          <w:rFonts w:ascii="Times New Roman" w:hAnsi="Times New Roman" w:cs="Times New Roman"/>
          <w:sz w:val="24"/>
          <w:szCs w:val="24"/>
        </w:rPr>
        <w:t xml:space="preserve">региональных систем </w:t>
      </w:r>
      <w:r w:rsidR="005D1F21" w:rsidRPr="00350C1F">
        <w:rPr>
          <w:rFonts w:ascii="Times New Roman" w:hAnsi="Times New Roman" w:cs="Times New Roman"/>
          <w:sz w:val="24"/>
          <w:szCs w:val="24"/>
        </w:rPr>
        <w:t xml:space="preserve">характерны множественные </w:t>
      </w:r>
      <w:r w:rsidRPr="00350C1F">
        <w:rPr>
          <w:rFonts w:ascii="Times New Roman" w:hAnsi="Times New Roman" w:cs="Times New Roman"/>
          <w:sz w:val="24"/>
          <w:szCs w:val="24"/>
        </w:rPr>
        <w:t>вход</w:t>
      </w:r>
      <w:r w:rsidR="005D1F21" w:rsidRPr="00350C1F">
        <w:rPr>
          <w:rFonts w:ascii="Times New Roman" w:hAnsi="Times New Roman" w:cs="Times New Roman"/>
          <w:sz w:val="24"/>
          <w:szCs w:val="24"/>
        </w:rPr>
        <w:t xml:space="preserve">ы, которыми </w:t>
      </w:r>
      <w:r w:rsidRPr="00350C1F">
        <w:rPr>
          <w:rFonts w:ascii="Times New Roman" w:hAnsi="Times New Roman" w:cs="Times New Roman"/>
          <w:sz w:val="24"/>
          <w:szCs w:val="24"/>
        </w:rPr>
        <w:t>являются затраты</w:t>
      </w:r>
      <w:r w:rsidR="00B96C7A" w:rsidRPr="00350C1F">
        <w:rPr>
          <w:rFonts w:ascii="Times New Roman" w:hAnsi="Times New Roman" w:cs="Times New Roman"/>
          <w:sz w:val="24"/>
          <w:szCs w:val="24"/>
        </w:rPr>
        <w:t xml:space="preserve"> </w:t>
      </w:r>
      <w:r w:rsidR="001E56E0" w:rsidRPr="00350C1F">
        <w:rPr>
          <w:rFonts w:ascii="Times New Roman" w:hAnsi="Times New Roman" w:cs="Times New Roman"/>
          <w:sz w:val="24"/>
          <w:szCs w:val="24"/>
        </w:rPr>
        <w:t xml:space="preserve">разнообразных </w:t>
      </w:r>
      <w:r w:rsidR="00B96C7A" w:rsidRPr="00350C1F">
        <w:rPr>
          <w:rFonts w:ascii="Times New Roman" w:hAnsi="Times New Roman" w:cs="Times New Roman"/>
          <w:sz w:val="24"/>
          <w:szCs w:val="24"/>
        </w:rPr>
        <w:t>ресурсов</w:t>
      </w:r>
      <w:r w:rsidR="00F25A75" w:rsidRPr="00350C1F">
        <w:rPr>
          <w:rFonts w:ascii="Times New Roman" w:hAnsi="Times New Roman" w:cs="Times New Roman"/>
          <w:sz w:val="24"/>
          <w:szCs w:val="24"/>
        </w:rPr>
        <w:t xml:space="preserve"> (трудовых, материальных, финансовых, природных и пр.)</w:t>
      </w:r>
      <w:r w:rsidR="005D1F21" w:rsidRPr="00350C1F">
        <w:rPr>
          <w:rFonts w:ascii="Times New Roman" w:hAnsi="Times New Roman" w:cs="Times New Roman"/>
          <w:sz w:val="24"/>
          <w:szCs w:val="24"/>
        </w:rPr>
        <w:t xml:space="preserve"> и множественные </w:t>
      </w:r>
      <w:r w:rsidRPr="00350C1F">
        <w:rPr>
          <w:rFonts w:ascii="Times New Roman" w:hAnsi="Times New Roman" w:cs="Times New Roman"/>
          <w:sz w:val="24"/>
          <w:szCs w:val="24"/>
        </w:rPr>
        <w:t>выход</w:t>
      </w:r>
      <w:r w:rsidR="005D1F21" w:rsidRPr="00350C1F">
        <w:rPr>
          <w:rFonts w:ascii="Times New Roman" w:hAnsi="Times New Roman" w:cs="Times New Roman"/>
          <w:sz w:val="24"/>
          <w:szCs w:val="24"/>
        </w:rPr>
        <w:t>ы</w:t>
      </w:r>
      <w:r w:rsidRPr="00350C1F">
        <w:rPr>
          <w:rFonts w:ascii="Times New Roman" w:hAnsi="Times New Roman" w:cs="Times New Roman"/>
          <w:sz w:val="24"/>
          <w:szCs w:val="24"/>
        </w:rPr>
        <w:t xml:space="preserve"> – </w:t>
      </w:r>
      <w:r w:rsidR="00F25A75" w:rsidRPr="00350C1F">
        <w:rPr>
          <w:rFonts w:ascii="Times New Roman" w:hAnsi="Times New Roman" w:cs="Times New Roman"/>
          <w:sz w:val="24"/>
          <w:szCs w:val="24"/>
        </w:rPr>
        <w:t>финансовые, экономические, социальные и пр. результаты деятельности</w:t>
      </w:r>
      <w:r w:rsidRPr="00350C1F">
        <w:rPr>
          <w:rFonts w:ascii="Times New Roman" w:hAnsi="Times New Roman" w:cs="Times New Roman"/>
          <w:sz w:val="24"/>
          <w:szCs w:val="24"/>
        </w:rPr>
        <w:t>.</w:t>
      </w:r>
      <w:r w:rsidR="005D1F21" w:rsidRPr="00350C1F">
        <w:rPr>
          <w:rFonts w:ascii="Times New Roman" w:hAnsi="Times New Roman" w:cs="Times New Roman"/>
          <w:sz w:val="24"/>
          <w:szCs w:val="24"/>
        </w:rPr>
        <w:t xml:space="preserve"> Для приведения их к </w:t>
      </w:r>
      <w:r w:rsidR="0037243C" w:rsidRPr="00350C1F">
        <w:rPr>
          <w:rFonts w:ascii="Times New Roman" w:hAnsi="Times New Roman" w:cs="Times New Roman"/>
          <w:sz w:val="24"/>
          <w:szCs w:val="24"/>
        </w:rPr>
        <w:t xml:space="preserve">скалярному (интегральному) виду </w:t>
      </w:r>
      <w:r w:rsidR="005D1F21" w:rsidRPr="00350C1F">
        <w:rPr>
          <w:rFonts w:ascii="Times New Roman" w:hAnsi="Times New Roman" w:cs="Times New Roman"/>
          <w:sz w:val="24"/>
          <w:szCs w:val="24"/>
        </w:rPr>
        <w:t xml:space="preserve">обычно используются свёртки, в которых отдельные показатели стандартизируются и снабжаются </w:t>
      </w:r>
      <w:proofErr w:type="spellStart"/>
      <w:r w:rsidR="0037243C" w:rsidRPr="00350C1F">
        <w:rPr>
          <w:rFonts w:ascii="Times New Roman" w:hAnsi="Times New Roman" w:cs="Times New Roman"/>
          <w:sz w:val="24"/>
          <w:szCs w:val="24"/>
        </w:rPr>
        <w:t>экспертно</w:t>
      </w:r>
      <w:proofErr w:type="spellEnd"/>
      <w:r w:rsidR="005D1F21" w:rsidRPr="00350C1F">
        <w:rPr>
          <w:rFonts w:ascii="Times New Roman" w:hAnsi="Times New Roman" w:cs="Times New Roman"/>
          <w:sz w:val="24"/>
          <w:szCs w:val="24"/>
        </w:rPr>
        <w:t xml:space="preserve"> устанавливаемыми весами. Однако субъективизм априорного выбора весов </w:t>
      </w:r>
      <w:r w:rsidR="005D1F21" w:rsidRPr="00350C1F">
        <w:rPr>
          <w:rFonts w:ascii="Times New Roman" w:hAnsi="Times New Roman" w:cs="Times New Roman"/>
          <w:sz w:val="24"/>
          <w:szCs w:val="24"/>
        </w:rPr>
        <w:lastRenderedPageBreak/>
        <w:t>оставляет поле для критики данного подхода.</w:t>
      </w:r>
      <w:r w:rsidR="0037243C" w:rsidRPr="00350C1F">
        <w:rPr>
          <w:rFonts w:ascii="Times New Roman" w:hAnsi="Times New Roman" w:cs="Times New Roman"/>
          <w:sz w:val="24"/>
          <w:szCs w:val="24"/>
        </w:rPr>
        <w:t xml:space="preserve"> </w:t>
      </w:r>
      <w:r w:rsidR="005D1F21" w:rsidRPr="00350C1F">
        <w:rPr>
          <w:rFonts w:ascii="Times New Roman" w:hAnsi="Times New Roman" w:cs="Times New Roman"/>
          <w:sz w:val="24"/>
          <w:szCs w:val="24"/>
        </w:rPr>
        <w:t>Кроме того, при оценке эффективности региональных систем используются показатели различно</w:t>
      </w:r>
      <w:r w:rsidR="00491D44" w:rsidRPr="00350C1F">
        <w:rPr>
          <w:rFonts w:ascii="Times New Roman" w:hAnsi="Times New Roman" w:cs="Times New Roman"/>
          <w:sz w:val="24"/>
          <w:szCs w:val="24"/>
        </w:rPr>
        <w:t>го</w:t>
      </w:r>
      <w:r w:rsidR="005D1F21" w:rsidRPr="00350C1F">
        <w:rPr>
          <w:rFonts w:ascii="Times New Roman" w:hAnsi="Times New Roman" w:cs="Times New Roman"/>
          <w:sz w:val="24"/>
          <w:szCs w:val="24"/>
        </w:rPr>
        <w:t xml:space="preserve"> типа (состояния, потоки, темпы, доли и др.), что само по себе вызывает вопросы и ставит непростую задача синтеза интегрального критерия.</w:t>
      </w:r>
    </w:p>
    <w:p w:rsidR="00D522E1" w:rsidRPr="00350C1F" w:rsidRDefault="00D522E1" w:rsidP="00D522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0C1F">
        <w:rPr>
          <w:rFonts w:ascii="Times New Roman" w:hAnsi="Times New Roman" w:cs="Times New Roman"/>
          <w:sz w:val="24"/>
          <w:szCs w:val="24"/>
        </w:rPr>
        <w:t>Далее</w:t>
      </w:r>
      <w:r w:rsidR="003F59BB" w:rsidRPr="00350C1F">
        <w:rPr>
          <w:rFonts w:ascii="Times New Roman" w:hAnsi="Times New Roman" w:cs="Times New Roman"/>
          <w:sz w:val="24"/>
          <w:szCs w:val="24"/>
        </w:rPr>
        <w:t xml:space="preserve">, не прибегая к интегральному критерию, </w:t>
      </w:r>
      <w:r w:rsidRPr="00350C1F">
        <w:rPr>
          <w:rFonts w:ascii="Times New Roman" w:hAnsi="Times New Roman" w:cs="Times New Roman"/>
          <w:sz w:val="24"/>
          <w:szCs w:val="24"/>
        </w:rPr>
        <w:t xml:space="preserve">рассмотрим </w:t>
      </w:r>
      <w:r w:rsidR="003F59BB" w:rsidRPr="00350C1F">
        <w:rPr>
          <w:rFonts w:ascii="Times New Roman" w:hAnsi="Times New Roman" w:cs="Times New Roman"/>
          <w:sz w:val="24"/>
          <w:szCs w:val="24"/>
        </w:rPr>
        <w:t xml:space="preserve">экономическую </w:t>
      </w:r>
      <w:r w:rsidRPr="00350C1F">
        <w:rPr>
          <w:rFonts w:ascii="Times New Roman" w:hAnsi="Times New Roman" w:cs="Times New Roman"/>
          <w:sz w:val="24"/>
          <w:szCs w:val="24"/>
        </w:rPr>
        <w:t xml:space="preserve">эффективность </w:t>
      </w:r>
      <w:r w:rsidR="004763F3" w:rsidRPr="00350C1F">
        <w:rPr>
          <w:rFonts w:ascii="Times New Roman" w:hAnsi="Times New Roman" w:cs="Times New Roman"/>
          <w:sz w:val="24"/>
          <w:szCs w:val="24"/>
        </w:rPr>
        <w:t xml:space="preserve">субъектов </w:t>
      </w:r>
      <w:r w:rsidRPr="00350C1F">
        <w:rPr>
          <w:rFonts w:ascii="Times New Roman" w:hAnsi="Times New Roman" w:cs="Times New Roman"/>
          <w:sz w:val="24"/>
          <w:szCs w:val="24"/>
        </w:rPr>
        <w:t xml:space="preserve">Северо-Западного федерального округа в трёх </w:t>
      </w:r>
      <w:r w:rsidR="0075106B" w:rsidRPr="00350C1F">
        <w:rPr>
          <w:rFonts w:ascii="Times New Roman" w:hAnsi="Times New Roman" w:cs="Times New Roman"/>
          <w:sz w:val="24"/>
          <w:szCs w:val="24"/>
        </w:rPr>
        <w:t>измерениях</w:t>
      </w:r>
      <w:r w:rsidRPr="00350C1F">
        <w:rPr>
          <w:rFonts w:ascii="Times New Roman" w:hAnsi="Times New Roman" w:cs="Times New Roman"/>
          <w:sz w:val="24"/>
          <w:szCs w:val="24"/>
        </w:rPr>
        <w:t xml:space="preserve"> – производственном, бюджетном и социальном.</w:t>
      </w:r>
      <w:r w:rsidR="004763F3" w:rsidRPr="00350C1F">
        <w:rPr>
          <w:rFonts w:ascii="Times New Roman" w:hAnsi="Times New Roman" w:cs="Times New Roman"/>
          <w:sz w:val="24"/>
          <w:szCs w:val="24"/>
        </w:rPr>
        <w:t xml:space="preserve"> </w:t>
      </w:r>
      <w:r w:rsidRPr="00350C1F">
        <w:rPr>
          <w:rFonts w:ascii="Times New Roman" w:hAnsi="Times New Roman" w:cs="Times New Roman"/>
          <w:sz w:val="24"/>
          <w:szCs w:val="24"/>
        </w:rPr>
        <w:t>Ненецкий автономный округ, который</w:t>
      </w:r>
      <w:r w:rsidR="003F59BB" w:rsidRPr="00350C1F">
        <w:rPr>
          <w:rFonts w:ascii="Times New Roman" w:hAnsi="Times New Roman" w:cs="Times New Roman"/>
          <w:sz w:val="24"/>
          <w:szCs w:val="24"/>
        </w:rPr>
        <w:t>,</w:t>
      </w:r>
      <w:r w:rsidRPr="00350C1F">
        <w:rPr>
          <w:rFonts w:ascii="Times New Roman" w:hAnsi="Times New Roman" w:cs="Times New Roman"/>
          <w:sz w:val="24"/>
          <w:szCs w:val="24"/>
        </w:rPr>
        <w:t xml:space="preserve"> согласно </w:t>
      </w:r>
      <w:r w:rsidR="003F59BB" w:rsidRPr="00350C1F">
        <w:rPr>
          <w:rFonts w:ascii="Times New Roman" w:hAnsi="Times New Roman" w:cs="Times New Roman"/>
          <w:sz w:val="24"/>
          <w:szCs w:val="24"/>
        </w:rPr>
        <w:t>у</w:t>
      </w:r>
      <w:r w:rsidRPr="00350C1F">
        <w:rPr>
          <w:rFonts w:ascii="Times New Roman" w:hAnsi="Times New Roman" w:cs="Times New Roman"/>
          <w:sz w:val="24"/>
          <w:szCs w:val="24"/>
        </w:rPr>
        <w:t>ставу Архангельской области</w:t>
      </w:r>
      <w:r w:rsidR="003F59BB" w:rsidRPr="00350C1F">
        <w:rPr>
          <w:rFonts w:ascii="Times New Roman" w:hAnsi="Times New Roman" w:cs="Times New Roman"/>
          <w:sz w:val="24"/>
          <w:szCs w:val="24"/>
        </w:rPr>
        <w:t>,</w:t>
      </w:r>
      <w:r w:rsidRPr="00350C1F">
        <w:rPr>
          <w:rFonts w:ascii="Times New Roman" w:hAnsi="Times New Roman" w:cs="Times New Roman"/>
          <w:sz w:val="24"/>
          <w:szCs w:val="24"/>
        </w:rPr>
        <w:t xml:space="preserve"> входит в её состав, являясь одновременно субъектом Российской Федерации, будем рассматривать как отдельный регион.</w:t>
      </w:r>
    </w:p>
    <w:p w:rsidR="00D522E1" w:rsidRPr="00350C1F" w:rsidRDefault="00D522E1" w:rsidP="00D522E1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0C1F">
        <w:rPr>
          <w:rFonts w:ascii="Times New Roman" w:hAnsi="Times New Roman" w:cs="Times New Roman"/>
          <w:sz w:val="24"/>
          <w:szCs w:val="24"/>
        </w:rPr>
        <w:t>В качестве исходной информации использова</w:t>
      </w:r>
      <w:r w:rsidR="008721A4" w:rsidRPr="00350C1F">
        <w:rPr>
          <w:rFonts w:ascii="Times New Roman" w:hAnsi="Times New Roman" w:cs="Times New Roman"/>
          <w:sz w:val="24"/>
          <w:szCs w:val="24"/>
        </w:rPr>
        <w:t>ны</w:t>
      </w:r>
      <w:r w:rsidRPr="00350C1F">
        <w:rPr>
          <w:rFonts w:ascii="Times New Roman" w:hAnsi="Times New Roman" w:cs="Times New Roman"/>
          <w:sz w:val="24"/>
          <w:szCs w:val="24"/>
        </w:rPr>
        <w:t xml:space="preserve"> данные Федеральной службы государственной статистики за 2019 год. Этот год принят в качестве базового, чтобы избежать наложения эффектов кризисных ограничений в 2020-2021 годах, вызванных пандемией </w:t>
      </w:r>
      <w:proofErr w:type="spellStart"/>
      <w:r w:rsidRPr="00350C1F">
        <w:rPr>
          <w:rFonts w:ascii="Times New Roman" w:hAnsi="Times New Roman" w:cs="Times New Roman"/>
          <w:sz w:val="24"/>
          <w:szCs w:val="24"/>
        </w:rPr>
        <w:t>коронавируса</w:t>
      </w:r>
      <w:proofErr w:type="spellEnd"/>
      <w:r w:rsidRPr="00350C1F">
        <w:rPr>
          <w:rFonts w:ascii="Times New Roman" w:hAnsi="Times New Roman" w:cs="Times New Roman"/>
          <w:sz w:val="24"/>
          <w:szCs w:val="24"/>
        </w:rPr>
        <w:t xml:space="preserve"> COVID-19, и </w:t>
      </w:r>
      <w:r w:rsidR="006248B2" w:rsidRPr="00350C1F">
        <w:rPr>
          <w:rFonts w:ascii="Times New Roman" w:hAnsi="Times New Roman" w:cs="Times New Roman"/>
          <w:sz w:val="24"/>
          <w:szCs w:val="24"/>
        </w:rPr>
        <w:t xml:space="preserve">влияния международных экономических </w:t>
      </w:r>
      <w:r w:rsidRPr="00350C1F">
        <w:rPr>
          <w:rFonts w:ascii="Times New Roman" w:hAnsi="Times New Roman" w:cs="Times New Roman"/>
          <w:sz w:val="24"/>
          <w:szCs w:val="24"/>
        </w:rPr>
        <w:t>санкци</w:t>
      </w:r>
      <w:r w:rsidR="006248B2" w:rsidRPr="00350C1F">
        <w:rPr>
          <w:rFonts w:ascii="Times New Roman" w:hAnsi="Times New Roman" w:cs="Times New Roman"/>
          <w:sz w:val="24"/>
          <w:szCs w:val="24"/>
        </w:rPr>
        <w:t>й</w:t>
      </w:r>
      <w:r w:rsidRPr="00350C1F">
        <w:rPr>
          <w:rFonts w:ascii="Times New Roman" w:hAnsi="Times New Roman" w:cs="Times New Roman"/>
          <w:sz w:val="24"/>
          <w:szCs w:val="24"/>
        </w:rPr>
        <w:t xml:space="preserve"> в 2022 году. </w:t>
      </w:r>
    </w:p>
    <w:p w:rsidR="00C6700F" w:rsidRPr="00350C1F" w:rsidRDefault="00397092" w:rsidP="00C6700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0C1F">
        <w:rPr>
          <w:rFonts w:ascii="Times New Roman" w:hAnsi="Times New Roman" w:cs="Times New Roman"/>
          <w:b/>
          <w:sz w:val="24"/>
          <w:szCs w:val="24"/>
        </w:rPr>
        <w:t>Производственная эффективность.</w:t>
      </w:r>
      <w:r w:rsidR="0075106B" w:rsidRPr="00350C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6700F" w:rsidRPr="00350C1F">
        <w:rPr>
          <w:rFonts w:ascii="Times New Roman" w:hAnsi="Times New Roman" w:cs="Times New Roman"/>
          <w:sz w:val="24"/>
          <w:szCs w:val="24"/>
        </w:rPr>
        <w:t>В самом общем виде производственная функция региона может включать такие факторы как труд (численность работников), капитал (стоимость основных фондов), релевантные материальные ресурсы, технологии, предпринимательскую инициативу и др.</w:t>
      </w:r>
    </w:p>
    <w:p w:rsidR="0075106B" w:rsidRPr="00350C1F" w:rsidRDefault="0075106B" w:rsidP="0075106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0C1F">
        <w:rPr>
          <w:rFonts w:ascii="Times New Roman" w:hAnsi="Times New Roman" w:cs="Times New Roman"/>
          <w:sz w:val="24"/>
          <w:szCs w:val="24"/>
        </w:rPr>
        <w:t>Далее остановимся на анализе производственных возможностей субъектов РФ, исходя из двухфакторных моделей производственной функции, что позволяет наглядно представить результаты расчётов в плоскости двух критериев и выделить Парето-эффективные регионы.</w:t>
      </w:r>
    </w:p>
    <w:p w:rsidR="003B7DAE" w:rsidRPr="00350C1F" w:rsidRDefault="0075106B" w:rsidP="00B1284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350C1F">
        <w:rPr>
          <w:rFonts w:ascii="Times New Roman" w:hAnsi="Times New Roman" w:cs="Times New Roman"/>
          <w:sz w:val="24"/>
          <w:szCs w:val="24"/>
        </w:rPr>
        <w:t>Ч</w:t>
      </w:r>
      <w:r w:rsidR="003B7DAE" w:rsidRPr="00350C1F">
        <w:rPr>
          <w:rFonts w:ascii="Times New Roman" w:hAnsi="Times New Roman" w:cs="Times New Roman"/>
          <w:sz w:val="24"/>
          <w:szCs w:val="24"/>
        </w:rPr>
        <w:t xml:space="preserve">аще всего в исследованиях используются классические двухфакторные производственные функции: мультипликативная </w:t>
      </w:r>
      <w:proofErr w:type="spellStart"/>
      <w:r w:rsidR="003B7DAE" w:rsidRPr="00350C1F">
        <w:rPr>
          <w:rFonts w:ascii="Times New Roman" w:hAnsi="Times New Roman" w:cs="Times New Roman"/>
          <w:sz w:val="24"/>
          <w:szCs w:val="24"/>
        </w:rPr>
        <w:t>Кобба</w:t>
      </w:r>
      <w:proofErr w:type="spellEnd"/>
      <w:r w:rsidR="003B7DAE" w:rsidRPr="00350C1F">
        <w:rPr>
          <w:rFonts w:ascii="Times New Roman" w:hAnsi="Times New Roman" w:cs="Times New Roman"/>
          <w:sz w:val="24"/>
          <w:szCs w:val="24"/>
        </w:rPr>
        <w:t>-Дугласа Y=A</w:t>
      </w:r>
      <w:r w:rsidR="003B7DAE" w:rsidRPr="00350C1F">
        <w:rPr>
          <w:rFonts w:ascii="Cambria Math" w:hAnsi="Cambria Math" w:cs="Cambria Math"/>
          <w:sz w:val="24"/>
          <w:szCs w:val="24"/>
        </w:rPr>
        <w:t>⋅</w:t>
      </w:r>
      <w:r w:rsidR="003B7DAE" w:rsidRPr="00350C1F">
        <w:rPr>
          <w:rFonts w:ascii="Times New Roman" w:hAnsi="Times New Roman" w:cs="Times New Roman"/>
          <w:sz w:val="24"/>
          <w:szCs w:val="24"/>
        </w:rPr>
        <w:t>L</w:t>
      </w:r>
      <w:r w:rsidR="003B7DAE" w:rsidRPr="00350C1F">
        <w:rPr>
          <w:rFonts w:ascii="Times New Roman" w:hAnsi="Times New Roman" w:cs="Times New Roman"/>
          <w:sz w:val="24"/>
          <w:szCs w:val="24"/>
          <w:vertAlign w:val="superscript"/>
        </w:rPr>
        <w:t>α</w:t>
      </w:r>
      <w:r w:rsidR="003B7DAE" w:rsidRPr="00350C1F">
        <w:rPr>
          <w:rFonts w:ascii="Cambria Math" w:hAnsi="Cambria Math" w:cs="Cambria Math"/>
          <w:sz w:val="24"/>
          <w:szCs w:val="24"/>
        </w:rPr>
        <w:t>⋅</w:t>
      </w:r>
      <w:r w:rsidR="003B7DAE" w:rsidRPr="00350C1F">
        <w:rPr>
          <w:rFonts w:ascii="Times New Roman" w:hAnsi="Times New Roman" w:cs="Times New Roman"/>
          <w:sz w:val="24"/>
          <w:szCs w:val="24"/>
        </w:rPr>
        <w:t>K</w:t>
      </w:r>
      <w:r w:rsidR="003B7DAE" w:rsidRPr="00350C1F">
        <w:rPr>
          <w:rFonts w:ascii="Times New Roman" w:hAnsi="Times New Roman" w:cs="Times New Roman"/>
          <w:sz w:val="24"/>
          <w:szCs w:val="24"/>
          <w:vertAlign w:val="superscript"/>
        </w:rPr>
        <w:t>β</w:t>
      </w:r>
      <w:r w:rsidR="003B7DAE" w:rsidRPr="00350C1F">
        <w:rPr>
          <w:rFonts w:ascii="Times New Roman" w:hAnsi="Times New Roman" w:cs="Times New Roman"/>
          <w:sz w:val="24"/>
          <w:szCs w:val="24"/>
        </w:rPr>
        <w:t>, в которой предполагаются постоянные эластичности (α и β) выпуска по факторам производства K и L (капитал и трудовые затраты) соответственно, линейная производственная функция Y=</w:t>
      </w:r>
      <w:proofErr w:type="spellStart"/>
      <w:r w:rsidR="003B7DAE" w:rsidRPr="00350C1F">
        <w:rPr>
          <w:rFonts w:ascii="Times New Roman" w:hAnsi="Times New Roman" w:cs="Times New Roman"/>
          <w:sz w:val="24"/>
          <w:szCs w:val="24"/>
        </w:rPr>
        <w:t>aK+bL</w:t>
      </w:r>
      <w:proofErr w:type="spellEnd"/>
      <w:r w:rsidR="003B7DAE" w:rsidRPr="00350C1F">
        <w:rPr>
          <w:rFonts w:ascii="Times New Roman" w:hAnsi="Times New Roman" w:cs="Times New Roman"/>
          <w:sz w:val="24"/>
          <w:szCs w:val="24"/>
        </w:rPr>
        <w:t>, функция лимитирующего фактора Леонтьева Y =</w:t>
      </w:r>
      <w:proofErr w:type="spellStart"/>
      <w:proofErr w:type="gramStart"/>
      <w:r w:rsidR="003B7DAE" w:rsidRPr="00350C1F">
        <w:rPr>
          <w:rFonts w:ascii="Times New Roman" w:hAnsi="Times New Roman" w:cs="Times New Roman"/>
          <w:sz w:val="24"/>
          <w:szCs w:val="24"/>
        </w:rPr>
        <w:t>min</w:t>
      </w:r>
      <w:proofErr w:type="spellEnd"/>
      <w:r w:rsidR="003B7DAE" w:rsidRPr="00350C1F">
        <w:rPr>
          <w:rFonts w:ascii="Times New Roman" w:hAnsi="Times New Roman" w:cs="Times New Roman"/>
          <w:sz w:val="24"/>
          <w:szCs w:val="24"/>
        </w:rPr>
        <w:t>(</w:t>
      </w:r>
      <w:proofErr w:type="gramEnd"/>
      <w:r w:rsidR="003B7DAE" w:rsidRPr="00350C1F">
        <w:rPr>
          <w:rFonts w:ascii="Times New Roman" w:hAnsi="Times New Roman" w:cs="Times New Roman"/>
          <w:sz w:val="24"/>
          <w:szCs w:val="24"/>
        </w:rPr>
        <w:t>K/a, L/b) и т.д. [29].</w:t>
      </w:r>
    </w:p>
    <w:p w:rsidR="00C621E0" w:rsidRPr="00350C1F" w:rsidRDefault="00211195" w:rsidP="008C136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Соответствующие м</w:t>
      </w:r>
      <w:r w:rsidR="00C621E0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ер</w:t>
      </w: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r w:rsidR="00C621E0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эффективности </w:t>
      </w:r>
      <w:r w:rsidR="00C621E0" w:rsidRPr="00350C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</w:t>
      </w:r>
      <w:r w:rsidR="00C621E0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-го региона </w:t>
      </w:r>
      <w:r w:rsidR="0086399E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двух первых </w:t>
      </w:r>
      <w:r w:rsidR="00FB245E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функций </w:t>
      </w:r>
      <w:r w:rsidR="0086399E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можно записать в виде </w:t>
      </w:r>
    </w:p>
    <w:tbl>
      <w:tblPr>
        <w:tblW w:w="0" w:type="auto"/>
        <w:tblInd w:w="2724" w:type="dxa"/>
        <w:tblLayout w:type="fixed"/>
        <w:tblLook w:val="01E0" w:firstRow="1" w:lastRow="1" w:firstColumn="1" w:lastColumn="1" w:noHBand="0" w:noVBand="0"/>
      </w:tblPr>
      <w:tblGrid>
        <w:gridCol w:w="3800"/>
        <w:gridCol w:w="3119"/>
      </w:tblGrid>
      <w:tr w:rsidR="0037669B" w:rsidRPr="00350C1F" w:rsidTr="00396941">
        <w:tc>
          <w:tcPr>
            <w:tcW w:w="3800" w:type="dxa"/>
          </w:tcPr>
          <w:p w:rsidR="0037669B" w:rsidRPr="00350C1F" w:rsidRDefault="0037669B" w:rsidP="008C136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proofErr w:type="spellStart"/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E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k</w:t>
            </w:r>
            <w:proofErr w:type="spellEnd"/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=</w:t>
            </w:r>
            <w:r w:rsidR="00211195" w:rsidRPr="00350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y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k</w:t>
            </w:r>
            <w:proofErr w:type="spellEnd"/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/(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v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x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1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k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+ 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v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x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eastAsia="ru-RU"/>
              </w:rPr>
              <w:t>2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k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  <w:tc>
          <w:tcPr>
            <w:tcW w:w="3119" w:type="dxa"/>
          </w:tcPr>
          <w:p w:rsidR="0037669B" w:rsidRPr="00350C1F" w:rsidRDefault="0037669B" w:rsidP="008C1364">
            <w:pPr>
              <w:spacing w:after="0" w:line="240" w:lineRule="auto"/>
              <w:ind w:right="-127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="00AB2BC8" w:rsidRPr="00350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</w:t>
            </w:r>
            <w:r w:rsidRPr="00350C1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</w:tr>
      <w:tr w:rsidR="00E001C9" w:rsidRPr="00350C1F" w:rsidTr="00396941">
        <w:tc>
          <w:tcPr>
            <w:tcW w:w="3800" w:type="dxa"/>
          </w:tcPr>
          <w:p w:rsidR="00E001C9" w:rsidRPr="00350C1F" w:rsidRDefault="00E001C9" w:rsidP="008C1364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350C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350C1F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k</w:t>
            </w:r>
            <w:proofErr w:type="spellEnd"/>
            <w:r w:rsidRPr="00350C1F">
              <w:rPr>
                <w:rFonts w:ascii="Times New Roman" w:hAnsi="Times New Roman" w:cs="Times New Roman"/>
                <w:sz w:val="24"/>
                <w:szCs w:val="24"/>
              </w:rPr>
              <w:t xml:space="preserve"> =</w:t>
            </w:r>
            <w:r w:rsidR="00211195" w:rsidRPr="00350C1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350C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</w:t>
            </w:r>
            <w:r w:rsidRPr="00350C1F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k</w:t>
            </w:r>
            <w:proofErr w:type="spellEnd"/>
            <w:r w:rsidRPr="00350C1F">
              <w:rPr>
                <w:rFonts w:ascii="Times New Roman" w:hAnsi="Times New Roman" w:cs="Times New Roman"/>
                <w:sz w:val="24"/>
                <w:szCs w:val="24"/>
              </w:rPr>
              <w:t>/(</w:t>
            </w:r>
            <w:r w:rsidRPr="00350C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</w:t>
            </w:r>
            <w:r w:rsidRPr="00350C1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1</w:t>
            </w:r>
            <w:proofErr w:type="spellStart"/>
            <w:r w:rsidRPr="00350C1F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k</w:t>
            </w:r>
            <w:r w:rsidRPr="00350C1F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v</w:t>
            </w:r>
            <w:proofErr w:type="spellEnd"/>
            <w:r w:rsidRPr="00350C1F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1</w:t>
            </w:r>
            <w:r w:rsidRPr="00350C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sym w:font="Symbol" w:char="F0B4"/>
            </w:r>
            <w:r w:rsidRPr="00350C1F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</w:t>
            </w:r>
            <w:r w:rsidRPr="00350C1F">
              <w:rPr>
                <w:rFonts w:ascii="Times New Roman" w:hAnsi="Times New Roman" w:cs="Times New Roman"/>
                <w:sz w:val="24"/>
                <w:szCs w:val="24"/>
                <w:vertAlign w:val="subscript"/>
              </w:rPr>
              <w:t>2</w:t>
            </w:r>
            <w:proofErr w:type="spellStart"/>
            <w:r w:rsidRPr="00350C1F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k</w:t>
            </w:r>
            <w:r w:rsidRPr="00350C1F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en-US"/>
              </w:rPr>
              <w:t>v</w:t>
            </w:r>
            <w:proofErr w:type="spellEnd"/>
            <w:r w:rsidRPr="00350C1F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350C1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3119" w:type="dxa"/>
          </w:tcPr>
          <w:p w:rsidR="00E001C9" w:rsidRPr="00350C1F" w:rsidRDefault="00E001C9" w:rsidP="008C1364">
            <w:pPr>
              <w:spacing w:after="0" w:line="240" w:lineRule="auto"/>
              <w:ind w:right="-11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350C1F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AB2BC8" w:rsidRPr="00350C1F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350C1F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:rsidR="00C621E0" w:rsidRPr="00350C1F" w:rsidRDefault="00C621E0" w:rsidP="008C136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где </w:t>
      </w:r>
      <w:r w:rsidRPr="00350C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x</w:t>
      </w:r>
      <w:r w:rsidRPr="00350C1F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1</w:t>
      </w:r>
      <w:r w:rsidRPr="00350C1F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k</w:t>
      </w: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  среднегодовая численность занятых, </w:t>
      </w:r>
      <w:r w:rsidRPr="00350C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x</w:t>
      </w:r>
      <w:r w:rsidRPr="00350C1F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2</w:t>
      </w:r>
      <w:r w:rsidRPr="00350C1F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k</w:t>
      </w: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–основные фонды в экономике (по полной учётной стоимости; на конец года), у</w:t>
      </w:r>
      <w:r w:rsidRPr="00350C1F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k</w:t>
      </w: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валовой региональный продукт (валовая добавленная стоимость в основных ценах)</w:t>
      </w:r>
      <w:r w:rsidR="00211195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211195" w:rsidRPr="00350C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</w:t>
      </w:r>
      <w:r w:rsidR="00211195" w:rsidRPr="00350C1F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1</w:t>
      </w:r>
      <w:r w:rsidR="00211195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211195" w:rsidRPr="00350C1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v</w:t>
      </w:r>
      <w:r w:rsidR="00211195" w:rsidRPr="00350C1F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2</w:t>
      </w:r>
      <w:r w:rsidR="00211195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B245E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211195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B245E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весовые коэффициенты</w:t>
      </w: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C621E0" w:rsidRPr="00C621E0" w:rsidRDefault="00C621E0" w:rsidP="00B128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Нормируем входы и выход, разделив их на соответствующие максимальные значения, и далее разделим знаменатель в (</w:t>
      </w:r>
      <w:r w:rsidR="00AB2BC8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) и (</w:t>
      </w:r>
      <w:r w:rsidR="00AB2BC8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) на числитель. В итоге получаем для линейной модели безразмерные критерии</w:t>
      </w:r>
      <w:r w:rsidRPr="00C621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tbl>
      <w:tblPr>
        <w:tblW w:w="0" w:type="auto"/>
        <w:tblInd w:w="2724" w:type="dxa"/>
        <w:tblLayout w:type="fixed"/>
        <w:tblLook w:val="01E0" w:firstRow="1" w:lastRow="1" w:firstColumn="1" w:lastColumn="1" w:noHBand="0" w:noVBand="0"/>
      </w:tblPr>
      <w:tblGrid>
        <w:gridCol w:w="3800"/>
        <w:gridCol w:w="3119"/>
      </w:tblGrid>
      <w:tr w:rsidR="00E001C9" w:rsidRPr="00E001C9" w:rsidTr="00396941">
        <w:tc>
          <w:tcPr>
            <w:tcW w:w="3800" w:type="dxa"/>
          </w:tcPr>
          <w:p w:rsidR="00E001C9" w:rsidRPr="00E001C9" w:rsidRDefault="00E001C9" w:rsidP="00E001C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1k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(x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1k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sym w:font="Symbol" w:char="F0B4"/>
            </w:r>
            <w:proofErr w:type="spellStart"/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max</w:t>
            </w:r>
            <w:proofErr w:type="spellEnd"/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)/(</w:t>
            </w:r>
            <w:proofErr w:type="spellStart"/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k</w:t>
            </w:r>
            <w:proofErr w:type="spellEnd"/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sym w:font="Symbol" w:char="F0B4"/>
            </w:r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1max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3119" w:type="dxa"/>
          </w:tcPr>
          <w:p w:rsidR="00E001C9" w:rsidRPr="00E001C9" w:rsidRDefault="00E001C9" w:rsidP="00AB2BC8">
            <w:pPr>
              <w:spacing w:after="0" w:line="240" w:lineRule="auto"/>
              <w:ind w:right="-11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001C9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AB2BC8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E001C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E001C9" w:rsidRPr="00E001C9" w:rsidTr="00396941">
        <w:tc>
          <w:tcPr>
            <w:tcW w:w="3800" w:type="dxa"/>
          </w:tcPr>
          <w:p w:rsidR="00E001C9" w:rsidRPr="00E001C9" w:rsidRDefault="00E001C9" w:rsidP="00E001C9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q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2k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= (x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2k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sym w:font="Symbol" w:char="F0B4"/>
            </w:r>
            <w:proofErr w:type="spellStart"/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max</w:t>
            </w:r>
            <w:proofErr w:type="spellEnd"/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)/(</w:t>
            </w:r>
            <w:proofErr w:type="spellStart"/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y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k</w:t>
            </w:r>
            <w:proofErr w:type="spellEnd"/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sym w:font="Symbol" w:char="F0B4"/>
            </w:r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vertAlign w:val="subscript"/>
                <w:lang w:val="en-US"/>
              </w:rPr>
              <w:t>2max</w:t>
            </w:r>
            <w:r w:rsidRPr="00E001C9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)</w:t>
            </w:r>
          </w:p>
        </w:tc>
        <w:tc>
          <w:tcPr>
            <w:tcW w:w="3119" w:type="dxa"/>
          </w:tcPr>
          <w:p w:rsidR="00E001C9" w:rsidRPr="00E001C9" w:rsidRDefault="00E001C9" w:rsidP="00AB2BC8">
            <w:pPr>
              <w:spacing w:after="0" w:line="240" w:lineRule="auto"/>
              <w:ind w:right="-116"/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E001C9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r w:rsidR="00AB2BC8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E001C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</w:tbl>
    <w:p w:rsidR="00C621E0" w:rsidRPr="00C621E0" w:rsidRDefault="00C621E0" w:rsidP="00B1284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21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 для мультипликативной модели, логарифмируя знаменатель  </w:t>
      </w:r>
    </w:p>
    <w:tbl>
      <w:tblPr>
        <w:tblW w:w="0" w:type="auto"/>
        <w:tblInd w:w="2724" w:type="dxa"/>
        <w:tblLayout w:type="fixed"/>
        <w:tblLook w:val="01E0" w:firstRow="1" w:lastRow="1" w:firstColumn="1" w:lastColumn="1" w:noHBand="0" w:noVBand="0"/>
      </w:tblPr>
      <w:tblGrid>
        <w:gridCol w:w="3800"/>
        <w:gridCol w:w="3119"/>
      </w:tblGrid>
      <w:tr w:rsidR="00E001C9" w:rsidRPr="00E001C9" w:rsidTr="00396941">
        <w:tc>
          <w:tcPr>
            <w:tcW w:w="3800" w:type="dxa"/>
          </w:tcPr>
          <w:p w:rsidR="00E001C9" w:rsidRPr="00E001C9" w:rsidRDefault="00E001C9" w:rsidP="00E001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q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1k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= log[(x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1k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sym w:font="Symbol" w:char="F0B4"/>
            </w:r>
            <w:proofErr w:type="spellStart"/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y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max</w:t>
            </w:r>
            <w:proofErr w:type="spellEnd"/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)/(</w:t>
            </w:r>
            <w:proofErr w:type="spellStart"/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y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k</w:t>
            </w:r>
            <w:proofErr w:type="spellEnd"/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sym w:font="Symbol" w:char="F0B4"/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x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1max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)]</w:t>
            </w:r>
          </w:p>
        </w:tc>
        <w:tc>
          <w:tcPr>
            <w:tcW w:w="3119" w:type="dxa"/>
          </w:tcPr>
          <w:p w:rsidR="00E001C9" w:rsidRPr="00E001C9" w:rsidRDefault="00E001C9" w:rsidP="00AB2BC8">
            <w:pPr>
              <w:spacing w:after="0" w:line="240" w:lineRule="auto"/>
              <w:ind w:right="-11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="00AB2BC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</w:tr>
      <w:tr w:rsidR="00E001C9" w:rsidRPr="00E001C9" w:rsidTr="00396941">
        <w:tc>
          <w:tcPr>
            <w:tcW w:w="3800" w:type="dxa"/>
          </w:tcPr>
          <w:p w:rsidR="00E001C9" w:rsidRPr="00E001C9" w:rsidRDefault="00E001C9" w:rsidP="00E001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q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2k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= log[(x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2k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sym w:font="Symbol" w:char="F0B4"/>
            </w:r>
            <w:proofErr w:type="spellStart"/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y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max</w:t>
            </w:r>
            <w:proofErr w:type="spellEnd"/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)/(</w:t>
            </w:r>
            <w:proofErr w:type="spellStart"/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y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k</w:t>
            </w:r>
            <w:proofErr w:type="spellEnd"/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sym w:font="Symbol" w:char="F0B4"/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x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2max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)]</w:t>
            </w:r>
          </w:p>
        </w:tc>
        <w:tc>
          <w:tcPr>
            <w:tcW w:w="3119" w:type="dxa"/>
          </w:tcPr>
          <w:p w:rsidR="00E001C9" w:rsidRPr="00E001C9" w:rsidRDefault="00E001C9" w:rsidP="00AB2BC8">
            <w:pPr>
              <w:spacing w:after="0" w:line="240" w:lineRule="auto"/>
              <w:ind w:right="-11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="00AB2BC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</w:tr>
    </w:tbl>
    <w:p w:rsidR="00C621E0" w:rsidRPr="00C621E0" w:rsidRDefault="00C621E0" w:rsidP="00B1284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21E0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 как в числителе (</w:t>
      </w:r>
      <w:r w:rsidR="00AB2BC8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Pr="00C621E0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21E0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r w:rsid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C621E0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 w:rsidR="00AB2BC8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C621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остаётся единица, то множество Парето-эффективных регионов на </w:t>
      </w:r>
      <w:proofErr w:type="spellStart"/>
      <w:r w:rsidRPr="00C621E0">
        <w:rPr>
          <w:rFonts w:ascii="Times New Roman" w:eastAsia="Times New Roman" w:hAnsi="Times New Roman" w:cs="Times New Roman"/>
          <w:sz w:val="24"/>
          <w:szCs w:val="24"/>
          <w:lang w:eastAsia="ru-RU"/>
        </w:rPr>
        <w:t>критериальной</w:t>
      </w:r>
      <w:proofErr w:type="spellEnd"/>
      <w:r w:rsidRPr="00C621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плоскости (</w:t>
      </w:r>
      <w:r w:rsidRPr="00C621E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q</w:t>
      </w:r>
      <w:r w:rsidRPr="00C621E0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1</w:t>
      </w:r>
      <w:r w:rsidRPr="00C621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Pr="00C621E0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q</w:t>
      </w:r>
      <w:r w:rsidRPr="00C621E0">
        <w:rPr>
          <w:rFonts w:ascii="Times New Roman" w:eastAsia="Times New Roman" w:hAnsi="Times New Roman" w:cs="Times New Roman"/>
          <w:sz w:val="24"/>
          <w:szCs w:val="24"/>
          <w:vertAlign w:val="subscript"/>
          <w:lang w:eastAsia="ru-RU"/>
        </w:rPr>
        <w:t>2</w:t>
      </w:r>
      <w:r w:rsidRPr="00C621E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образуют объекты, доставляющие минимум знаменателю, который приобретает вид линейной свёртки  </w:t>
      </w:r>
    </w:p>
    <w:tbl>
      <w:tblPr>
        <w:tblW w:w="0" w:type="auto"/>
        <w:tblInd w:w="2724" w:type="dxa"/>
        <w:tblLayout w:type="fixed"/>
        <w:tblLook w:val="01E0" w:firstRow="1" w:lastRow="1" w:firstColumn="1" w:lastColumn="1" w:noHBand="0" w:noVBand="0"/>
      </w:tblPr>
      <w:tblGrid>
        <w:gridCol w:w="3800"/>
        <w:gridCol w:w="3119"/>
      </w:tblGrid>
      <w:tr w:rsidR="00E001C9" w:rsidRPr="00E001C9" w:rsidTr="00396941">
        <w:tc>
          <w:tcPr>
            <w:tcW w:w="3800" w:type="dxa"/>
          </w:tcPr>
          <w:p w:rsidR="00E001C9" w:rsidRPr="00E001C9" w:rsidRDefault="00E001C9" w:rsidP="00E001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Q=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sym w:font="Symbol" w:char="F06C"/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q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1k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+ (1-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sym w:font="Symbol" w:char="F06C"/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)q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2k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sym w:font="Symbol" w:char="F0AE"/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min</w:t>
            </w:r>
          </w:p>
        </w:tc>
        <w:tc>
          <w:tcPr>
            <w:tcW w:w="3119" w:type="dxa"/>
          </w:tcPr>
          <w:p w:rsidR="00E001C9" w:rsidRPr="00E001C9" w:rsidRDefault="00E001C9" w:rsidP="00AB2BC8">
            <w:pPr>
              <w:spacing w:after="0" w:line="240" w:lineRule="auto"/>
              <w:ind w:right="-11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="00AB2BC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</w:t>
            </w:r>
            <w:r w:rsidRPr="00E001C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</w:tr>
    </w:tbl>
    <w:p w:rsidR="00B12844" w:rsidRPr="00B12844" w:rsidRDefault="00B12844" w:rsidP="00B1284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B12844">
        <w:rPr>
          <w:rFonts w:ascii="Times New Roman" w:eastAsia="Times New Roman" w:hAnsi="Times New Roman" w:cs="Times New Roman"/>
          <w:sz w:val="24"/>
          <w:szCs w:val="24"/>
          <w:lang w:eastAsia="ru-RU"/>
        </w:rPr>
        <w:t>где</w:t>
      </w:r>
      <w:r w:rsidRPr="00B128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r w:rsidRPr="00B128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sym w:font="Symbol" w:char="F06C"/>
      </w:r>
      <w:r w:rsidRPr="00B128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=v</w:t>
      </w:r>
      <w:r w:rsidRPr="00B12844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1</w:t>
      </w:r>
      <w:r w:rsidRPr="00B128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/(v</w:t>
      </w:r>
      <w:r w:rsidRPr="00B12844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1</w:t>
      </w:r>
      <w:r w:rsidRPr="00B128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+ v</w:t>
      </w:r>
      <w:r w:rsidRPr="00B12844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2</w:t>
      </w:r>
      <w:r w:rsidRPr="00B12844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).</w:t>
      </w:r>
    </w:p>
    <w:p w:rsidR="00852662" w:rsidRPr="00852662" w:rsidRDefault="00A04F1E" w:rsidP="00B12844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 w:rsidR="00852662" w:rsidRPr="00852662">
        <w:rPr>
          <w:rFonts w:ascii="Times New Roman" w:hAnsi="Times New Roman" w:cs="Times New Roman"/>
          <w:sz w:val="24"/>
          <w:szCs w:val="24"/>
        </w:rPr>
        <w:t xml:space="preserve"> качестве точки отсчёта для оценки эффективности будем использовать понятие «идеального объекта» </w:t>
      </w:r>
      <w:r w:rsidR="00852662" w:rsidRPr="00852662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852662" w:rsidRPr="00852662">
        <w:rPr>
          <w:rFonts w:ascii="Times New Roman" w:hAnsi="Times New Roman" w:cs="Times New Roman"/>
          <w:sz w:val="24"/>
          <w:szCs w:val="24"/>
        </w:rPr>
        <w:t>=0, который определяется минимальными значениями факторов по всем участвующим в сравнении объектам [</w:t>
      </w:r>
      <w:r w:rsidR="008035CA" w:rsidRPr="00FB47B8">
        <w:rPr>
          <w:rFonts w:ascii="Times New Roman" w:hAnsi="Times New Roman" w:cs="Times New Roman"/>
          <w:sz w:val="24"/>
          <w:szCs w:val="24"/>
        </w:rPr>
        <w:t>4</w:t>
      </w:r>
      <w:r w:rsidR="00852662" w:rsidRPr="00852662">
        <w:rPr>
          <w:rFonts w:ascii="Times New Roman" w:hAnsi="Times New Roman" w:cs="Times New Roman"/>
          <w:sz w:val="24"/>
          <w:szCs w:val="24"/>
        </w:rPr>
        <w:t>-</w:t>
      </w:r>
      <w:r w:rsidR="008035CA" w:rsidRPr="00FB47B8">
        <w:rPr>
          <w:rFonts w:ascii="Times New Roman" w:hAnsi="Times New Roman" w:cs="Times New Roman"/>
          <w:sz w:val="24"/>
          <w:szCs w:val="24"/>
        </w:rPr>
        <w:t>6</w:t>
      </w:r>
      <w:r w:rsidR="00852662" w:rsidRPr="00852662">
        <w:rPr>
          <w:rFonts w:ascii="Times New Roman" w:hAnsi="Times New Roman" w:cs="Times New Roman"/>
          <w:sz w:val="24"/>
          <w:szCs w:val="24"/>
        </w:rPr>
        <w:t>]:</w:t>
      </w:r>
    </w:p>
    <w:tbl>
      <w:tblPr>
        <w:tblW w:w="0" w:type="auto"/>
        <w:tblInd w:w="2724" w:type="dxa"/>
        <w:tblLayout w:type="fixed"/>
        <w:tblLook w:val="01E0" w:firstRow="1" w:lastRow="1" w:firstColumn="1" w:lastColumn="1" w:noHBand="0" w:noVBand="0"/>
      </w:tblPr>
      <w:tblGrid>
        <w:gridCol w:w="3800"/>
        <w:gridCol w:w="3119"/>
      </w:tblGrid>
      <w:tr w:rsidR="0009574E" w:rsidRPr="0009574E" w:rsidTr="00396941">
        <w:tc>
          <w:tcPr>
            <w:tcW w:w="3800" w:type="dxa"/>
          </w:tcPr>
          <w:p w:rsidR="0009574E" w:rsidRPr="0009574E" w:rsidRDefault="0009574E" w:rsidP="000957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q</w:t>
            </w: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10</w:t>
            </w: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= min</w:t>
            </w: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k</w:t>
            </w: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q</w:t>
            </w: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1k</w:t>
            </w:r>
          </w:p>
        </w:tc>
        <w:tc>
          <w:tcPr>
            <w:tcW w:w="3119" w:type="dxa"/>
          </w:tcPr>
          <w:p w:rsidR="0009574E" w:rsidRPr="0009574E" w:rsidRDefault="0009574E" w:rsidP="004C7805">
            <w:pPr>
              <w:spacing w:after="0" w:line="240" w:lineRule="auto"/>
              <w:ind w:right="-11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="004C78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</w:tr>
      <w:tr w:rsidR="0009574E" w:rsidRPr="0009574E" w:rsidTr="00396941">
        <w:tc>
          <w:tcPr>
            <w:tcW w:w="3800" w:type="dxa"/>
          </w:tcPr>
          <w:p w:rsidR="0009574E" w:rsidRPr="0009574E" w:rsidRDefault="0009574E" w:rsidP="0009574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q</w:t>
            </w: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20</w:t>
            </w: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= min</w:t>
            </w: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k</w:t>
            </w: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 xml:space="preserve"> q</w:t>
            </w: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2k</w:t>
            </w:r>
          </w:p>
        </w:tc>
        <w:tc>
          <w:tcPr>
            <w:tcW w:w="3119" w:type="dxa"/>
          </w:tcPr>
          <w:p w:rsidR="0009574E" w:rsidRPr="0009574E" w:rsidRDefault="0009574E" w:rsidP="004C7805">
            <w:pPr>
              <w:spacing w:after="0" w:line="240" w:lineRule="auto"/>
              <w:ind w:right="-11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="004C780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Pr="0009574E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</w:tr>
    </w:tbl>
    <w:p w:rsidR="00B12844" w:rsidRPr="00CE6E9D" w:rsidRDefault="00ED2600" w:rsidP="00FB47B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Идеальный </w:t>
      </w:r>
      <w:r w:rsidR="00026B24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объект (регион) может оказаться как виртуальным, так и реальным. В первом случае о</w:t>
      </w:r>
      <w:r w:rsidR="00B12844" w:rsidRPr="00CE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тносительная </w:t>
      </w:r>
      <w:r w:rsidR="00026B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(сравнительная) </w:t>
      </w:r>
      <w:r w:rsidR="00B12844" w:rsidRPr="00CE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эффективность </w:t>
      </w:r>
      <w:r w:rsidR="007C3F02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</w:t>
      </w:r>
      <w:r w:rsidR="007C3F02">
        <w:rPr>
          <w:rFonts w:ascii="Times New Roman" w:eastAsia="Times New Roman" w:hAnsi="Times New Roman" w:cs="Times New Roman"/>
          <w:sz w:val="24"/>
          <w:szCs w:val="24"/>
          <w:lang w:eastAsia="ru-RU"/>
        </w:rPr>
        <w:t>-го</w:t>
      </w:r>
      <w:r w:rsidR="007C3F02" w:rsidRPr="00CE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C3F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объекта </w:t>
      </w:r>
      <w:r w:rsidR="00B12844" w:rsidRPr="00CE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рассчитывается как </w:t>
      </w:r>
    </w:p>
    <w:tbl>
      <w:tblPr>
        <w:tblW w:w="0" w:type="auto"/>
        <w:tblInd w:w="2724" w:type="dxa"/>
        <w:tblLayout w:type="fixed"/>
        <w:tblLook w:val="01E0" w:firstRow="1" w:lastRow="1" w:firstColumn="1" w:lastColumn="1" w:noHBand="0" w:noVBand="0"/>
      </w:tblPr>
      <w:tblGrid>
        <w:gridCol w:w="3800"/>
        <w:gridCol w:w="3119"/>
      </w:tblGrid>
      <w:tr w:rsidR="00431652" w:rsidRPr="00431652" w:rsidTr="00396941">
        <w:tc>
          <w:tcPr>
            <w:tcW w:w="3800" w:type="dxa"/>
          </w:tcPr>
          <w:p w:rsidR="00431652" w:rsidRPr="00431652" w:rsidRDefault="00431652" w:rsidP="0043165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  <w:proofErr w:type="spellStart"/>
            <w:r w:rsidRPr="0043165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lastRenderedPageBreak/>
              <w:t>E</w:t>
            </w:r>
            <w:r w:rsidRPr="00431652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k</w:t>
            </w:r>
            <w:proofErr w:type="spellEnd"/>
            <w:r w:rsidR="00961874" w:rsidRPr="009618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31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=</w:t>
            </w:r>
            <w:r w:rsidR="0096187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431652"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  <w:t>min</w:t>
            </w:r>
            <w:r w:rsidRPr="00431652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k</w:t>
            </w:r>
            <w:r w:rsidRPr="00431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ym w:font="Symbol" w:char="F072"/>
            </w:r>
            <w:r w:rsidRPr="00431652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k</w:t>
            </w:r>
            <w:r w:rsidRPr="00431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</w:t>
            </w:r>
            <w:r w:rsidRPr="00431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ym w:font="Symbol" w:char="F072"/>
            </w:r>
            <w:r w:rsidRPr="00431652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  <w:lang w:val="en-US" w:eastAsia="ru-RU"/>
              </w:rPr>
              <w:t>k</w:t>
            </w:r>
          </w:p>
        </w:tc>
        <w:tc>
          <w:tcPr>
            <w:tcW w:w="3119" w:type="dxa"/>
          </w:tcPr>
          <w:p w:rsidR="00431652" w:rsidRPr="00431652" w:rsidRDefault="00431652" w:rsidP="00026B24">
            <w:pPr>
              <w:spacing w:after="0" w:line="240" w:lineRule="auto"/>
              <w:ind w:right="-116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31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(1</w:t>
            </w:r>
            <w:r w:rsidR="00026B2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</w:t>
            </w:r>
            <w:r w:rsidRPr="0043165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)</w:t>
            </w:r>
          </w:p>
        </w:tc>
      </w:tr>
    </w:tbl>
    <w:p w:rsidR="00026B24" w:rsidRDefault="00026B24" w:rsidP="00026B24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где </w:t>
      </w:r>
      <w:r w:rsidRPr="00431652">
        <w:rPr>
          <w:rFonts w:ascii="Times New Roman" w:eastAsia="Times New Roman" w:hAnsi="Times New Roman" w:cs="Times New Roman"/>
          <w:sz w:val="24"/>
          <w:szCs w:val="24"/>
          <w:lang w:eastAsia="ru-RU"/>
        </w:rPr>
        <w:sym w:font="Symbol" w:char="F072"/>
      </w:r>
      <w:r w:rsidRPr="00431652">
        <w:rPr>
          <w:rFonts w:ascii="Times New Roman" w:eastAsia="Times New Roman" w:hAnsi="Times New Roman" w:cs="Times New Roman"/>
          <w:sz w:val="24"/>
          <w:szCs w:val="24"/>
          <w:vertAlign w:val="subscript"/>
          <w:lang w:val="en-US" w:eastAsia="ru-RU"/>
        </w:rPr>
        <w:t>k</w:t>
      </w:r>
      <w:r w:rsidRPr="00026B24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Pr="00CE6E9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евклидово расстояние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плоскости </w:t>
      </w:r>
      <w:r w:rsidRPr="00CE6E9D">
        <w:rPr>
          <w:rFonts w:ascii="Times New Roman" w:eastAsia="Times New Roman" w:hAnsi="Times New Roman" w:cs="Times New Roman"/>
          <w:sz w:val="24"/>
          <w:szCs w:val="24"/>
          <w:lang w:eastAsia="ru-RU"/>
        </w:rPr>
        <w:t>от идеального объекта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 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12844" w:rsidRDefault="00026B24" w:rsidP="00B12844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 втором случае реальный объект считается абсолютно </w:t>
      </w:r>
      <w:r w:rsidR="006C05C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доминирующим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</w:t>
      </w:r>
      <w:r w:rsidR="00ED26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 единицу для отсчёта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относительной эффективности </w:t>
      </w:r>
      <w:r w:rsidR="00ED26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принимается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ближайший к нему. </w:t>
      </w:r>
      <w:r w:rsidR="00B12844" w:rsidRPr="004B3A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 этом даже </w:t>
      </w:r>
      <w:r w:rsidR="00ED2600" w:rsidRPr="004B3A55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объекты</w:t>
      </w:r>
      <w:r w:rsidR="00ED260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принадлежащие </w:t>
      </w:r>
      <w:r w:rsidR="00B12844" w:rsidRPr="004B3A55">
        <w:rPr>
          <w:rFonts w:ascii="Times New Roman" w:eastAsia="Times New Roman" w:hAnsi="Times New Roman" w:cs="Times New Roman"/>
          <w:sz w:val="24"/>
          <w:szCs w:val="24"/>
          <w:lang w:eastAsia="ru-RU"/>
        </w:rPr>
        <w:t>Парето-эффективн</w:t>
      </w:r>
      <w:r w:rsidR="00ED2600">
        <w:rPr>
          <w:rFonts w:ascii="Times New Roman" w:eastAsia="Times New Roman" w:hAnsi="Times New Roman" w:cs="Times New Roman"/>
          <w:sz w:val="24"/>
          <w:szCs w:val="24"/>
          <w:lang w:eastAsia="ru-RU"/>
        </w:rPr>
        <w:t>ому множеству,</w:t>
      </w:r>
      <w:r w:rsidR="00B12844" w:rsidRPr="004B3A5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получают различные оценки эффективности в зависимости от того, насколько далеко они расположены от идеального объекта.  </w:t>
      </w:r>
    </w:p>
    <w:p w:rsidR="00A07AB9" w:rsidRDefault="000568D4" w:rsidP="00F35FC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Результаты расчёта </w:t>
      </w:r>
      <w:r w:rsidR="000E209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производственной эффективности субъектов Северо-Западного федерального округа </w:t>
      </w:r>
      <w:r w:rsidR="00A472B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(СЗФО)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изложенным алгоритмом представлены на </w:t>
      </w:r>
      <w:r w:rsidR="000A7C47">
        <w:rPr>
          <w:rFonts w:ascii="Times New Roman" w:eastAsia="Times New Roman" w:hAnsi="Times New Roman" w:cs="Times New Roman"/>
          <w:sz w:val="24"/>
          <w:szCs w:val="24"/>
          <w:lang w:eastAsia="ru-RU"/>
        </w:rPr>
        <w:t>Рис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1 и в </w:t>
      </w:r>
      <w:r w:rsidR="000A7C47">
        <w:rPr>
          <w:rFonts w:ascii="Times New Roman" w:eastAsia="Times New Roman" w:hAnsi="Times New Roman" w:cs="Times New Roman"/>
          <w:sz w:val="24"/>
          <w:szCs w:val="24"/>
          <w:lang w:eastAsia="ru-RU"/>
        </w:rPr>
        <w:t>Табл</w:t>
      </w:r>
      <w:r w:rsid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ице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1. </w:t>
      </w:r>
    </w:p>
    <w:p w:rsidR="00D05FB3" w:rsidRDefault="00D05FB3" w:rsidP="00D05FB3">
      <w:pPr>
        <w:ind w:firstLine="708"/>
        <w:jc w:val="center"/>
      </w:pPr>
      <w:r>
        <w:rPr>
          <w:noProof/>
          <w:lang w:eastAsia="ru-RU"/>
        </w:rPr>
        <w:drawing>
          <wp:inline distT="0" distB="0" distL="0" distR="0" wp14:anchorId="253C5E43" wp14:editId="17F8F1D5">
            <wp:extent cx="4606320" cy="2828202"/>
            <wp:effectExtent l="0" t="0" r="3810" b="10795"/>
            <wp:docPr id="10" name="Диаграмма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5604AF" w:rsidRPr="00D05FB3" w:rsidRDefault="005604AF" w:rsidP="00FB47B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05FB3">
        <w:rPr>
          <w:rFonts w:ascii="Times New Roman" w:hAnsi="Times New Roman" w:cs="Times New Roman"/>
          <w:sz w:val="24"/>
          <w:szCs w:val="24"/>
        </w:rPr>
        <w:t>Рис</w:t>
      </w:r>
      <w:r w:rsidR="001D0127">
        <w:rPr>
          <w:rFonts w:ascii="Times New Roman" w:hAnsi="Times New Roman" w:cs="Times New Roman"/>
          <w:sz w:val="24"/>
          <w:szCs w:val="24"/>
        </w:rPr>
        <w:t>.</w:t>
      </w:r>
      <w:r w:rsidRPr="00D05FB3">
        <w:rPr>
          <w:rFonts w:ascii="Times New Roman" w:hAnsi="Times New Roman" w:cs="Times New Roman"/>
          <w:sz w:val="24"/>
          <w:szCs w:val="24"/>
        </w:rPr>
        <w:t xml:space="preserve"> </w:t>
      </w:r>
      <w:r w:rsidR="000338AB">
        <w:rPr>
          <w:rFonts w:ascii="Times New Roman" w:hAnsi="Times New Roman" w:cs="Times New Roman"/>
          <w:sz w:val="24"/>
          <w:szCs w:val="24"/>
        </w:rPr>
        <w:t>1</w:t>
      </w:r>
      <w:r w:rsidR="001D0127">
        <w:rPr>
          <w:rFonts w:ascii="Times New Roman" w:hAnsi="Times New Roman" w:cs="Times New Roman"/>
          <w:sz w:val="24"/>
          <w:szCs w:val="24"/>
        </w:rPr>
        <w:t>.</w:t>
      </w:r>
      <w:r w:rsidRPr="00D05FB3">
        <w:rPr>
          <w:rFonts w:ascii="Times New Roman" w:hAnsi="Times New Roman" w:cs="Times New Roman"/>
          <w:sz w:val="24"/>
          <w:szCs w:val="24"/>
        </w:rPr>
        <w:t xml:space="preserve"> </w:t>
      </w:r>
      <w:r w:rsidRPr="001D0127">
        <w:rPr>
          <w:rFonts w:ascii="Times New Roman" w:hAnsi="Times New Roman" w:cs="Times New Roman"/>
          <w:b/>
          <w:sz w:val="24"/>
          <w:szCs w:val="24"/>
        </w:rPr>
        <w:t>Регионы Северо-Западного федерального округа в двухфакторном пространстве</w:t>
      </w:r>
      <w:r w:rsidRPr="00D05FB3">
        <w:rPr>
          <w:rFonts w:ascii="Times New Roman" w:hAnsi="Times New Roman" w:cs="Times New Roman"/>
          <w:sz w:val="24"/>
          <w:szCs w:val="24"/>
        </w:rPr>
        <w:t xml:space="preserve">. </w:t>
      </w:r>
      <w:r w:rsidR="008D248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случае мультипликативной модели (2) рисунок изоморфен данному. </w:t>
      </w:r>
      <w:r w:rsidR="00DC59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Квадратным </w:t>
      </w:r>
      <w:proofErr w:type="spellStart"/>
      <w:r w:rsidR="00DC5951">
        <w:rPr>
          <w:rFonts w:ascii="Times New Roman" w:eastAsia="Times New Roman" w:hAnsi="Times New Roman" w:cs="Times New Roman"/>
          <w:sz w:val="24"/>
          <w:szCs w:val="24"/>
          <w:lang w:eastAsia="ru-RU"/>
        </w:rPr>
        <w:t>маркером</w:t>
      </w:r>
      <w:proofErr w:type="spellEnd"/>
      <w:r w:rsidR="00DC595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выделен Ненецкий автономный округ. Парето-эффективные регионы второго эшелона отмечены треугольными маркерами.</w:t>
      </w:r>
    </w:p>
    <w:p w:rsidR="00D05FB3" w:rsidRDefault="00D05FB3" w:rsidP="00D05FB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5FB3" w:rsidRPr="001D0127" w:rsidRDefault="00D05FB3" w:rsidP="00D05F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D05F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Таблица </w:t>
      </w:r>
      <w:r w:rsidR="00E37C6D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r w:rsidR="001D012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D05FB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1D012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Коэффициенты производственной эффективности регионов СЗФО</w:t>
      </w:r>
    </w:p>
    <w:p w:rsidR="00A31DCD" w:rsidRPr="001D0127" w:rsidRDefault="00A31DCD" w:rsidP="00D05F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a3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3114"/>
        <w:gridCol w:w="992"/>
        <w:gridCol w:w="1843"/>
        <w:gridCol w:w="1843"/>
      </w:tblGrid>
      <w:tr w:rsidR="00D05FB3" w:rsidRPr="00D05FB3" w:rsidTr="00D05FB3">
        <w:trPr>
          <w:trHeight w:val="288"/>
          <w:jc w:val="center"/>
        </w:trPr>
        <w:tc>
          <w:tcPr>
            <w:tcW w:w="3114" w:type="dxa"/>
            <w:vAlign w:val="center"/>
            <w:hideMark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Субъект РФ</w:t>
            </w:r>
          </w:p>
        </w:tc>
        <w:tc>
          <w:tcPr>
            <w:tcW w:w="992" w:type="dxa"/>
            <w:vAlign w:val="center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Обозначение</w:t>
            </w:r>
          </w:p>
        </w:tc>
        <w:tc>
          <w:tcPr>
            <w:tcW w:w="1843" w:type="dxa"/>
            <w:noWrap/>
            <w:vAlign w:val="center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Линейная модель</w:t>
            </w:r>
          </w:p>
        </w:tc>
        <w:tc>
          <w:tcPr>
            <w:tcW w:w="1843" w:type="dxa"/>
            <w:vAlign w:val="center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Мультипликативная модель</w:t>
            </w:r>
          </w:p>
        </w:tc>
      </w:tr>
      <w:tr w:rsidR="00D05FB3" w:rsidRPr="00D05FB3" w:rsidTr="00D05FB3">
        <w:trPr>
          <w:trHeight w:val="288"/>
          <w:jc w:val="center"/>
        </w:trPr>
        <w:tc>
          <w:tcPr>
            <w:tcW w:w="3114" w:type="dxa"/>
          </w:tcPr>
          <w:p w:rsidR="00D05FB3" w:rsidRPr="00D05FB3" w:rsidRDefault="00D05FB3" w:rsidP="00D05F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Республика Карелия</w:t>
            </w:r>
          </w:p>
        </w:tc>
        <w:tc>
          <w:tcPr>
            <w:tcW w:w="992" w:type="dxa"/>
            <w:vAlign w:val="bottom"/>
          </w:tcPr>
          <w:p w:rsidR="00D05FB3" w:rsidRPr="00D05FB3" w:rsidRDefault="00D05FB3" w:rsidP="00DC1C0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Ка</w:t>
            </w:r>
          </w:p>
        </w:tc>
        <w:tc>
          <w:tcPr>
            <w:tcW w:w="1843" w:type="dxa"/>
            <w:noWrap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0,702</w:t>
            </w:r>
          </w:p>
        </w:tc>
        <w:tc>
          <w:tcPr>
            <w:tcW w:w="1843" w:type="dxa"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0,852</w:t>
            </w:r>
          </w:p>
        </w:tc>
      </w:tr>
      <w:tr w:rsidR="00D05FB3" w:rsidRPr="00D05FB3" w:rsidTr="00D05FB3">
        <w:trPr>
          <w:trHeight w:val="288"/>
          <w:jc w:val="center"/>
        </w:trPr>
        <w:tc>
          <w:tcPr>
            <w:tcW w:w="3114" w:type="dxa"/>
          </w:tcPr>
          <w:p w:rsidR="00D05FB3" w:rsidRPr="00D05FB3" w:rsidRDefault="00D05FB3" w:rsidP="00D05F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Республика Коми</w:t>
            </w:r>
          </w:p>
        </w:tc>
        <w:tc>
          <w:tcPr>
            <w:tcW w:w="992" w:type="dxa"/>
            <w:vAlign w:val="bottom"/>
          </w:tcPr>
          <w:p w:rsidR="00D05FB3" w:rsidRPr="00D05FB3" w:rsidRDefault="00D05FB3" w:rsidP="00DC1C0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</w:t>
            </w:r>
          </w:p>
        </w:tc>
        <w:tc>
          <w:tcPr>
            <w:tcW w:w="1843" w:type="dxa"/>
            <w:noWrap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0,850</w:t>
            </w:r>
          </w:p>
        </w:tc>
        <w:tc>
          <w:tcPr>
            <w:tcW w:w="1843" w:type="dxa"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0,989</w:t>
            </w:r>
          </w:p>
        </w:tc>
      </w:tr>
      <w:tr w:rsidR="00D05FB3" w:rsidRPr="00D05FB3" w:rsidTr="00D05FB3">
        <w:trPr>
          <w:trHeight w:val="288"/>
          <w:jc w:val="center"/>
        </w:trPr>
        <w:tc>
          <w:tcPr>
            <w:tcW w:w="3114" w:type="dxa"/>
            <w:vAlign w:val="center"/>
          </w:tcPr>
          <w:p w:rsidR="00D05FB3" w:rsidRPr="00D05FB3" w:rsidRDefault="00D05FB3" w:rsidP="00D05F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Ненецкий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АО</w:t>
            </w:r>
          </w:p>
        </w:tc>
        <w:tc>
          <w:tcPr>
            <w:tcW w:w="992" w:type="dxa"/>
            <w:vAlign w:val="center"/>
          </w:tcPr>
          <w:p w:rsidR="00D05FB3" w:rsidRPr="00D05FB3" w:rsidRDefault="00D05FB3" w:rsidP="00DC1C0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НАО</w:t>
            </w:r>
          </w:p>
        </w:tc>
        <w:tc>
          <w:tcPr>
            <w:tcW w:w="1843" w:type="dxa"/>
            <w:noWrap/>
            <w:vAlign w:val="center"/>
          </w:tcPr>
          <w:p w:rsidR="00D05FB3" w:rsidRPr="00D05FB3" w:rsidRDefault="00D05FB3" w:rsidP="00DC1C0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Абсолютное доминирование</w:t>
            </w:r>
          </w:p>
        </w:tc>
        <w:tc>
          <w:tcPr>
            <w:tcW w:w="1843" w:type="dxa"/>
            <w:vAlign w:val="center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Абсолютное доминирование</w:t>
            </w:r>
          </w:p>
        </w:tc>
      </w:tr>
      <w:tr w:rsidR="00D05FB3" w:rsidRPr="00D05FB3" w:rsidTr="00D05FB3">
        <w:trPr>
          <w:trHeight w:val="288"/>
          <w:jc w:val="center"/>
        </w:trPr>
        <w:tc>
          <w:tcPr>
            <w:tcW w:w="3114" w:type="dxa"/>
          </w:tcPr>
          <w:p w:rsidR="00D05FB3" w:rsidRPr="00D05FB3" w:rsidRDefault="00D05FB3" w:rsidP="00D05F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Архангельская область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без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НАО)</w:t>
            </w:r>
          </w:p>
        </w:tc>
        <w:tc>
          <w:tcPr>
            <w:tcW w:w="992" w:type="dxa"/>
            <w:vAlign w:val="bottom"/>
          </w:tcPr>
          <w:p w:rsidR="00D05FB3" w:rsidRPr="00D05FB3" w:rsidRDefault="00D05FB3" w:rsidP="00DC1C0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АО</w:t>
            </w:r>
          </w:p>
        </w:tc>
        <w:tc>
          <w:tcPr>
            <w:tcW w:w="1843" w:type="dxa"/>
            <w:noWrap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0,660</w:t>
            </w:r>
          </w:p>
        </w:tc>
        <w:tc>
          <w:tcPr>
            <w:tcW w:w="1843" w:type="dxa"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0,831</w:t>
            </w:r>
          </w:p>
        </w:tc>
      </w:tr>
      <w:tr w:rsidR="00D05FB3" w:rsidRPr="00D05FB3" w:rsidTr="00D05FB3">
        <w:trPr>
          <w:trHeight w:val="288"/>
          <w:jc w:val="center"/>
        </w:trPr>
        <w:tc>
          <w:tcPr>
            <w:tcW w:w="3114" w:type="dxa"/>
          </w:tcPr>
          <w:p w:rsidR="00D05FB3" w:rsidRPr="00D05FB3" w:rsidRDefault="00D05FB3" w:rsidP="00D05F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Вологодская область</w:t>
            </w:r>
          </w:p>
        </w:tc>
        <w:tc>
          <w:tcPr>
            <w:tcW w:w="992" w:type="dxa"/>
            <w:vAlign w:val="bottom"/>
          </w:tcPr>
          <w:p w:rsidR="00D05FB3" w:rsidRPr="00D05FB3" w:rsidRDefault="00D05FB3" w:rsidP="00DC1C0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ВО</w:t>
            </w:r>
          </w:p>
        </w:tc>
        <w:tc>
          <w:tcPr>
            <w:tcW w:w="1843" w:type="dxa"/>
            <w:noWrap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0,675</w:t>
            </w:r>
          </w:p>
        </w:tc>
        <w:tc>
          <w:tcPr>
            <w:tcW w:w="1843" w:type="dxa"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0,840</w:t>
            </w:r>
          </w:p>
        </w:tc>
      </w:tr>
      <w:tr w:rsidR="00D05FB3" w:rsidRPr="00D05FB3" w:rsidTr="00D05FB3">
        <w:trPr>
          <w:trHeight w:val="288"/>
          <w:jc w:val="center"/>
        </w:trPr>
        <w:tc>
          <w:tcPr>
            <w:tcW w:w="3114" w:type="dxa"/>
          </w:tcPr>
          <w:p w:rsidR="00D05FB3" w:rsidRPr="00D05FB3" w:rsidRDefault="00D05FB3" w:rsidP="00D05F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Калининградская область</w:t>
            </w:r>
          </w:p>
        </w:tc>
        <w:tc>
          <w:tcPr>
            <w:tcW w:w="992" w:type="dxa"/>
            <w:vAlign w:val="bottom"/>
          </w:tcPr>
          <w:p w:rsidR="00D05FB3" w:rsidRPr="00D05FB3" w:rsidRDefault="00D05FB3" w:rsidP="00DC1C0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</w:t>
            </w:r>
          </w:p>
        </w:tc>
        <w:tc>
          <w:tcPr>
            <w:tcW w:w="1843" w:type="dxa"/>
            <w:noWrap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0,610</w:t>
            </w:r>
          </w:p>
        </w:tc>
        <w:tc>
          <w:tcPr>
            <w:tcW w:w="1843" w:type="dxa"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0,805</w:t>
            </w:r>
          </w:p>
        </w:tc>
      </w:tr>
      <w:tr w:rsidR="00D05FB3" w:rsidRPr="00D05FB3" w:rsidTr="00D05FB3">
        <w:trPr>
          <w:trHeight w:val="288"/>
          <w:jc w:val="center"/>
        </w:trPr>
        <w:tc>
          <w:tcPr>
            <w:tcW w:w="3114" w:type="dxa"/>
          </w:tcPr>
          <w:p w:rsidR="00D05FB3" w:rsidRPr="00D05FB3" w:rsidRDefault="00D05FB3" w:rsidP="00D05F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Ленинградская область</w:t>
            </w:r>
          </w:p>
        </w:tc>
        <w:tc>
          <w:tcPr>
            <w:tcW w:w="992" w:type="dxa"/>
            <w:vAlign w:val="bottom"/>
          </w:tcPr>
          <w:p w:rsidR="00D05FB3" w:rsidRPr="00D05FB3" w:rsidRDefault="00D05FB3" w:rsidP="00DC1C0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ЛО</w:t>
            </w:r>
          </w:p>
        </w:tc>
        <w:tc>
          <w:tcPr>
            <w:tcW w:w="1843" w:type="dxa"/>
            <w:noWrap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0,906</w:t>
            </w:r>
          </w:p>
        </w:tc>
        <w:tc>
          <w:tcPr>
            <w:tcW w:w="1843" w:type="dxa"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0,955</w:t>
            </w:r>
          </w:p>
        </w:tc>
      </w:tr>
      <w:tr w:rsidR="00D05FB3" w:rsidRPr="00D05FB3" w:rsidTr="00D05FB3">
        <w:trPr>
          <w:trHeight w:val="288"/>
          <w:jc w:val="center"/>
        </w:trPr>
        <w:tc>
          <w:tcPr>
            <w:tcW w:w="3114" w:type="dxa"/>
          </w:tcPr>
          <w:p w:rsidR="00D05FB3" w:rsidRPr="00D05FB3" w:rsidRDefault="00D05FB3" w:rsidP="00D05F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Мурманская область</w:t>
            </w:r>
          </w:p>
        </w:tc>
        <w:tc>
          <w:tcPr>
            <w:tcW w:w="992" w:type="dxa"/>
            <w:vAlign w:val="bottom"/>
          </w:tcPr>
          <w:p w:rsidR="00D05FB3" w:rsidRPr="00D05FB3" w:rsidRDefault="00D05FB3" w:rsidP="00DC1C0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НО</w:t>
            </w:r>
          </w:p>
        </w:tc>
        <w:tc>
          <w:tcPr>
            <w:tcW w:w="1843" w:type="dxa"/>
            <w:noWrap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1,000</w:t>
            </w:r>
          </w:p>
        </w:tc>
        <w:tc>
          <w:tcPr>
            <w:tcW w:w="1843" w:type="dxa"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1,000</w:t>
            </w:r>
          </w:p>
        </w:tc>
      </w:tr>
      <w:tr w:rsidR="00D05FB3" w:rsidRPr="00D05FB3" w:rsidTr="00D05FB3">
        <w:trPr>
          <w:trHeight w:val="288"/>
          <w:jc w:val="center"/>
        </w:trPr>
        <w:tc>
          <w:tcPr>
            <w:tcW w:w="3114" w:type="dxa"/>
          </w:tcPr>
          <w:p w:rsidR="00D05FB3" w:rsidRPr="00D05FB3" w:rsidRDefault="00D05FB3" w:rsidP="00D05F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Новгородская область</w:t>
            </w:r>
          </w:p>
        </w:tc>
        <w:tc>
          <w:tcPr>
            <w:tcW w:w="992" w:type="dxa"/>
            <w:vAlign w:val="bottom"/>
          </w:tcPr>
          <w:p w:rsidR="00D05FB3" w:rsidRPr="00D05FB3" w:rsidRDefault="00D05FB3" w:rsidP="00DC1C0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МО</w:t>
            </w:r>
          </w:p>
        </w:tc>
        <w:tc>
          <w:tcPr>
            <w:tcW w:w="1843" w:type="dxa"/>
            <w:noWrap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0,534</w:t>
            </w:r>
          </w:p>
        </w:tc>
        <w:tc>
          <w:tcPr>
            <w:tcW w:w="1843" w:type="dxa"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0,764</w:t>
            </w:r>
          </w:p>
        </w:tc>
      </w:tr>
      <w:tr w:rsidR="00D05FB3" w:rsidRPr="00D05FB3" w:rsidTr="00D05FB3">
        <w:trPr>
          <w:trHeight w:val="288"/>
          <w:jc w:val="center"/>
        </w:trPr>
        <w:tc>
          <w:tcPr>
            <w:tcW w:w="3114" w:type="dxa"/>
          </w:tcPr>
          <w:p w:rsidR="00D05FB3" w:rsidRPr="00D05FB3" w:rsidRDefault="00D05FB3" w:rsidP="00D05F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Псковская область</w:t>
            </w:r>
          </w:p>
        </w:tc>
        <w:tc>
          <w:tcPr>
            <w:tcW w:w="992" w:type="dxa"/>
            <w:vAlign w:val="bottom"/>
          </w:tcPr>
          <w:p w:rsidR="00D05FB3" w:rsidRPr="00D05FB3" w:rsidRDefault="00D05FB3" w:rsidP="00DC1C0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</w:t>
            </w:r>
          </w:p>
        </w:tc>
        <w:tc>
          <w:tcPr>
            <w:tcW w:w="1843" w:type="dxa"/>
            <w:noWrap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0,380</w:t>
            </w:r>
          </w:p>
        </w:tc>
        <w:tc>
          <w:tcPr>
            <w:tcW w:w="1843" w:type="dxa"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0,675</w:t>
            </w:r>
          </w:p>
        </w:tc>
      </w:tr>
      <w:tr w:rsidR="00D05FB3" w:rsidRPr="00D05FB3" w:rsidTr="00D05FB3">
        <w:trPr>
          <w:trHeight w:val="288"/>
          <w:jc w:val="center"/>
        </w:trPr>
        <w:tc>
          <w:tcPr>
            <w:tcW w:w="3114" w:type="dxa"/>
          </w:tcPr>
          <w:p w:rsidR="00D05FB3" w:rsidRPr="00D05FB3" w:rsidRDefault="00D05FB3" w:rsidP="00D05FB3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г.Санкт</w:t>
            </w:r>
            <w:proofErr w:type="spellEnd"/>
            <w:r w:rsidRPr="00D05FB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-Петербург</w:t>
            </w:r>
          </w:p>
        </w:tc>
        <w:tc>
          <w:tcPr>
            <w:tcW w:w="992" w:type="dxa"/>
            <w:vAlign w:val="bottom"/>
          </w:tcPr>
          <w:p w:rsidR="00D05FB3" w:rsidRPr="00D05FB3" w:rsidRDefault="00D05FB3" w:rsidP="00DC1C06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СПб</w:t>
            </w:r>
          </w:p>
        </w:tc>
        <w:tc>
          <w:tcPr>
            <w:tcW w:w="1843" w:type="dxa"/>
            <w:noWrap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0,946</w:t>
            </w:r>
          </w:p>
        </w:tc>
        <w:tc>
          <w:tcPr>
            <w:tcW w:w="1843" w:type="dxa"/>
            <w:vAlign w:val="bottom"/>
          </w:tcPr>
          <w:p w:rsidR="00D05FB3" w:rsidRPr="00D05FB3" w:rsidRDefault="00D05FB3" w:rsidP="00D05FB3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D05FB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0,972</w:t>
            </w:r>
          </w:p>
        </w:tc>
      </w:tr>
    </w:tbl>
    <w:p w:rsidR="00F96E75" w:rsidRPr="00DA7F45" w:rsidRDefault="00F96E75" w:rsidP="00F96E75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A7F4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СЗФО абсолютно доминирует Ненецкий автономный округ, который в рамках используемой модели выступает в роли опорного «идеального объекта». Это обусловлено </w:t>
      </w:r>
      <w:r w:rsidRPr="00DA7F45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практически полной ориентацией экономики самого малонаселённого региона страны на добычу нефти и газа (79,2% в структуре ВРП). Парето-эффективными являются Республика Коми, Санкт-Петербург, Мурманская и Калининградская области. Лидером во втором эшелоне эффективности является Мурманская область, которая характеризуется относительно сбалансированной структурой промышленности и сельского хозяйства. Ненамного уступают ей Санкт-Петербург и Ленинградская область. Самой низкой производственной эффективностью на северо-западе страны характеризуются Псковская и Новгородская области.</w:t>
      </w:r>
    </w:p>
    <w:p w:rsidR="00270C68" w:rsidRDefault="00EB3FAC" w:rsidP="00FB47B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B3FAC">
        <w:rPr>
          <w:rFonts w:ascii="Times New Roman" w:hAnsi="Times New Roman" w:cs="Times New Roman"/>
          <w:b/>
          <w:sz w:val="24"/>
          <w:szCs w:val="24"/>
        </w:rPr>
        <w:t xml:space="preserve">Бюджетная и социальная эффективность субъектов </w:t>
      </w:r>
      <w:r>
        <w:rPr>
          <w:rFonts w:ascii="Times New Roman" w:hAnsi="Times New Roman" w:cs="Times New Roman"/>
          <w:b/>
          <w:sz w:val="24"/>
          <w:szCs w:val="24"/>
        </w:rPr>
        <w:t>СЗФО</w:t>
      </w:r>
      <w:r w:rsidR="00FB47B8" w:rsidRPr="00FB47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70C68" w:rsidRPr="00270C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Бюджетную эффективность будем оценивать исходя из того, какую величину налоговых поступлений в консолидированный бюджет Российской Федерации генерирует экономическая активность предприятий и организаций региона, интегральным показателем которой является валовой региональный продукт. </w:t>
      </w:r>
    </w:p>
    <w:p w:rsidR="00EE40F9" w:rsidRPr="003A74EE" w:rsidRDefault="00EE40F9" w:rsidP="00EE40F9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Северо-Западном федеральном округе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2019 году 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наивысшая бюджетная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(налоговая) 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эффективность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была 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>у Калининградской области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Ненецкого автономного округа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(регион-донор) и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Республики Коми, самая низкая – у Мурманской области. </w:t>
      </w:r>
    </w:p>
    <w:p w:rsidR="00270C68" w:rsidRPr="00270C68" w:rsidRDefault="00270C68" w:rsidP="00270C68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70C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измерении социальной эффективности, вообще говоря, должно участвовать множество факторов, определяющих величину реальных доходов, уровень и качество жизни населения региона. Проблема, однако, состоит в том, что большинство из этих факторов (обеспеченность жильём, жилищно-коммунальными услугами, медицинскими учреждениями, </w:t>
      </w:r>
      <w:r w:rsidR="007F6EB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развитие инфраструктуры и т.д.</w:t>
      </w:r>
      <w:r w:rsidRPr="00270C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) формируется годами и десятилетиями и характеризует, в первую очередь, достигнутое на момент оценки состояние, а не эффективность текущей социально-экономической деятельности. Прирост показателей в конкретный рассматриваемый период, обычно – год, также не всегда </w:t>
      </w:r>
      <w:proofErr w:type="spellStart"/>
      <w:r w:rsidRPr="00270C68">
        <w:rPr>
          <w:rFonts w:ascii="Times New Roman" w:eastAsia="Times New Roman" w:hAnsi="Times New Roman" w:cs="Times New Roman"/>
          <w:sz w:val="24"/>
          <w:szCs w:val="24"/>
          <w:lang w:eastAsia="ru-RU"/>
        </w:rPr>
        <w:t>релевантен</w:t>
      </w:r>
      <w:proofErr w:type="spellEnd"/>
      <w:r w:rsidRPr="00270C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так как может быть обусловлен инвестициями, сделанными в предшествующие годы. Исходя из этого, в качестве предварительной оценки социальной эффективности экономики региона будем рассматривать такие показатели как отношение среднемесячной номинальной заработной платы, среднедушевых денежных доходов населения и реальной заработной платы (скорректированной на региональный прожиточный минимум) к величине валового регионального продукта на душу населения. </w:t>
      </w:r>
    </w:p>
    <w:p w:rsidR="00DA7F45" w:rsidRPr="000338AB" w:rsidRDefault="00DA7F45" w:rsidP="00DA7F45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ru-RU"/>
        </w:rPr>
      </w:pP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 показателя, использованные для оценки социальной эффективности, однотипны, но учитывают некоторые нюансы. Так, если заработная плата отражает номинальные доходы занятого населения, то в средние доходы включены пенсии, разнообразные социальные выплаты, доходы по вкладам и ценным бумагам, а также неформальные доходы в теневом секторе, отнесённые к населению в целом, в силу чего данный показатель, как правило, существенно ниже, чем средняя зарплата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(Табл. 2)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E8484F" w:rsidRPr="003A74EE" w:rsidRDefault="00E8484F" w:rsidP="00E848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 как уровень потребительских цен в регионах довольно заметно отличается, то имеет смысл сравнивать с ВРП доходы или заработную плату, скорректированные на величину прожиточного минимума как интегрального индикатора уровня цен. Данный показатель представлен в последнем столбце Табл</w:t>
      </w:r>
      <w:r w:rsidR="00FB47B8" w:rsidRPr="00350C1F">
        <w:rPr>
          <w:rFonts w:ascii="Times New Roman" w:eastAsia="Times New Roman" w:hAnsi="Times New Roman" w:cs="Times New Roman"/>
          <w:sz w:val="24"/>
          <w:szCs w:val="24"/>
          <w:lang w:eastAsia="ru-RU"/>
        </w:rPr>
        <w:t>ицы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E8484F" w:rsidRPr="00B34B6B" w:rsidRDefault="00E8484F" w:rsidP="00E8484F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ru-RU"/>
        </w:rPr>
      </w:pP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Выбранные в качестве одного из критериев социальной эффективности региональной экономики показатели существенно различаются в разрезе субъектов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СЗФО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>. В регионах с высоким душевым ВРП эти показатели ниже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(НАО)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 экономически </w:t>
      </w:r>
      <w:r w:rsidR="00A9611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более 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>слабых регионах, за счёт бюджетных трансфертов и высокой доли бюджетного сектора – выше</w:t>
      </w:r>
      <w:r w:rsidR="00FB47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 w:rsidR="003F68D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Псковская область, </w:t>
      </w:r>
      <w:r w:rsidR="00214A31">
        <w:rPr>
          <w:rFonts w:ascii="Times New Roman" w:eastAsia="Times New Roman" w:hAnsi="Times New Roman" w:cs="Times New Roman"/>
          <w:sz w:val="24"/>
          <w:szCs w:val="24"/>
          <w:lang w:eastAsia="ru-RU"/>
        </w:rPr>
        <w:t>Архангельская область, Республика Карелия</w:t>
      </w:r>
      <w:r w:rsidR="00FB47B8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:rsidR="00EE6B3D" w:rsidRPr="00077659" w:rsidRDefault="00EE6B3D" w:rsidP="00EE6B3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trike/>
          <w:sz w:val="24"/>
          <w:szCs w:val="24"/>
          <w:lang w:eastAsia="ru-RU"/>
        </w:rPr>
      </w:pP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Дифференциация среднедушевых доходов, отнесённых к ВРП, по причинам, указанным выше, несколько меньше, но всё равно остаётся высокой.  </w:t>
      </w:r>
    </w:p>
    <w:p w:rsidR="003F68D7" w:rsidRDefault="003F68D7" w:rsidP="003F68D7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После коррекции заработной платы на величину прожиточного минимума различие регионов по уровню социальной эффективности экономики </w:t>
      </w:r>
      <w:r w:rsidR="00AA03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изменяется незначительно, но в разных регионах разнонаправленно. Заметнее всего он снижается в Ненецком автономном округе и в Мурманской области. 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Следует подчеркнуть, что показатель, представленный в последнем столбце Таблицы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характеризует не уровень жизни, а степень трансформации </w:t>
      </w:r>
      <w:proofErr w:type="spellStart"/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произведенной</w:t>
      </w:r>
      <w:proofErr w:type="spellEnd"/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регионах добавленной стоимости в реальную заработную плату. В</w:t>
      </w:r>
      <w:r w:rsidR="00AA03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EE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Псковской и </w:t>
      </w:r>
      <w:r w:rsidR="00AA03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Архангельской областях он </w:t>
      </w:r>
      <w:r w:rsidR="00EE40F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заметно </w:t>
      </w:r>
      <w:r w:rsidR="00AA037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выше, чем в среднем по регионам России. </w:t>
      </w:r>
      <w:r w:rsidRPr="003A74E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B47B8" w:rsidRDefault="00FB47B8" w:rsidP="000338A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270C68" w:rsidRPr="00FB47B8" w:rsidRDefault="00270C68" w:rsidP="000338A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70C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Таблица </w:t>
      </w:r>
      <w:r w:rsidR="00E37C6D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FB47B8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Pr="00270C6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4774B" w:rsidRPr="00C477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Элементы </w:t>
      </w:r>
      <w:r w:rsidRPr="00C4774B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б</w:t>
      </w:r>
      <w:r w:rsidRPr="00FB47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юджетной и социальной эффективности субъектов </w:t>
      </w:r>
      <w:r w:rsidR="00FB47B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СЗФО</w:t>
      </w:r>
    </w:p>
    <w:p w:rsidR="00270C68" w:rsidRPr="00FB47B8" w:rsidRDefault="00270C68" w:rsidP="000338AB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Style w:val="a3"/>
        <w:tblW w:w="9911" w:type="dxa"/>
        <w:jc w:val="center"/>
        <w:tblLayout w:type="fixed"/>
        <w:tblLook w:val="04A0" w:firstRow="1" w:lastRow="0" w:firstColumn="1" w:lastColumn="0" w:noHBand="0" w:noVBand="1"/>
      </w:tblPr>
      <w:tblGrid>
        <w:gridCol w:w="2405"/>
        <w:gridCol w:w="1701"/>
        <w:gridCol w:w="1843"/>
        <w:gridCol w:w="1843"/>
        <w:gridCol w:w="2119"/>
      </w:tblGrid>
      <w:tr w:rsidR="00270C68" w:rsidRPr="00E53E86" w:rsidTr="00117A6A">
        <w:trPr>
          <w:trHeight w:val="787"/>
          <w:jc w:val="center"/>
        </w:trPr>
        <w:tc>
          <w:tcPr>
            <w:tcW w:w="2405" w:type="dxa"/>
            <w:vAlign w:val="center"/>
            <w:hideMark/>
          </w:tcPr>
          <w:p w:rsidR="00270C68" w:rsidRPr="00E53E86" w:rsidRDefault="00CC4A55" w:rsidP="00864B04">
            <w:pPr>
              <w:jc w:val="center"/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lang w:eastAsia="ru-RU"/>
              </w:rPr>
              <w:t>Субъект РФ</w:t>
            </w:r>
          </w:p>
        </w:tc>
        <w:tc>
          <w:tcPr>
            <w:tcW w:w="1701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Налоговые поступления в консолидированный бюджет РФ/ВРП</w:t>
            </w:r>
          </w:p>
        </w:tc>
        <w:tc>
          <w:tcPr>
            <w:tcW w:w="1843" w:type="dxa"/>
            <w:noWrap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Годовая номинальная зарплата/ВРП на душу населения</w:t>
            </w:r>
          </w:p>
        </w:tc>
        <w:tc>
          <w:tcPr>
            <w:tcW w:w="1843" w:type="dxa"/>
            <w:noWrap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Годовые номинальные доходы/ВРП на душу населения</w:t>
            </w:r>
          </w:p>
        </w:tc>
        <w:tc>
          <w:tcPr>
            <w:tcW w:w="2119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Среднемесячная зарплата (в прожиточных минимумах)</w:t>
            </w: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sym w:font="Symbol" w:char="F0B4"/>
            </w: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</w:t>
            </w: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vertAlign w:val="superscript"/>
                <w:lang w:eastAsia="ru-RU"/>
              </w:rPr>
              <w:t>5</w:t>
            </w: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/ВРП на душу населения</w:t>
            </w:r>
          </w:p>
        </w:tc>
      </w:tr>
      <w:tr w:rsidR="00270C68" w:rsidRPr="00E53E86" w:rsidTr="00117A6A">
        <w:trPr>
          <w:trHeight w:val="395"/>
          <w:jc w:val="center"/>
        </w:trPr>
        <w:tc>
          <w:tcPr>
            <w:tcW w:w="2405" w:type="dxa"/>
            <w:vAlign w:val="center"/>
          </w:tcPr>
          <w:p w:rsidR="00270C68" w:rsidRPr="00E53E86" w:rsidRDefault="00270C68" w:rsidP="00864B04">
            <w:pP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Всего по субъектам РФ</w:t>
            </w:r>
          </w:p>
        </w:tc>
        <w:tc>
          <w:tcPr>
            <w:tcW w:w="1701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0,240</w:t>
            </w:r>
          </w:p>
        </w:tc>
        <w:tc>
          <w:tcPr>
            <w:tcW w:w="1843" w:type="dxa"/>
            <w:noWrap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0,889</w:t>
            </w:r>
          </w:p>
        </w:tc>
        <w:tc>
          <w:tcPr>
            <w:tcW w:w="1843" w:type="dxa"/>
            <w:noWrap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0,655</w:t>
            </w:r>
          </w:p>
        </w:tc>
        <w:tc>
          <w:tcPr>
            <w:tcW w:w="2119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0,695</w:t>
            </w:r>
          </w:p>
        </w:tc>
      </w:tr>
      <w:tr w:rsidR="00270C68" w:rsidRPr="00E53E86" w:rsidTr="00117A6A">
        <w:trPr>
          <w:trHeight w:val="288"/>
          <w:jc w:val="center"/>
        </w:trPr>
        <w:tc>
          <w:tcPr>
            <w:tcW w:w="2405" w:type="dxa"/>
            <w:vAlign w:val="center"/>
            <w:hideMark/>
          </w:tcPr>
          <w:p w:rsidR="00270C68" w:rsidRPr="00E53E86" w:rsidRDefault="00270C68" w:rsidP="00864B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Республика Карелия</w:t>
            </w:r>
          </w:p>
        </w:tc>
        <w:tc>
          <w:tcPr>
            <w:tcW w:w="1701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0,133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0,977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0,701</w:t>
            </w:r>
          </w:p>
        </w:tc>
        <w:tc>
          <w:tcPr>
            <w:tcW w:w="2119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0,604</w:t>
            </w:r>
          </w:p>
        </w:tc>
      </w:tr>
      <w:tr w:rsidR="00270C68" w:rsidRPr="00E53E86" w:rsidTr="00117A6A">
        <w:trPr>
          <w:trHeight w:val="288"/>
          <w:jc w:val="center"/>
        </w:trPr>
        <w:tc>
          <w:tcPr>
            <w:tcW w:w="2405" w:type="dxa"/>
            <w:vAlign w:val="center"/>
            <w:hideMark/>
          </w:tcPr>
          <w:p w:rsidR="00270C68" w:rsidRPr="00E53E86" w:rsidRDefault="00270C68" w:rsidP="00864B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Республика Коми</w:t>
            </w:r>
          </w:p>
        </w:tc>
        <w:tc>
          <w:tcPr>
            <w:tcW w:w="1701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0,342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0,734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0,486</w:t>
            </w:r>
          </w:p>
        </w:tc>
        <w:tc>
          <w:tcPr>
            <w:tcW w:w="2119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0,430</w:t>
            </w:r>
          </w:p>
        </w:tc>
      </w:tr>
      <w:tr w:rsidR="00270C68" w:rsidRPr="00E53E86" w:rsidTr="00117A6A">
        <w:trPr>
          <w:trHeight w:val="384"/>
          <w:jc w:val="center"/>
        </w:trPr>
        <w:tc>
          <w:tcPr>
            <w:tcW w:w="2405" w:type="dxa"/>
            <w:vAlign w:val="center"/>
            <w:hideMark/>
          </w:tcPr>
          <w:p w:rsidR="00270C68" w:rsidRPr="00E53E86" w:rsidRDefault="00270C68" w:rsidP="00864B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Ненецкий автономный округ</w:t>
            </w:r>
          </w:p>
        </w:tc>
        <w:tc>
          <w:tcPr>
            <w:tcW w:w="1701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0,343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0,140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0,129</w:t>
            </w:r>
          </w:p>
        </w:tc>
        <w:tc>
          <w:tcPr>
            <w:tcW w:w="2119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0,055</w:t>
            </w:r>
          </w:p>
        </w:tc>
      </w:tr>
      <w:tr w:rsidR="00270C68" w:rsidRPr="00E53E86" w:rsidTr="00117A6A">
        <w:trPr>
          <w:trHeight w:val="384"/>
          <w:jc w:val="center"/>
        </w:trPr>
        <w:tc>
          <w:tcPr>
            <w:tcW w:w="2405" w:type="dxa"/>
            <w:vAlign w:val="center"/>
            <w:hideMark/>
          </w:tcPr>
          <w:p w:rsidR="00270C68" w:rsidRPr="00E53E86" w:rsidRDefault="00270C68" w:rsidP="00864B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Архангельская область </w:t>
            </w:r>
            <w:r w:rsidR="001D61CE"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(</w:t>
            </w: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без </w:t>
            </w:r>
            <w:r w:rsidR="001D61CE"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НАО)</w:t>
            </w:r>
          </w:p>
        </w:tc>
        <w:tc>
          <w:tcPr>
            <w:tcW w:w="1701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0,164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1,163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0,797</w:t>
            </w:r>
          </w:p>
        </w:tc>
        <w:tc>
          <w:tcPr>
            <w:tcW w:w="2119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0,770</w:t>
            </w:r>
          </w:p>
        </w:tc>
      </w:tr>
      <w:tr w:rsidR="00270C68" w:rsidRPr="00E53E86" w:rsidTr="00117A6A">
        <w:trPr>
          <w:trHeight w:val="288"/>
          <w:jc w:val="center"/>
        </w:trPr>
        <w:tc>
          <w:tcPr>
            <w:tcW w:w="2405" w:type="dxa"/>
            <w:vAlign w:val="center"/>
            <w:hideMark/>
          </w:tcPr>
          <w:p w:rsidR="00270C68" w:rsidRPr="00E53E86" w:rsidRDefault="00270C68" w:rsidP="00864B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Вологодская область</w:t>
            </w:r>
          </w:p>
        </w:tc>
        <w:tc>
          <w:tcPr>
            <w:tcW w:w="1701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0,139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0,867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0,628</w:t>
            </w:r>
          </w:p>
        </w:tc>
        <w:tc>
          <w:tcPr>
            <w:tcW w:w="2119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0,664</w:t>
            </w:r>
          </w:p>
        </w:tc>
      </w:tr>
      <w:tr w:rsidR="00270C68" w:rsidRPr="00E53E86" w:rsidTr="00117A6A">
        <w:trPr>
          <w:trHeight w:val="288"/>
          <w:jc w:val="center"/>
        </w:trPr>
        <w:tc>
          <w:tcPr>
            <w:tcW w:w="2405" w:type="dxa"/>
            <w:vAlign w:val="center"/>
            <w:hideMark/>
          </w:tcPr>
          <w:p w:rsidR="00270C68" w:rsidRPr="00E53E86" w:rsidRDefault="00270C68" w:rsidP="00864B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Калининградская область</w:t>
            </w:r>
          </w:p>
        </w:tc>
        <w:tc>
          <w:tcPr>
            <w:tcW w:w="1701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0,349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0,829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0,672</w:t>
            </w:r>
          </w:p>
        </w:tc>
        <w:tc>
          <w:tcPr>
            <w:tcW w:w="2119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0,589</w:t>
            </w:r>
          </w:p>
        </w:tc>
      </w:tr>
      <w:tr w:rsidR="00270C68" w:rsidRPr="00E53E86" w:rsidTr="00117A6A">
        <w:trPr>
          <w:trHeight w:val="288"/>
          <w:jc w:val="center"/>
        </w:trPr>
        <w:tc>
          <w:tcPr>
            <w:tcW w:w="2405" w:type="dxa"/>
            <w:vAlign w:val="center"/>
            <w:hideMark/>
          </w:tcPr>
          <w:p w:rsidR="00270C68" w:rsidRPr="00E53E86" w:rsidRDefault="00270C68" w:rsidP="00864B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Ленинградская область</w:t>
            </w:r>
          </w:p>
        </w:tc>
        <w:tc>
          <w:tcPr>
            <w:tcW w:w="1701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0,284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0,846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0,589</w:t>
            </w:r>
          </w:p>
        </w:tc>
        <w:tc>
          <w:tcPr>
            <w:tcW w:w="2119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0,611</w:t>
            </w:r>
          </w:p>
        </w:tc>
      </w:tr>
      <w:tr w:rsidR="00270C68" w:rsidRPr="00E53E86" w:rsidTr="00117A6A">
        <w:trPr>
          <w:trHeight w:val="288"/>
          <w:jc w:val="center"/>
        </w:trPr>
        <w:tc>
          <w:tcPr>
            <w:tcW w:w="2405" w:type="dxa"/>
            <w:vAlign w:val="center"/>
            <w:hideMark/>
          </w:tcPr>
          <w:p w:rsidR="00270C68" w:rsidRPr="00E53E86" w:rsidRDefault="00270C68" w:rsidP="00864B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Мурманская область</w:t>
            </w:r>
          </w:p>
        </w:tc>
        <w:tc>
          <w:tcPr>
            <w:tcW w:w="1701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0,104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0,923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0,641</w:t>
            </w:r>
          </w:p>
        </w:tc>
        <w:tc>
          <w:tcPr>
            <w:tcW w:w="2119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0,479</w:t>
            </w:r>
          </w:p>
        </w:tc>
      </w:tr>
      <w:tr w:rsidR="00270C68" w:rsidRPr="00E53E86" w:rsidTr="00117A6A">
        <w:trPr>
          <w:trHeight w:val="288"/>
          <w:jc w:val="center"/>
        </w:trPr>
        <w:tc>
          <w:tcPr>
            <w:tcW w:w="2405" w:type="dxa"/>
            <w:vAlign w:val="center"/>
            <w:hideMark/>
          </w:tcPr>
          <w:p w:rsidR="00270C68" w:rsidRPr="00E53E86" w:rsidRDefault="00270C68" w:rsidP="00864B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Новгородская область</w:t>
            </w:r>
          </w:p>
        </w:tc>
        <w:tc>
          <w:tcPr>
            <w:tcW w:w="1701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0,118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0,845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0,683</w:t>
            </w:r>
          </w:p>
        </w:tc>
        <w:tc>
          <w:tcPr>
            <w:tcW w:w="2119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0,625</w:t>
            </w:r>
          </w:p>
        </w:tc>
      </w:tr>
      <w:tr w:rsidR="00270C68" w:rsidRPr="00E53E86" w:rsidTr="00117A6A">
        <w:trPr>
          <w:trHeight w:val="288"/>
          <w:jc w:val="center"/>
        </w:trPr>
        <w:tc>
          <w:tcPr>
            <w:tcW w:w="2405" w:type="dxa"/>
            <w:vAlign w:val="center"/>
            <w:hideMark/>
          </w:tcPr>
          <w:p w:rsidR="00270C68" w:rsidRPr="00E53E86" w:rsidRDefault="00270C68" w:rsidP="00864B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Псковская область</w:t>
            </w:r>
          </w:p>
        </w:tc>
        <w:tc>
          <w:tcPr>
            <w:tcW w:w="1701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0,123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1,125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0,976</w:t>
            </w:r>
          </w:p>
        </w:tc>
        <w:tc>
          <w:tcPr>
            <w:tcW w:w="2119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0,866</w:t>
            </w:r>
          </w:p>
        </w:tc>
      </w:tr>
      <w:tr w:rsidR="00270C68" w:rsidRPr="00E53E86" w:rsidTr="00117A6A">
        <w:trPr>
          <w:trHeight w:val="288"/>
          <w:jc w:val="center"/>
        </w:trPr>
        <w:tc>
          <w:tcPr>
            <w:tcW w:w="2405" w:type="dxa"/>
            <w:vAlign w:val="center"/>
            <w:hideMark/>
          </w:tcPr>
          <w:p w:rsidR="00270C68" w:rsidRPr="00E53E86" w:rsidRDefault="00270C68" w:rsidP="00864B04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г.Санкт</w:t>
            </w:r>
            <w:proofErr w:type="spellEnd"/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-Петербург</w:t>
            </w:r>
          </w:p>
        </w:tc>
        <w:tc>
          <w:tcPr>
            <w:tcW w:w="1701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0,255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0,832</w:t>
            </w:r>
          </w:p>
        </w:tc>
        <w:tc>
          <w:tcPr>
            <w:tcW w:w="1843" w:type="dxa"/>
            <w:noWrap/>
            <w:vAlign w:val="center"/>
            <w:hideMark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0,595</w:t>
            </w:r>
          </w:p>
        </w:tc>
        <w:tc>
          <w:tcPr>
            <w:tcW w:w="2119" w:type="dxa"/>
            <w:vAlign w:val="center"/>
          </w:tcPr>
          <w:p w:rsidR="00270C68" w:rsidRPr="00E53E86" w:rsidRDefault="00270C68" w:rsidP="00864B04">
            <w:pPr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E53E86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0,573</w:t>
            </w:r>
          </w:p>
        </w:tc>
      </w:tr>
    </w:tbl>
    <w:p w:rsidR="00270C68" w:rsidRDefault="00270C68" w:rsidP="00864B0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711317" w:rsidRPr="00711317" w:rsidRDefault="00711317" w:rsidP="00711317">
      <w:pPr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  <w:r w:rsidRPr="00711317">
        <w:rPr>
          <w:rFonts w:ascii="Times New Roman" w:hAnsi="Times New Roman" w:cs="Times New Roman"/>
          <w:i/>
          <w:sz w:val="24"/>
          <w:szCs w:val="24"/>
        </w:rPr>
        <w:t xml:space="preserve">Публикация подготовлена в рамках ГЗ ЮНЦ РАН, № </w:t>
      </w:r>
      <w:proofErr w:type="spellStart"/>
      <w:r w:rsidRPr="00711317">
        <w:rPr>
          <w:rFonts w:ascii="Times New Roman" w:hAnsi="Times New Roman" w:cs="Times New Roman"/>
          <w:i/>
          <w:sz w:val="24"/>
          <w:szCs w:val="24"/>
        </w:rPr>
        <w:t>госрегистрации</w:t>
      </w:r>
      <w:proofErr w:type="spellEnd"/>
      <w:r w:rsidRPr="00711317">
        <w:rPr>
          <w:rFonts w:ascii="Times New Roman" w:hAnsi="Times New Roman" w:cs="Times New Roman"/>
          <w:i/>
          <w:sz w:val="24"/>
          <w:szCs w:val="24"/>
        </w:rPr>
        <w:t xml:space="preserve"> 122020100349-6</w:t>
      </w:r>
    </w:p>
    <w:p w:rsidR="00C4430B" w:rsidRDefault="00C4430B" w:rsidP="003A74E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430B" w:rsidRDefault="00C4430B" w:rsidP="00C4430B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6F5F57" w:rsidRDefault="00F96E75" w:rsidP="00E43BC5">
      <w:p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1</w:t>
      </w:r>
      <w:r w:rsidR="006F5F57" w:rsidRPr="00E43BC5">
        <w:rPr>
          <w:rFonts w:ascii="Times New Roman" w:eastAsia="Calibri" w:hAnsi="Times New Roman" w:cs="Times New Roman"/>
          <w:sz w:val="24"/>
          <w:szCs w:val="24"/>
        </w:rPr>
        <w:t xml:space="preserve">. Котов А. В. Оценка эффективности инструментов региональной политики // Экономика региона. 2020. </w:t>
      </w:r>
      <w:r w:rsidR="009B5371" w:rsidRPr="001B5953">
        <w:rPr>
          <w:rFonts w:ascii="Times New Roman" w:eastAsia="Calibri" w:hAnsi="Times New Roman" w:cs="Times New Roman"/>
          <w:sz w:val="24"/>
          <w:szCs w:val="24"/>
        </w:rPr>
        <w:t>№</w:t>
      </w:r>
      <w:r w:rsidR="009B5371" w:rsidRPr="00350C1F">
        <w:rPr>
          <w:rFonts w:ascii="Times New Roman" w:eastAsia="Calibri" w:hAnsi="Times New Roman" w:cs="Times New Roman"/>
          <w:sz w:val="24"/>
          <w:szCs w:val="24"/>
        </w:rPr>
        <w:t xml:space="preserve"> 2(</w:t>
      </w:r>
      <w:r w:rsidR="009B5371" w:rsidRPr="00E43BC5">
        <w:rPr>
          <w:rFonts w:ascii="Times New Roman" w:eastAsia="Calibri" w:hAnsi="Times New Roman" w:cs="Times New Roman"/>
          <w:sz w:val="24"/>
          <w:szCs w:val="24"/>
        </w:rPr>
        <w:t>15</w:t>
      </w:r>
      <w:r w:rsidR="009B5371" w:rsidRPr="00350C1F">
        <w:rPr>
          <w:rFonts w:ascii="Times New Roman" w:eastAsia="Calibri" w:hAnsi="Times New Roman" w:cs="Times New Roman"/>
          <w:sz w:val="24"/>
          <w:szCs w:val="24"/>
        </w:rPr>
        <w:t>)</w:t>
      </w:r>
      <w:r w:rsidR="009B5371" w:rsidRPr="00E43BC5">
        <w:rPr>
          <w:rFonts w:ascii="Times New Roman" w:eastAsia="Calibri" w:hAnsi="Times New Roman" w:cs="Times New Roman"/>
          <w:sz w:val="24"/>
          <w:szCs w:val="24"/>
        </w:rPr>
        <w:t>.</w:t>
      </w:r>
      <w:r w:rsidR="006F5F57" w:rsidRPr="00E43BC5">
        <w:rPr>
          <w:rFonts w:ascii="Times New Roman" w:eastAsia="Calibri" w:hAnsi="Times New Roman" w:cs="Times New Roman"/>
          <w:sz w:val="24"/>
          <w:szCs w:val="24"/>
        </w:rPr>
        <w:t xml:space="preserve"> С. 352-362.</w:t>
      </w:r>
    </w:p>
    <w:p w:rsidR="008179C6" w:rsidRPr="00E43BC5" w:rsidRDefault="008179C6" w:rsidP="008179C6">
      <w:p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E43BC5">
        <w:rPr>
          <w:rFonts w:ascii="Times New Roman" w:eastAsia="Calibri" w:hAnsi="Times New Roman" w:cs="Times New Roman"/>
          <w:sz w:val="24"/>
          <w:szCs w:val="24"/>
        </w:rPr>
        <w:t xml:space="preserve">2. </w:t>
      </w:r>
      <w:proofErr w:type="spellStart"/>
      <w:r w:rsidRPr="00E43BC5">
        <w:rPr>
          <w:rFonts w:ascii="Times New Roman" w:eastAsia="Calibri" w:hAnsi="Times New Roman" w:cs="Times New Roman"/>
          <w:sz w:val="24"/>
          <w:szCs w:val="24"/>
        </w:rPr>
        <w:t>Криничанский</w:t>
      </w:r>
      <w:proofErr w:type="spellEnd"/>
      <w:r w:rsidRPr="00E43BC5">
        <w:rPr>
          <w:rFonts w:ascii="Times New Roman" w:eastAsia="Calibri" w:hAnsi="Times New Roman" w:cs="Times New Roman"/>
          <w:sz w:val="24"/>
          <w:szCs w:val="24"/>
        </w:rPr>
        <w:t xml:space="preserve"> К. В. Развитие подхода к оценке эффективности деятельности органов региональной исполнительной власти в России // Региональная экономика: теория и практика. 2016. </w:t>
      </w:r>
      <w:proofErr w:type="spellStart"/>
      <w:r w:rsidRPr="00E43BC5">
        <w:rPr>
          <w:rFonts w:ascii="Times New Roman" w:eastAsia="Calibri" w:hAnsi="Times New Roman" w:cs="Times New Roman"/>
          <w:sz w:val="24"/>
          <w:szCs w:val="24"/>
        </w:rPr>
        <w:t>Вып</w:t>
      </w:r>
      <w:proofErr w:type="spellEnd"/>
      <w:r w:rsidRPr="00E43BC5">
        <w:rPr>
          <w:rFonts w:ascii="Times New Roman" w:eastAsia="Calibri" w:hAnsi="Times New Roman" w:cs="Times New Roman"/>
          <w:sz w:val="24"/>
          <w:szCs w:val="24"/>
        </w:rPr>
        <w:t>. 8. С. 33–50.</w:t>
      </w:r>
    </w:p>
    <w:p w:rsidR="008179C6" w:rsidRPr="00350C1F" w:rsidRDefault="008179C6" w:rsidP="008179C6">
      <w:p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 w:rsidRPr="00E43BC5">
        <w:rPr>
          <w:rFonts w:ascii="Times New Roman" w:eastAsia="Calibri" w:hAnsi="Times New Roman" w:cs="Times New Roman"/>
          <w:sz w:val="24"/>
          <w:szCs w:val="24"/>
        </w:rPr>
        <w:t xml:space="preserve">3. Фёдорова Е. А., Черникова Л. И., Мусиенко С. О. Оценка эффективности регионального управления // Экономика региона. </w:t>
      </w:r>
      <w:r w:rsidRPr="00350C1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2019. </w:t>
      </w:r>
      <w:r w:rsidR="009B5371" w:rsidRPr="00350C1F">
        <w:rPr>
          <w:rFonts w:ascii="Times New Roman" w:eastAsia="Calibri" w:hAnsi="Times New Roman" w:cs="Times New Roman"/>
          <w:sz w:val="24"/>
          <w:szCs w:val="24"/>
          <w:lang w:val="en-US"/>
        </w:rPr>
        <w:t>№</w:t>
      </w:r>
      <w:r w:rsidR="009B5371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D33602">
        <w:rPr>
          <w:rFonts w:ascii="Times New Roman" w:eastAsia="Calibri" w:hAnsi="Times New Roman" w:cs="Times New Roman"/>
          <w:sz w:val="24"/>
          <w:szCs w:val="24"/>
          <w:lang w:val="en-US"/>
        </w:rPr>
        <w:t>2(</w:t>
      </w:r>
      <w:r w:rsidRPr="00350C1F">
        <w:rPr>
          <w:rFonts w:ascii="Times New Roman" w:eastAsia="Calibri" w:hAnsi="Times New Roman" w:cs="Times New Roman"/>
          <w:sz w:val="24"/>
          <w:szCs w:val="24"/>
          <w:lang w:val="en-US"/>
        </w:rPr>
        <w:t>15</w:t>
      </w:r>
      <w:r w:rsidR="00D33602">
        <w:rPr>
          <w:rFonts w:ascii="Times New Roman" w:eastAsia="Calibri" w:hAnsi="Times New Roman" w:cs="Times New Roman"/>
          <w:sz w:val="24"/>
          <w:szCs w:val="24"/>
          <w:lang w:val="en-US"/>
        </w:rPr>
        <w:t>)</w:t>
      </w:r>
      <w:r w:rsidRPr="00350C1F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r w:rsidRPr="00E43BC5">
        <w:rPr>
          <w:rFonts w:ascii="Times New Roman" w:eastAsia="Calibri" w:hAnsi="Times New Roman" w:cs="Times New Roman"/>
          <w:sz w:val="24"/>
          <w:szCs w:val="24"/>
        </w:rPr>
        <w:t>С</w:t>
      </w:r>
      <w:r w:rsidRPr="00350C1F">
        <w:rPr>
          <w:rFonts w:ascii="Times New Roman" w:eastAsia="Calibri" w:hAnsi="Times New Roman" w:cs="Times New Roman"/>
          <w:sz w:val="24"/>
          <w:szCs w:val="24"/>
          <w:lang w:val="en-US"/>
        </w:rPr>
        <w:t>. 350-362.</w:t>
      </w:r>
    </w:p>
    <w:p w:rsidR="00DC78C2" w:rsidRPr="00DC78C2" w:rsidRDefault="00CF4DDB" w:rsidP="00DC78C2">
      <w:p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4</w:t>
      </w:r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>Jahanshahloo</w:t>
      </w:r>
      <w:proofErr w:type="spellEnd"/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G. R., </w:t>
      </w:r>
      <w:proofErr w:type="spellStart"/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>Hosseinzadeh</w:t>
      </w:r>
      <w:proofErr w:type="spellEnd"/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proofErr w:type="spellStart"/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>Lotfi</w:t>
      </w:r>
      <w:proofErr w:type="spellEnd"/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F., </w:t>
      </w:r>
      <w:proofErr w:type="spellStart"/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>Khanmohammadi</w:t>
      </w:r>
      <w:proofErr w:type="spellEnd"/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M., </w:t>
      </w:r>
      <w:proofErr w:type="spellStart"/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>Kazemimanesh</w:t>
      </w:r>
      <w:proofErr w:type="spellEnd"/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M., </w:t>
      </w:r>
      <w:proofErr w:type="spellStart"/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>Rezaie</w:t>
      </w:r>
      <w:proofErr w:type="spellEnd"/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V. </w:t>
      </w:r>
      <w:r w:rsidR="001D0127" w:rsidRPr="001D0127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(2010), </w:t>
      </w:r>
      <w:r w:rsidR="001D0127">
        <w:rPr>
          <w:rFonts w:ascii="Times New Roman" w:eastAsia="Calibri" w:hAnsi="Times New Roman" w:cs="Times New Roman"/>
          <w:sz w:val="24"/>
          <w:szCs w:val="24"/>
          <w:lang w:val="en-US"/>
        </w:rPr>
        <w:t>“</w:t>
      </w:r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>Ranking of units by positive ideal DMU with common weights</w:t>
      </w:r>
      <w:r w:rsidR="001D0127">
        <w:rPr>
          <w:rFonts w:ascii="Times New Roman" w:eastAsia="Calibri" w:hAnsi="Times New Roman" w:cs="Times New Roman"/>
          <w:sz w:val="24"/>
          <w:szCs w:val="24"/>
          <w:lang w:val="en-US"/>
        </w:rPr>
        <w:t>”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Expert Systems with Applications</w:t>
      </w:r>
      <w:r w:rsidR="001D0127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Vol. 37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1D0127">
        <w:rPr>
          <w:rFonts w:ascii="Times New Roman" w:eastAsia="Calibri" w:hAnsi="Times New Roman" w:cs="Times New Roman"/>
          <w:sz w:val="24"/>
          <w:szCs w:val="24"/>
          <w:lang w:val="en-US"/>
        </w:rPr>
        <w:t>pp</w:t>
      </w:r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>.7483–7488.</w:t>
      </w:r>
    </w:p>
    <w:p w:rsidR="00DC78C2" w:rsidRPr="008179C6" w:rsidRDefault="00CF4DDB" w:rsidP="00DC78C2">
      <w:p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bCs/>
          <w:sz w:val="24"/>
          <w:szCs w:val="24"/>
          <w:lang w:val="en-US"/>
        </w:rPr>
        <w:t>5</w:t>
      </w:r>
      <w:r w:rsidR="00DC78C2" w:rsidRPr="00DC78C2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. </w:t>
      </w:r>
      <w:proofErr w:type="spellStart"/>
      <w:r w:rsidR="00DC78C2" w:rsidRPr="00DC78C2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Shavazipour</w:t>
      </w:r>
      <w:proofErr w:type="spellEnd"/>
      <w:r w:rsidR="00DC78C2" w:rsidRPr="00DC78C2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B. </w:t>
      </w:r>
      <w:r w:rsidR="001D012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(2013), “</w:t>
      </w:r>
      <w:r w:rsidR="00DC78C2" w:rsidRPr="00DC78C2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Ranking Efficient DMUs Using the Ideal point and Norms</w:t>
      </w:r>
      <w:r w:rsidR="001D0127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”</w:t>
      </w:r>
      <w:r w:rsidR="00C8226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</w:t>
      </w:r>
      <w:r w:rsidR="00DC78C2" w:rsidRPr="00DC78C2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Int. J. Data Envelopment Analysis</w:t>
      </w:r>
      <w:r w:rsidR="00C82268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,</w:t>
      </w:r>
      <w:r w:rsidR="00DC78C2" w:rsidRPr="00DC78C2">
        <w:rPr>
          <w:rFonts w:ascii="Times New Roman" w:eastAsia="Calibri" w:hAnsi="Times New Roman" w:cs="Times New Roman"/>
          <w:bCs/>
          <w:sz w:val="24"/>
          <w:szCs w:val="24"/>
          <w:lang w:val="en-US"/>
        </w:rPr>
        <w:t xml:space="preserve"> </w:t>
      </w:r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>Vol. 1 No. 2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DC78C2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C82268">
        <w:rPr>
          <w:rFonts w:ascii="Times New Roman" w:eastAsia="Calibri" w:hAnsi="Times New Roman" w:cs="Times New Roman"/>
          <w:sz w:val="24"/>
          <w:szCs w:val="24"/>
          <w:lang w:val="en-US"/>
        </w:rPr>
        <w:t>pp</w:t>
      </w:r>
      <w:r w:rsidR="00DC78C2" w:rsidRPr="008179C6">
        <w:rPr>
          <w:rFonts w:ascii="Times New Roman" w:eastAsia="Calibri" w:hAnsi="Times New Roman" w:cs="Times New Roman"/>
          <w:sz w:val="24"/>
          <w:szCs w:val="24"/>
          <w:lang w:val="en-US"/>
        </w:rPr>
        <w:t>. 75-83.</w:t>
      </w:r>
    </w:p>
    <w:p w:rsidR="00DC78C2" w:rsidRPr="008B33E1" w:rsidRDefault="00CF4DDB" w:rsidP="00DC78C2">
      <w:pPr>
        <w:tabs>
          <w:tab w:val="left" w:pos="0"/>
          <w:tab w:val="left" w:pos="1134"/>
        </w:tabs>
        <w:spacing w:after="0" w:line="240" w:lineRule="auto"/>
        <w:ind w:left="714" w:hanging="357"/>
        <w:jc w:val="both"/>
        <w:rPr>
          <w:rFonts w:ascii="Times New Roman" w:eastAsia="Calibri" w:hAnsi="Times New Roman" w:cs="Times New Roman"/>
          <w:sz w:val="24"/>
          <w:szCs w:val="24"/>
          <w:lang w:val="en-US"/>
        </w:rPr>
      </w:pPr>
      <w:r>
        <w:rPr>
          <w:rFonts w:ascii="Times New Roman" w:eastAsia="Calibri" w:hAnsi="Times New Roman" w:cs="Times New Roman"/>
          <w:sz w:val="24"/>
          <w:szCs w:val="24"/>
          <w:lang w:val="en-US"/>
        </w:rPr>
        <w:t>6</w:t>
      </w:r>
      <w:r w:rsidR="008179C6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. </w:t>
      </w:r>
      <w:proofErr w:type="spellStart"/>
      <w:r w:rsidR="008179C6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>Vaninsky</w:t>
      </w:r>
      <w:proofErr w:type="spellEnd"/>
      <w:r w:rsidR="008179C6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A. </w:t>
      </w:r>
      <w:r w:rsidR="00C82268">
        <w:rPr>
          <w:rFonts w:ascii="Times New Roman" w:eastAsia="Calibri" w:hAnsi="Times New Roman" w:cs="Times New Roman"/>
          <w:sz w:val="24"/>
          <w:szCs w:val="24"/>
          <w:lang w:val="en-US"/>
        </w:rPr>
        <w:t>(2011), “</w:t>
      </w:r>
      <w:r w:rsidR="008179C6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>DEA with a Perfect Object: Analytical Solutions</w:t>
      </w:r>
      <w:r w:rsidR="00C82268">
        <w:rPr>
          <w:rFonts w:ascii="Times New Roman" w:eastAsia="Calibri" w:hAnsi="Times New Roman" w:cs="Times New Roman"/>
          <w:sz w:val="24"/>
          <w:szCs w:val="24"/>
          <w:lang w:val="en-US"/>
        </w:rPr>
        <w:t>”,</w:t>
      </w:r>
      <w:r w:rsidR="008179C6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Communications in Mathematics and Applications</w:t>
      </w:r>
      <w:r w:rsidR="00C82268"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8179C6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Vol. 2 N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o.</w:t>
      </w:r>
      <w:r w:rsidR="008179C6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1</w:t>
      </w:r>
      <w:r>
        <w:rPr>
          <w:rFonts w:ascii="Times New Roman" w:eastAsia="Calibri" w:hAnsi="Times New Roman" w:cs="Times New Roman"/>
          <w:sz w:val="24"/>
          <w:szCs w:val="24"/>
          <w:lang w:val="en-US"/>
        </w:rPr>
        <w:t>,</w:t>
      </w:r>
      <w:r w:rsidR="008179C6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 xml:space="preserve"> </w:t>
      </w:r>
      <w:r w:rsidR="00C82268">
        <w:rPr>
          <w:rFonts w:ascii="Times New Roman" w:eastAsia="Calibri" w:hAnsi="Times New Roman" w:cs="Times New Roman"/>
          <w:sz w:val="24"/>
          <w:szCs w:val="24"/>
          <w:lang w:val="en-US"/>
        </w:rPr>
        <w:t>pp</w:t>
      </w:r>
      <w:r w:rsidR="008179C6" w:rsidRPr="00DC78C2">
        <w:rPr>
          <w:rFonts w:ascii="Times New Roman" w:eastAsia="Calibri" w:hAnsi="Times New Roman" w:cs="Times New Roman"/>
          <w:sz w:val="24"/>
          <w:szCs w:val="24"/>
          <w:lang w:val="en-US"/>
        </w:rPr>
        <w:t>. 1–13.</w:t>
      </w:r>
    </w:p>
    <w:sectPr w:rsidR="00DC78C2" w:rsidRPr="008B33E1" w:rsidSect="00C4430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C14F4" w:rsidRDefault="00CC14F4" w:rsidP="001A4AE8">
      <w:pPr>
        <w:spacing w:after="0" w:line="240" w:lineRule="auto"/>
      </w:pPr>
      <w:r>
        <w:separator/>
      </w:r>
    </w:p>
  </w:endnote>
  <w:endnote w:type="continuationSeparator" w:id="0">
    <w:p w:rsidR="00CC14F4" w:rsidRDefault="00CC14F4" w:rsidP="001A4A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 Math">
    <w:panose1 w:val="00000000000000000000"/>
    <w:charset w:val="CC"/>
    <w:family w:val="roman"/>
    <w:pitch w:val="variable"/>
    <w:sig w:usb0="E00002FF" w:usb1="42002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C14F4" w:rsidRDefault="00CC14F4" w:rsidP="001A4AE8">
      <w:pPr>
        <w:spacing w:after="0" w:line="240" w:lineRule="auto"/>
      </w:pPr>
      <w:r>
        <w:separator/>
      </w:r>
    </w:p>
  </w:footnote>
  <w:footnote w:type="continuationSeparator" w:id="0">
    <w:p w:rsidR="00CC14F4" w:rsidRDefault="00CC14F4" w:rsidP="001A4AE8">
      <w:pPr>
        <w:spacing w:after="0" w:line="240" w:lineRule="auto"/>
      </w:pPr>
      <w:r>
        <w:continuationSeparator/>
      </w:r>
    </w:p>
  </w:footnote>
  <w:footnote w:id="1">
    <w:p w:rsidR="001A4AE8" w:rsidRPr="00CA7DF7" w:rsidRDefault="001A4AE8" w:rsidP="001A4AE8">
      <w:pPr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CA7DF7">
        <w:rPr>
          <w:rStyle w:val="a4"/>
          <w:rFonts w:ascii="Times New Roman" w:hAnsi="Times New Roman" w:cs="Times New Roman"/>
          <w:sz w:val="20"/>
          <w:szCs w:val="20"/>
        </w:rPr>
        <w:t>1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Селютин Виктор Владимирович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к.ф.-м.н.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ведущий научный сотрудник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Южный научный центр РАН</w:t>
      </w:r>
      <w:r w:rsidRPr="00CA7DF7">
        <w:rPr>
          <w:rFonts w:ascii="Times New Roman" w:hAnsi="Times New Roman" w:cs="Times New Roman"/>
          <w:sz w:val="20"/>
          <w:szCs w:val="20"/>
        </w:rPr>
        <w:t xml:space="preserve"> (</w:t>
      </w:r>
      <w:r>
        <w:rPr>
          <w:rFonts w:ascii="Times New Roman" w:hAnsi="Times New Roman" w:cs="Times New Roman"/>
          <w:sz w:val="20"/>
          <w:szCs w:val="20"/>
        </w:rPr>
        <w:t>344</w:t>
      </w:r>
      <w:r w:rsidRPr="003F3EB4">
        <w:rPr>
          <w:rFonts w:ascii="Times New Roman" w:hAnsi="Times New Roman" w:cs="Times New Roman"/>
          <w:sz w:val="20"/>
          <w:szCs w:val="20"/>
        </w:rPr>
        <w:t>006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Россия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Ростов-на-Дону</w:t>
      </w:r>
      <w:r w:rsidRPr="00CA7DF7">
        <w:rPr>
          <w:rFonts w:ascii="Times New Roman" w:hAnsi="Times New Roman" w:cs="Times New Roman"/>
          <w:sz w:val="20"/>
          <w:szCs w:val="20"/>
        </w:rPr>
        <w:t xml:space="preserve">, </w:t>
      </w:r>
      <w:r>
        <w:rPr>
          <w:rFonts w:ascii="Times New Roman" w:hAnsi="Times New Roman" w:cs="Times New Roman"/>
          <w:sz w:val="20"/>
          <w:szCs w:val="20"/>
        </w:rPr>
        <w:t>пр.</w:t>
      </w:r>
      <w:r w:rsidRPr="00CA7DF7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Чехова</w:t>
      </w:r>
      <w:r w:rsidRPr="00CA7DF7">
        <w:rPr>
          <w:rFonts w:ascii="Times New Roman" w:hAnsi="Times New Roman" w:cs="Times New Roman"/>
          <w:sz w:val="20"/>
          <w:szCs w:val="20"/>
        </w:rPr>
        <w:t xml:space="preserve">, д. </w:t>
      </w:r>
      <w:r w:rsidR="003F3EB4">
        <w:rPr>
          <w:rFonts w:ascii="Times New Roman" w:hAnsi="Times New Roman" w:cs="Times New Roman"/>
          <w:sz w:val="20"/>
          <w:szCs w:val="20"/>
          <w:lang w:val="en-US"/>
        </w:rPr>
        <w:t>41</w:t>
      </w:r>
      <w:r w:rsidRPr="00CA7DF7">
        <w:rPr>
          <w:rFonts w:ascii="Times New Roman" w:hAnsi="Times New Roman" w:cs="Times New Roman"/>
          <w:sz w:val="20"/>
          <w:szCs w:val="20"/>
        </w:rPr>
        <w:t xml:space="preserve">; 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vvs</w:t>
      </w:r>
      <w:proofErr w:type="spellEnd"/>
      <w:r w:rsidRPr="001A4AE8">
        <w:rPr>
          <w:rFonts w:ascii="Times New Roman" w:hAnsi="Times New Roman" w:cs="Times New Roman"/>
          <w:sz w:val="20"/>
          <w:szCs w:val="20"/>
        </w:rPr>
        <w:t>1812@</w:t>
      </w:r>
      <w:proofErr w:type="spellStart"/>
      <w:r>
        <w:rPr>
          <w:rFonts w:ascii="Times New Roman" w:hAnsi="Times New Roman" w:cs="Times New Roman"/>
          <w:sz w:val="20"/>
          <w:szCs w:val="20"/>
          <w:lang w:val="en-US"/>
        </w:rPr>
        <w:t>gmail</w:t>
      </w:r>
      <w:proofErr w:type="spellEnd"/>
      <w:r w:rsidRPr="001A4AE8">
        <w:rPr>
          <w:rFonts w:ascii="Times New Roman" w:hAnsi="Times New Roman" w:cs="Times New Roman"/>
          <w:sz w:val="20"/>
          <w:szCs w:val="20"/>
        </w:rPr>
        <w:t>.</w:t>
      </w:r>
      <w:r>
        <w:rPr>
          <w:rFonts w:ascii="Times New Roman" w:hAnsi="Times New Roman" w:cs="Times New Roman"/>
          <w:sz w:val="20"/>
          <w:szCs w:val="20"/>
          <w:lang w:val="en-US"/>
        </w:rPr>
        <w:t>com</w:t>
      </w:r>
      <w:r w:rsidRPr="00CA7DF7">
        <w:rPr>
          <w:rFonts w:ascii="Times New Roman" w:hAnsi="Times New Roman" w:cs="Times New Roman"/>
          <w:sz w:val="20"/>
          <w:szCs w:val="20"/>
        </w:rPr>
        <w:t>).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5FB3"/>
    <w:rsid w:val="00024F50"/>
    <w:rsid w:val="00026B24"/>
    <w:rsid w:val="000338AB"/>
    <w:rsid w:val="000350B4"/>
    <w:rsid w:val="000568D4"/>
    <w:rsid w:val="00077659"/>
    <w:rsid w:val="0009574E"/>
    <w:rsid w:val="000A3B67"/>
    <w:rsid w:val="000A72CD"/>
    <w:rsid w:val="000A7C47"/>
    <w:rsid w:val="000D4455"/>
    <w:rsid w:val="000E209E"/>
    <w:rsid w:val="000F5067"/>
    <w:rsid w:val="001552C8"/>
    <w:rsid w:val="001720DC"/>
    <w:rsid w:val="0017384B"/>
    <w:rsid w:val="0018291A"/>
    <w:rsid w:val="001A4AE8"/>
    <w:rsid w:val="001B1F1C"/>
    <w:rsid w:val="001D0127"/>
    <w:rsid w:val="001D4979"/>
    <w:rsid w:val="001D61CE"/>
    <w:rsid w:val="001E56E0"/>
    <w:rsid w:val="001F18C3"/>
    <w:rsid w:val="00211195"/>
    <w:rsid w:val="00214A31"/>
    <w:rsid w:val="00230B0F"/>
    <w:rsid w:val="00245C42"/>
    <w:rsid w:val="00270C68"/>
    <w:rsid w:val="002B2B5B"/>
    <w:rsid w:val="002B3BBE"/>
    <w:rsid w:val="002E7CF8"/>
    <w:rsid w:val="002F4EAF"/>
    <w:rsid w:val="003173E5"/>
    <w:rsid w:val="00350C1F"/>
    <w:rsid w:val="00371D56"/>
    <w:rsid w:val="0037243C"/>
    <w:rsid w:val="0037669B"/>
    <w:rsid w:val="003927F1"/>
    <w:rsid w:val="00393BAD"/>
    <w:rsid w:val="00396941"/>
    <w:rsid w:val="00397092"/>
    <w:rsid w:val="003A5318"/>
    <w:rsid w:val="003A74EE"/>
    <w:rsid w:val="003B7DAE"/>
    <w:rsid w:val="003F3EB4"/>
    <w:rsid w:val="003F59BB"/>
    <w:rsid w:val="003F68D7"/>
    <w:rsid w:val="0040689E"/>
    <w:rsid w:val="00410A26"/>
    <w:rsid w:val="004202B0"/>
    <w:rsid w:val="00431652"/>
    <w:rsid w:val="00472C60"/>
    <w:rsid w:val="004763F3"/>
    <w:rsid w:val="00491D44"/>
    <w:rsid w:val="004B3A55"/>
    <w:rsid w:val="004C7805"/>
    <w:rsid w:val="004D241F"/>
    <w:rsid w:val="004D7488"/>
    <w:rsid w:val="00521901"/>
    <w:rsid w:val="005422D0"/>
    <w:rsid w:val="005423E0"/>
    <w:rsid w:val="005548B3"/>
    <w:rsid w:val="005604AF"/>
    <w:rsid w:val="00566BE3"/>
    <w:rsid w:val="005B72B7"/>
    <w:rsid w:val="005C0B60"/>
    <w:rsid w:val="005D1F21"/>
    <w:rsid w:val="005F0442"/>
    <w:rsid w:val="006012F7"/>
    <w:rsid w:val="006248B2"/>
    <w:rsid w:val="00695967"/>
    <w:rsid w:val="006C05C5"/>
    <w:rsid w:val="006D18A0"/>
    <w:rsid w:val="006D4F47"/>
    <w:rsid w:val="006D6C5A"/>
    <w:rsid w:val="006F31E1"/>
    <w:rsid w:val="006F5F57"/>
    <w:rsid w:val="00711317"/>
    <w:rsid w:val="00713B79"/>
    <w:rsid w:val="0072149B"/>
    <w:rsid w:val="0075106B"/>
    <w:rsid w:val="00766289"/>
    <w:rsid w:val="007A0D7B"/>
    <w:rsid w:val="007B410A"/>
    <w:rsid w:val="007C3F02"/>
    <w:rsid w:val="007F6EB3"/>
    <w:rsid w:val="008035CA"/>
    <w:rsid w:val="008179C6"/>
    <w:rsid w:val="00820967"/>
    <w:rsid w:val="00852662"/>
    <w:rsid w:val="00861208"/>
    <w:rsid w:val="0086399E"/>
    <w:rsid w:val="00864B04"/>
    <w:rsid w:val="008721A4"/>
    <w:rsid w:val="008B1020"/>
    <w:rsid w:val="008B33E1"/>
    <w:rsid w:val="008C1364"/>
    <w:rsid w:val="008D2488"/>
    <w:rsid w:val="00907906"/>
    <w:rsid w:val="00935CC6"/>
    <w:rsid w:val="00956E02"/>
    <w:rsid w:val="00957723"/>
    <w:rsid w:val="00961874"/>
    <w:rsid w:val="00980613"/>
    <w:rsid w:val="009A061C"/>
    <w:rsid w:val="009B5371"/>
    <w:rsid w:val="009C70F9"/>
    <w:rsid w:val="009E20FA"/>
    <w:rsid w:val="009E64FC"/>
    <w:rsid w:val="00A04F1E"/>
    <w:rsid w:val="00A07AB9"/>
    <w:rsid w:val="00A257A0"/>
    <w:rsid w:val="00A31DCD"/>
    <w:rsid w:val="00A472BD"/>
    <w:rsid w:val="00A52912"/>
    <w:rsid w:val="00A85A33"/>
    <w:rsid w:val="00A87807"/>
    <w:rsid w:val="00A96110"/>
    <w:rsid w:val="00AA037C"/>
    <w:rsid w:val="00AB2BC8"/>
    <w:rsid w:val="00AF5BA6"/>
    <w:rsid w:val="00B12844"/>
    <w:rsid w:val="00B3195A"/>
    <w:rsid w:val="00B34B6B"/>
    <w:rsid w:val="00B65C5A"/>
    <w:rsid w:val="00B91E37"/>
    <w:rsid w:val="00B96C7A"/>
    <w:rsid w:val="00BE5097"/>
    <w:rsid w:val="00C075DC"/>
    <w:rsid w:val="00C21E0F"/>
    <w:rsid w:val="00C4430B"/>
    <w:rsid w:val="00C4774B"/>
    <w:rsid w:val="00C52961"/>
    <w:rsid w:val="00C621E0"/>
    <w:rsid w:val="00C6700F"/>
    <w:rsid w:val="00C7670E"/>
    <w:rsid w:val="00C82268"/>
    <w:rsid w:val="00C83D09"/>
    <w:rsid w:val="00CA2CF6"/>
    <w:rsid w:val="00CC14F4"/>
    <w:rsid w:val="00CC4A55"/>
    <w:rsid w:val="00CE1BB8"/>
    <w:rsid w:val="00CE1D3E"/>
    <w:rsid w:val="00CE6E9D"/>
    <w:rsid w:val="00CF4848"/>
    <w:rsid w:val="00CF4DDB"/>
    <w:rsid w:val="00D05FB3"/>
    <w:rsid w:val="00D33602"/>
    <w:rsid w:val="00D37D5B"/>
    <w:rsid w:val="00D522E1"/>
    <w:rsid w:val="00D676BB"/>
    <w:rsid w:val="00D70C37"/>
    <w:rsid w:val="00D73393"/>
    <w:rsid w:val="00DA7F45"/>
    <w:rsid w:val="00DC02E7"/>
    <w:rsid w:val="00DC1C06"/>
    <w:rsid w:val="00DC5951"/>
    <w:rsid w:val="00DC78C2"/>
    <w:rsid w:val="00DC7AA7"/>
    <w:rsid w:val="00E001C9"/>
    <w:rsid w:val="00E00D34"/>
    <w:rsid w:val="00E2352A"/>
    <w:rsid w:val="00E30D7C"/>
    <w:rsid w:val="00E35AEC"/>
    <w:rsid w:val="00E37C6D"/>
    <w:rsid w:val="00E43BC5"/>
    <w:rsid w:val="00E53E86"/>
    <w:rsid w:val="00E71611"/>
    <w:rsid w:val="00E8484F"/>
    <w:rsid w:val="00EB07F8"/>
    <w:rsid w:val="00EB3FAC"/>
    <w:rsid w:val="00EC1315"/>
    <w:rsid w:val="00ED2600"/>
    <w:rsid w:val="00EE40F9"/>
    <w:rsid w:val="00EE6B3D"/>
    <w:rsid w:val="00F1783A"/>
    <w:rsid w:val="00F22774"/>
    <w:rsid w:val="00F25A75"/>
    <w:rsid w:val="00F35FCF"/>
    <w:rsid w:val="00F364B3"/>
    <w:rsid w:val="00F413B5"/>
    <w:rsid w:val="00F61321"/>
    <w:rsid w:val="00F67BAC"/>
    <w:rsid w:val="00F92F06"/>
    <w:rsid w:val="00F96E75"/>
    <w:rsid w:val="00FB245E"/>
    <w:rsid w:val="00FB47B8"/>
    <w:rsid w:val="00FF2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2E56F20"/>
  <w14:defaultImageDpi w14:val="330"/>
  <w15:chartTrackingRefBased/>
  <w15:docId w15:val="{36FBC431-58C1-4BF4-BA19-CDFF1B2D5A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5FB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05F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footnote reference"/>
    <w:aliases w:val="Знак сноски-FN,Ciae niinee-FN,Знак сноски 1,Referencia nota al pie,SUPERS,анкета сноска,fr,Ciae niinee 1,Footnote symbol,Footnote Reference Number,Used by Word for Help footnote symbols,Çíàê ñíîñêè-FN,Çíàê ñíîñêè 1,текст сноски,-++ Знак Знак"/>
    <w:basedOn w:val="a0"/>
    <w:uiPriority w:val="99"/>
    <w:unhideWhenUsed/>
    <w:rsid w:val="001A4AE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chart" Target="charts/chart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Admin\Documents\&#1056;&#1086;&#1089;&#1089;&#1090;&#1072;&#1090;-&#1080;&#1085;&#1092;&#1086;&#1088;&#1084;&#1072;&#1094;&#1080;&#1103;\&#1057;&#1074;&#1086;&#1076;&#1085;&#1099;&#1081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00" b="1" i="0" u="none" strike="noStrike" kern="1200" spc="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r>
              <a:rPr lang="ru-RU" b="1" baseline="0">
                <a:solidFill>
                  <a:schemeClr val="tx1"/>
                </a:solidFill>
              </a:rPr>
              <a:t>Линейная модель</a:t>
            </a:r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/>
      <c:scatterChart>
        <c:scatterStyle val="lineMarker"/>
        <c:varyColors val="0"/>
        <c:ser>
          <c:idx val="0"/>
          <c:order val="0"/>
          <c:spPr>
            <a:ln w="19050" cap="rnd">
              <a:noFill/>
              <a:round/>
            </a:ln>
            <a:effectLst/>
          </c:spPr>
          <c:marker>
            <c:symbol val="circle"/>
            <c:size val="5"/>
            <c:spPr>
              <a:solidFill>
                <a:schemeClr val="tx1"/>
              </a:solidFill>
              <a:ln w="9525">
                <a:solidFill>
                  <a:schemeClr val="accent1"/>
                </a:solidFill>
              </a:ln>
              <a:effectLst/>
            </c:spPr>
          </c:marker>
          <c:dPt>
            <c:idx val="0"/>
            <c:marker>
              <c:symbol val="triangle"/>
              <c:size val="5"/>
            </c:marker>
            <c:bubble3D val="0"/>
            <c:extLst>
              <c:ext xmlns:c16="http://schemas.microsoft.com/office/drawing/2014/chart" uri="{C3380CC4-5D6E-409C-BE32-E72D297353CC}">
                <c16:uniqueId val="{00000001-DA18-4E21-B86B-D1D25E6B9E6D}"/>
              </c:ext>
            </c:extLst>
          </c:dPt>
          <c:dPt>
            <c:idx val="1"/>
            <c:marker>
              <c:symbol val="triangle"/>
              <c:size val="5"/>
            </c:marker>
            <c:bubble3D val="0"/>
            <c:extLst>
              <c:ext xmlns:c16="http://schemas.microsoft.com/office/drawing/2014/chart" uri="{C3380CC4-5D6E-409C-BE32-E72D297353CC}">
                <c16:uniqueId val="{00000002-DA18-4E21-B86B-D1D25E6B9E6D}"/>
              </c:ext>
            </c:extLst>
          </c:dPt>
          <c:dPt>
            <c:idx val="2"/>
            <c:marker>
              <c:symbol val="x"/>
              <c:size val="5"/>
            </c:marker>
            <c:bubble3D val="0"/>
            <c:extLst>
              <c:ext xmlns:c16="http://schemas.microsoft.com/office/drawing/2014/chart" uri="{C3380CC4-5D6E-409C-BE32-E72D297353CC}">
                <c16:uniqueId val="{00000000-DA18-4E21-B86B-D1D25E6B9E6D}"/>
              </c:ext>
            </c:extLst>
          </c:dPt>
          <c:dPt>
            <c:idx val="7"/>
            <c:marker>
              <c:symbol val="triangle"/>
              <c:size val="5"/>
            </c:marker>
            <c:bubble3D val="0"/>
            <c:extLst>
              <c:ext xmlns:c16="http://schemas.microsoft.com/office/drawing/2014/chart" uri="{C3380CC4-5D6E-409C-BE32-E72D297353CC}">
                <c16:uniqueId val="{00000007-DA18-4E21-B86B-D1D25E6B9E6D}"/>
              </c:ext>
            </c:extLst>
          </c:dPt>
          <c:dPt>
            <c:idx val="10"/>
            <c:marker>
              <c:symbol val="triangle"/>
              <c:size val="5"/>
            </c:marker>
            <c:bubble3D val="0"/>
            <c:extLst>
              <c:ext xmlns:c16="http://schemas.microsoft.com/office/drawing/2014/chart" uri="{C3380CC4-5D6E-409C-BE32-E72D297353CC}">
                <c16:uniqueId val="{0000000A-DA18-4E21-B86B-D1D25E6B9E6D}"/>
              </c:ext>
            </c:extLst>
          </c:dPt>
          <c:dLbls>
            <c:dLbl>
              <c:idx val="0"/>
              <c:tx>
                <c:rich>
                  <a:bodyPr/>
                  <a:lstStyle/>
                  <a:p>
                    <a:fld id="{69B57A47-E3F5-4512-8CF3-D60D8A6DF0A4}" type="CELLRANGE">
                      <a:rPr lang="en-US"/>
                      <a:pPr/>
                      <a:t>[ДИАПАЗОН ЯЧЕЕК]</a:t>
                    </a:fld>
                    <a:endParaRPr lang="ru-RU"/>
                  </a:p>
                </c:rich>
              </c:tx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1-DA18-4E21-B86B-D1D25E6B9E6D}"/>
                </c:ext>
              </c:extLst>
            </c:dLbl>
            <c:dLbl>
              <c:idx val="1"/>
              <c:tx>
                <c:rich>
                  <a:bodyPr/>
                  <a:lstStyle/>
                  <a:p>
                    <a:fld id="{5A6A8B71-F06C-48C8-9F64-EC1603CE4991}" type="CELLRANGE">
                      <a:rPr lang="ru-RU"/>
                      <a:pPr/>
                      <a:t>[ДИАПАЗОН ЯЧЕЕК]</a:t>
                    </a:fld>
                    <a:endParaRPr lang="ru-RU"/>
                  </a:p>
                </c:rich>
              </c:tx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2-DA18-4E21-B86B-D1D25E6B9E6D}"/>
                </c:ext>
              </c:extLst>
            </c:dLbl>
            <c:dLbl>
              <c:idx val="2"/>
              <c:tx>
                <c:rich>
                  <a:bodyPr/>
                  <a:lstStyle/>
                  <a:p>
                    <a:fld id="{0894BC31-38BA-4114-B4C4-B2F45A2627D6}" type="CELLRANGE">
                      <a:rPr lang="ru-RU"/>
                      <a:pPr/>
                      <a:t>[ДИАПАЗОН ЯЧЕЕК]</a:t>
                    </a:fld>
                    <a:endParaRPr lang="ru-RU"/>
                  </a:p>
                </c:rich>
              </c:tx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0-DA18-4E21-B86B-D1D25E6B9E6D}"/>
                </c:ext>
              </c:extLst>
            </c:dLbl>
            <c:dLbl>
              <c:idx val="3"/>
              <c:layout>
                <c:manualLayout>
                  <c:x val="2.9411764705882262E-2"/>
                  <c:y val="-3.5971223021582732E-2"/>
                </c:manualLayout>
              </c:layout>
              <c:tx>
                <c:rich>
                  <a:bodyPr/>
                  <a:lstStyle/>
                  <a:p>
                    <a:fld id="{A1659C0E-23A7-4332-B79A-7225D614FE67}" type="CELLRANGE">
                      <a:rPr lang="en-US"/>
                      <a:pPr/>
                      <a:t>[ДИАПАЗОН ЯЧЕЕК]</a:t>
                    </a:fld>
                    <a:endParaRPr lang="ru-RU"/>
                  </a:p>
                </c:rich>
              </c:tx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3-DA18-4E21-B86B-D1D25E6B9E6D}"/>
                </c:ext>
              </c:extLst>
            </c:dLbl>
            <c:dLbl>
              <c:idx val="4"/>
              <c:layout>
                <c:manualLayout>
                  <c:x val="-4.6568627450980393E-2"/>
                  <c:y val="-4.3964828137490045E-2"/>
                </c:manualLayout>
              </c:layout>
              <c:tx>
                <c:rich>
                  <a:bodyPr/>
                  <a:lstStyle/>
                  <a:p>
                    <a:fld id="{81316258-D7D2-4E4C-A7E2-E0E89B92C719}" type="CELLRANGE">
                      <a:rPr lang="en-US"/>
                      <a:pPr/>
                      <a:t>[ДИАПАЗОН ЯЧЕЕК]</a:t>
                    </a:fld>
                    <a:endParaRPr lang="ru-RU"/>
                  </a:p>
                </c:rich>
              </c:tx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4-DA18-4E21-B86B-D1D25E6B9E6D}"/>
                </c:ext>
              </c:extLst>
            </c:dLbl>
            <c:dLbl>
              <c:idx val="5"/>
              <c:layout>
                <c:manualLayout>
                  <c:x val="1.9607843137254902E-2"/>
                  <c:y val="3.5971223021582732E-2"/>
                </c:manualLayout>
              </c:layout>
              <c:tx>
                <c:rich>
                  <a:bodyPr/>
                  <a:lstStyle/>
                  <a:p>
                    <a:fld id="{85CEF51C-142B-4133-BB07-97A584BA9CEB}" type="CELLRANGE">
                      <a:rPr lang="en-US"/>
                      <a:pPr/>
                      <a:t>[ДИАПАЗОН ЯЧЕЕК]</a:t>
                    </a:fld>
                    <a:endParaRPr lang="ru-RU"/>
                  </a:p>
                </c:rich>
              </c:tx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5-DA18-4E21-B86B-D1D25E6B9E6D}"/>
                </c:ext>
              </c:extLst>
            </c:dLbl>
            <c:dLbl>
              <c:idx val="6"/>
              <c:tx>
                <c:rich>
                  <a:bodyPr/>
                  <a:lstStyle/>
                  <a:p>
                    <a:fld id="{14A8D8B8-DA6E-4C7E-AFEE-0051E8960D09}" type="CELLRANGE">
                      <a:rPr lang="ru-RU"/>
                      <a:pPr/>
                      <a:t>[ДИАПАЗОН ЯЧЕЕК]</a:t>
                    </a:fld>
                    <a:endParaRPr lang="ru-RU"/>
                  </a:p>
                </c:rich>
              </c:tx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6-DA18-4E21-B86B-D1D25E6B9E6D}"/>
                </c:ext>
              </c:extLst>
            </c:dLbl>
            <c:dLbl>
              <c:idx val="7"/>
              <c:layout>
                <c:manualLayout>
                  <c:x val="-5.1470588235294115E-2"/>
                  <c:y val="6.7945643485211829E-2"/>
                </c:manualLayout>
              </c:layout>
              <c:tx>
                <c:rich>
                  <a:bodyPr/>
                  <a:lstStyle/>
                  <a:p>
                    <a:r>
                      <a:rPr lang="ru-RU"/>
                      <a:t>МО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7-DA18-4E21-B86B-D1D25E6B9E6D}"/>
                </c:ext>
              </c:extLst>
            </c:dLbl>
            <c:dLbl>
              <c:idx val="8"/>
              <c:tx>
                <c:rich>
                  <a:bodyPr/>
                  <a:lstStyle/>
                  <a:p>
                    <a:r>
                      <a:rPr lang="ru-RU"/>
                      <a:t>НО</a:t>
                    </a:r>
                  </a:p>
                </c:rich>
              </c:tx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8-DA18-4E21-B86B-D1D25E6B9E6D}"/>
                </c:ext>
              </c:extLst>
            </c:dLbl>
            <c:dLbl>
              <c:idx val="9"/>
              <c:tx>
                <c:rich>
                  <a:bodyPr/>
                  <a:lstStyle/>
                  <a:p>
                    <a:fld id="{2DFA0CFC-D912-487B-8EC9-063AD7F07FC5}" type="CELLRANGE">
                      <a:rPr lang="ru-RU"/>
                      <a:pPr/>
                      <a:t>[ДИАПАЗОН ЯЧЕЕК]</a:t>
                    </a:fld>
                    <a:endParaRPr lang="ru-RU"/>
                  </a:p>
                </c:rich>
              </c:tx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xForSave val="1"/>
                  <c15:showDataLabelsRange val="1"/>
                </c:ext>
                <c:ext xmlns:c16="http://schemas.microsoft.com/office/drawing/2014/chart" uri="{C3380CC4-5D6E-409C-BE32-E72D297353CC}">
                  <c16:uniqueId val="{00000009-DA18-4E21-B86B-D1D25E6B9E6D}"/>
                </c:ext>
              </c:extLst>
            </c:dLbl>
            <c:dLbl>
              <c:idx val="10"/>
              <c:layout>
                <c:manualLayout>
                  <c:x val="9.8039215686274508E-3"/>
                  <c:y val="5.9952038369304482E-2"/>
                </c:manualLayout>
              </c:layout>
              <c:tx>
                <c:rich>
                  <a:bodyPr/>
                  <a:lstStyle/>
                  <a:p>
                    <a:fld id="{16F0BA74-C708-4300-8127-8438F4A6EC09}" type="CELLRANGE">
                      <a:rPr lang="en-US"/>
                      <a:pPr/>
                      <a:t>[ДИАПАЗОН ЯЧЕЕК]</a:t>
                    </a:fld>
                    <a:endParaRPr lang="ru-RU"/>
                  </a:p>
                </c:rich>
              </c:tx>
              <c:showLegendKey val="0"/>
              <c:showVal val="0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dlblFieldTable/>
                  <c15:showDataLabelsRange val="1"/>
                </c:ext>
                <c:ext xmlns:c16="http://schemas.microsoft.com/office/drawing/2014/chart" uri="{C3380CC4-5D6E-409C-BE32-E72D297353CC}">
                  <c16:uniqueId val="{0000000A-DA18-4E21-B86B-D1D25E6B9E6D}"/>
                </c:ext>
              </c:extLst>
            </c:dLbl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endParaRPr lang="ru-RU"/>
              </a:p>
            </c:txPr>
            <c:showLegendKey val="0"/>
            <c:showVal val="0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DataLabelsRange val="1"/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xVal>
            <c:numRef>
              <c:f>СЗФО!$K$7:$K$17</c:f>
              <c:numCache>
                <c:formatCode>0.000</c:formatCode>
                <c:ptCount val="11"/>
                <c:pt idx="0">
                  <c:v>1.3187821341932555</c:v>
                </c:pt>
                <c:pt idx="1">
                  <c:v>0.89607168381656221</c:v>
                </c:pt>
                <c:pt idx="2">
                  <c:v>0.15222884415856869</c:v>
                </c:pt>
                <c:pt idx="3">
                  <c:v>1.3800876098556074</c:v>
                </c:pt>
                <c:pt idx="4">
                  <c:v>1.3304565400292145</c:v>
                </c:pt>
                <c:pt idx="5">
                  <c:v>1.4838965984833266</c:v>
                </c:pt>
                <c:pt idx="6">
                  <c:v>1.030797748345736</c:v>
                </c:pt>
                <c:pt idx="7">
                  <c:v>0.94575625054773638</c:v>
                </c:pt>
                <c:pt idx="8">
                  <c:v>1.6372182678342322</c:v>
                </c:pt>
                <c:pt idx="9">
                  <c:v>2.301266941270713</c:v>
                </c:pt>
                <c:pt idx="10">
                  <c:v>1</c:v>
                </c:pt>
              </c:numCache>
            </c:numRef>
          </c:xVal>
          <c:yVal>
            <c:numRef>
              <c:f>СЗФО!$L$7:$L$17</c:f>
              <c:numCache>
                <c:formatCode>0.000</c:formatCode>
                <c:ptCount val="11"/>
                <c:pt idx="0">
                  <c:v>0.9084599025733362</c:v>
                </c:pt>
                <c:pt idx="1">
                  <c:v>1.4292504918748359</c:v>
                </c:pt>
                <c:pt idx="2">
                  <c:v>0.81076896125452158</c:v>
                </c:pt>
                <c:pt idx="3">
                  <c:v>1.0176791635232763</c:v>
                </c:pt>
                <c:pt idx="4">
                  <c:v>1.1146875039665711</c:v>
                </c:pt>
                <c:pt idx="5">
                  <c:v>1.0119841160935361</c:v>
                </c:pt>
                <c:pt idx="6">
                  <c:v>1.0384701375474115</c:v>
                </c:pt>
                <c:pt idx="7">
                  <c:v>1.0246209496203267</c:v>
                </c:pt>
                <c:pt idx="8">
                  <c:v>1.2129548483397949</c:v>
                </c:pt>
                <c:pt idx="9">
                  <c:v>1.0321121730024099</c:v>
                </c:pt>
                <c:pt idx="10">
                  <c:v>1</c:v>
                </c:pt>
              </c:numCache>
            </c:numRef>
          </c:yVal>
          <c:smooth val="0"/>
          <c:extLst>
            <c:ext xmlns:c15="http://schemas.microsoft.com/office/drawing/2012/chart" uri="{02D57815-91ED-43cb-92C2-25804820EDAC}">
              <c15:datalabelsRange>
                <c15:f>СЗФО!$J$7:$J$17</c15:f>
                <c15:dlblRangeCache>
                  <c:ptCount val="11"/>
                  <c:pt idx="0">
                    <c:v>Ка</c:v>
                  </c:pt>
                  <c:pt idx="1">
                    <c:v>Ко</c:v>
                  </c:pt>
                  <c:pt idx="2">
                    <c:v>НАО</c:v>
                  </c:pt>
                  <c:pt idx="3">
                    <c:v>АО</c:v>
                  </c:pt>
                  <c:pt idx="4">
                    <c:v>ВО</c:v>
                  </c:pt>
                  <c:pt idx="5">
                    <c:v>КО</c:v>
                  </c:pt>
                  <c:pt idx="6">
                    <c:v>ЛО</c:v>
                  </c:pt>
                  <c:pt idx="7">
                    <c:v>НО</c:v>
                  </c:pt>
                  <c:pt idx="8">
                    <c:v>МО</c:v>
                  </c:pt>
                  <c:pt idx="9">
                    <c:v>ПО</c:v>
                  </c:pt>
                  <c:pt idx="10">
                    <c:v>СПб</c:v>
                  </c:pt>
                </c15:dlblRangeCache>
              </c15:datalabelsRange>
            </c:ext>
            <c:ext xmlns:c16="http://schemas.microsoft.com/office/drawing/2014/chart" uri="{C3380CC4-5D6E-409C-BE32-E72D297353CC}">
              <c16:uniqueId val="{0000000B-DA18-4E21-B86B-D1D25E6B9E6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85186880"/>
        <c:axId val="285203608"/>
      </c:scatterChart>
      <c:valAx>
        <c:axId val="285186880"/>
        <c:scaling>
          <c:orientation val="minMax"/>
        </c:scaling>
        <c:delete val="0"/>
        <c:axPos val="b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>
                    <a:solidFill>
                      <a:schemeClr val="tx1"/>
                    </a:solidFill>
                    <a:latin typeface="Arial" panose="020B0604020202020204" pitchFamily="34" charset="0"/>
                    <a:cs typeface="Arial" panose="020B0604020202020204" pitchFamily="34" charset="0"/>
                  </a:rPr>
                  <a:t>q</a:t>
                </a:r>
                <a:r>
                  <a:rPr lang="ru-RU" baseline="-25000">
                    <a:solidFill>
                      <a:schemeClr val="tx1"/>
                    </a:solidFill>
                    <a:latin typeface="Arial" panose="020B0604020202020204" pitchFamily="34" charset="0"/>
                    <a:cs typeface="Arial" panose="020B0604020202020204" pitchFamily="34" charset="0"/>
                  </a:rPr>
                  <a:t>1</a:t>
                </a:r>
                <a:r>
                  <a:rPr lang="ru-RU">
                    <a:solidFill>
                      <a:schemeClr val="tx1"/>
                    </a:solidFill>
                    <a:latin typeface="Arial" panose="020B0604020202020204" pitchFamily="34" charset="0"/>
                    <a:cs typeface="Arial" panose="020B0604020202020204" pitchFamily="34" charset="0"/>
                  </a:rPr>
                  <a:t> (занятые/ВРП)</a:t>
                </a:r>
              </a:p>
            </c:rich>
          </c:tx>
          <c:layout>
            <c:manualLayout>
              <c:xMode val="edge"/>
              <c:yMode val="edge"/>
              <c:x val="0.40023583449127687"/>
              <c:y val="0.90182852143482062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0.0" sourceLinked="0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85203608"/>
        <c:crosses val="autoZero"/>
        <c:crossBetween val="midCat"/>
      </c:valAx>
      <c:valAx>
        <c:axId val="2852036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chemeClr val="tx1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>
                    <a:solidFill>
                      <a:schemeClr val="tx1"/>
                    </a:solidFill>
                    <a:latin typeface="Arial" panose="020B0604020202020204" pitchFamily="34" charset="0"/>
                    <a:cs typeface="Arial" panose="020B0604020202020204" pitchFamily="34" charset="0"/>
                  </a:rPr>
                  <a:t>q</a:t>
                </a:r>
                <a:r>
                  <a:rPr lang="en-US" baseline="-25000">
                    <a:solidFill>
                      <a:schemeClr val="tx1"/>
                    </a:solidFill>
                    <a:latin typeface="Arial" panose="020B0604020202020204" pitchFamily="34" charset="0"/>
                    <a:cs typeface="Arial" panose="020B0604020202020204" pitchFamily="34" charset="0"/>
                  </a:rPr>
                  <a:t>2</a:t>
                </a:r>
                <a:r>
                  <a:rPr lang="en-US">
                    <a:solidFill>
                      <a:schemeClr val="tx1"/>
                    </a:solidFill>
                    <a:latin typeface="Arial" panose="020B0604020202020204" pitchFamily="34" charset="0"/>
                    <a:cs typeface="Arial" panose="020B0604020202020204" pitchFamily="34" charset="0"/>
                  </a:rPr>
                  <a:t> (</a:t>
                </a:r>
                <a:r>
                  <a:rPr lang="ru-RU">
                    <a:solidFill>
                      <a:schemeClr val="tx1"/>
                    </a:solidFill>
                    <a:latin typeface="Arial" panose="020B0604020202020204" pitchFamily="34" charset="0"/>
                    <a:cs typeface="Arial" panose="020B0604020202020204" pitchFamily="34" charset="0"/>
                  </a:rPr>
                  <a:t>основные фонды/ВРП)</a:t>
                </a:r>
              </a:p>
            </c:rich>
          </c:tx>
          <c:layout>
            <c:manualLayout>
              <c:xMode val="edge"/>
              <c:yMode val="edge"/>
              <c:x val="2.6960784313725492E-2"/>
              <c:y val="0.22292796733741616"/>
            </c:manualLayout>
          </c:layout>
          <c:overlay val="0"/>
          <c:spPr>
            <a:noFill/>
            <a:ln>
              <a:noFill/>
            </a:ln>
            <a:effectLst/>
          </c:spPr>
        </c:title>
        <c:numFmt formatCode="0.0" sourceLinked="0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25000"/>
                <a:lumOff val="7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ru-RU"/>
          </a:p>
        </c:txPr>
        <c:crossAx val="285186880"/>
        <c:crosses val="autoZero"/>
        <c:crossBetween val="midCat"/>
      </c:valAx>
    </c:plotArea>
    <c:plotVisOnly val="1"/>
    <c:dispBlanksAs val="gap"/>
    <c:showDLblsOverMax val="0"/>
  </c:chart>
  <c:txPr>
    <a:bodyPr/>
    <a:lstStyle/>
    <a:p>
      <a:pPr>
        <a:defRPr/>
      </a:pPr>
      <a:endParaRPr lang="ru-RU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1225</TotalTime>
  <Pages>5</Pages>
  <Words>2132</Words>
  <Characters>12153</Characters>
  <Application>Microsoft Office Word</Application>
  <DocSecurity>0</DocSecurity>
  <Lines>101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184</cp:revision>
  <dcterms:created xsi:type="dcterms:W3CDTF">2023-05-10T16:18:00Z</dcterms:created>
  <dcterms:modified xsi:type="dcterms:W3CDTF">2023-05-14T19:10:00Z</dcterms:modified>
</cp:coreProperties>
</file>