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03A" w:rsidRPr="0092507F" w:rsidRDefault="0047503A" w:rsidP="0047503A">
      <w:pPr>
        <w:spacing w:after="0" w:line="360" w:lineRule="auto"/>
        <w:jc w:val="both"/>
        <w:rPr>
          <w:rFonts w:ascii="Times New Roman" w:hAnsi="Times New Roman" w:cs="Times New Roman"/>
          <w:caps/>
          <w:color w:val="000000" w:themeColor="text1"/>
          <w:sz w:val="24"/>
          <w:szCs w:val="24"/>
          <w:lang w:val="tg-Cyrl-TJ"/>
        </w:rPr>
      </w:pPr>
      <w:r w:rsidRPr="0092507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tg-Cyrl-TJ" w:eastAsia="ru-RU"/>
        </w:rPr>
        <w:t>Методология анализа развития инноваций АПК Таджикистана</w:t>
      </w:r>
    </w:p>
    <w:p w:rsidR="0047503A" w:rsidRPr="0092507F" w:rsidRDefault="0047503A" w:rsidP="0047503A">
      <w:p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250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Шамсиев К.Б. д.э.н.,  ведущий научный сотрудник института  экономических исследований и развития сельского хозяйства Таджикской Академии  Сельскохозяйственных Наук  Адрес для переписки: kshyms@yandex.ru 992919732621 </w:t>
      </w:r>
    </w:p>
    <w:p w:rsidR="0047503A" w:rsidRPr="003E5397" w:rsidRDefault="0047503A" w:rsidP="0047503A">
      <w:pPr>
        <w:spacing w:after="0" w:line="360" w:lineRule="auto"/>
        <w:rPr>
          <w:rFonts w:ascii="Times New Roman" w:hAnsi="Times New Roman" w:cs="Times New Roman"/>
          <w:color w:val="000000" w:themeColor="text1"/>
        </w:rPr>
      </w:pPr>
      <w:r w:rsidRPr="003E5397">
        <w:rPr>
          <w:rFonts w:ascii="Times New Roman" w:hAnsi="Times New Roman" w:cs="Times New Roman"/>
          <w:color w:val="000000" w:themeColor="text1"/>
        </w:rPr>
        <w:t xml:space="preserve">Аннотация: В работе </w:t>
      </w:r>
      <w:r w:rsidR="0092507F" w:rsidRPr="003E5397">
        <w:rPr>
          <w:rFonts w:ascii="Times New Roman" w:hAnsi="Times New Roman" w:cs="Times New Roman"/>
          <w:color w:val="000000" w:themeColor="text1"/>
        </w:rPr>
        <w:t xml:space="preserve">выявлены </w:t>
      </w:r>
      <w:r w:rsidR="0092507F" w:rsidRPr="003E5397">
        <w:rPr>
          <w:rFonts w:ascii="Times New Roman" w:hAnsi="Times New Roman" w:cs="Times New Roman"/>
          <w:color w:val="000000" w:themeColor="text1"/>
          <w:lang w:val="tg-Cyrl-TJ"/>
        </w:rPr>
        <w:t>проблемы развития инноваций в агропромышленном комплексе</w:t>
      </w:r>
      <w:r w:rsidR="0092507F" w:rsidRPr="003E5397">
        <w:rPr>
          <w:rFonts w:ascii="Times New Roman" w:hAnsi="Times New Roman" w:cs="Times New Roman"/>
          <w:color w:val="000000" w:themeColor="text1"/>
        </w:rPr>
        <w:t xml:space="preserve">  и </w:t>
      </w:r>
      <w:r w:rsidRPr="003E5397">
        <w:rPr>
          <w:rFonts w:ascii="Times New Roman" w:hAnsi="Times New Roman" w:cs="Times New Roman"/>
          <w:color w:val="000000" w:themeColor="text1"/>
        </w:rPr>
        <w:t xml:space="preserve">обосновываются механизмы развития частно-государственного партнёрства </w:t>
      </w:r>
      <w:r w:rsidR="0092507F" w:rsidRPr="003E5397">
        <w:rPr>
          <w:rFonts w:ascii="Times New Roman" w:hAnsi="Times New Roman" w:cs="Times New Roman"/>
          <w:color w:val="000000" w:themeColor="text1"/>
        </w:rPr>
        <w:t xml:space="preserve"> и поддержки развития инноваций </w:t>
      </w:r>
      <w:r w:rsidRPr="003E5397">
        <w:rPr>
          <w:rFonts w:ascii="Times New Roman" w:hAnsi="Times New Roman" w:cs="Times New Roman"/>
          <w:color w:val="000000" w:themeColor="text1"/>
        </w:rPr>
        <w:t xml:space="preserve">АПК Таджикистана. Обосновывается формирование </w:t>
      </w:r>
      <w:r w:rsidR="0092507F" w:rsidRPr="003E5397">
        <w:rPr>
          <w:rFonts w:ascii="Times New Roman" w:hAnsi="Times New Roman" w:cs="Times New Roman"/>
          <w:color w:val="000000" w:themeColor="text1"/>
        </w:rPr>
        <w:t xml:space="preserve">х агропромышленных </w:t>
      </w:r>
      <w:r w:rsidRPr="003E5397">
        <w:rPr>
          <w:rFonts w:ascii="Times New Roman" w:hAnsi="Times New Roman" w:cs="Times New Roman"/>
          <w:color w:val="000000" w:themeColor="text1"/>
        </w:rPr>
        <w:t>технопарк</w:t>
      </w:r>
      <w:r w:rsidR="0092507F" w:rsidRPr="003E5397">
        <w:rPr>
          <w:rFonts w:ascii="Times New Roman" w:hAnsi="Times New Roman" w:cs="Times New Roman"/>
          <w:color w:val="000000" w:themeColor="text1"/>
        </w:rPr>
        <w:t xml:space="preserve">ов и особых экономических зон в сельских регионах </w:t>
      </w:r>
      <w:r w:rsidRPr="003E5397">
        <w:rPr>
          <w:rFonts w:ascii="Times New Roman" w:hAnsi="Times New Roman" w:cs="Times New Roman"/>
          <w:color w:val="000000" w:themeColor="text1"/>
        </w:rPr>
        <w:t xml:space="preserve">Таджикистана. </w:t>
      </w:r>
    </w:p>
    <w:p w:rsidR="0047503A" w:rsidRPr="003E5397" w:rsidRDefault="0047503A" w:rsidP="0047503A">
      <w:pPr>
        <w:spacing w:after="0" w:line="360" w:lineRule="auto"/>
        <w:rPr>
          <w:rFonts w:ascii="Times New Roman" w:hAnsi="Times New Roman" w:cs="Times New Roman"/>
          <w:color w:val="000000" w:themeColor="text1"/>
        </w:rPr>
      </w:pPr>
      <w:r w:rsidRPr="003E5397">
        <w:rPr>
          <w:rFonts w:ascii="Times New Roman" w:hAnsi="Times New Roman" w:cs="Times New Roman"/>
          <w:color w:val="000000" w:themeColor="text1"/>
        </w:rPr>
        <w:t xml:space="preserve">Ключевые слова: частно-государственное партнёрство, государственно –частное партнёрство, концессия,  </w:t>
      </w:r>
      <w:r w:rsidR="0092507F" w:rsidRPr="003E5397">
        <w:rPr>
          <w:rFonts w:ascii="Times New Roman" w:hAnsi="Times New Roman" w:cs="Times New Roman"/>
          <w:color w:val="000000" w:themeColor="text1"/>
        </w:rPr>
        <w:t>инноввации</w:t>
      </w:r>
      <w:r w:rsidRPr="003E5397">
        <w:rPr>
          <w:rFonts w:ascii="Times New Roman" w:hAnsi="Times New Roman" w:cs="Times New Roman"/>
          <w:color w:val="000000" w:themeColor="text1"/>
        </w:rPr>
        <w:t xml:space="preserve">,  организация технопарков, </w:t>
      </w:r>
      <w:r w:rsidRPr="003E5397">
        <w:rPr>
          <w:rFonts w:ascii="Times New Roman" w:hAnsi="Times New Roman" w:cs="Times New Roman"/>
          <w:color w:val="000000" w:themeColor="text1"/>
          <w:lang w:val="en-US"/>
        </w:rPr>
        <w:t>c</w:t>
      </w:r>
      <w:r w:rsidRPr="003E5397">
        <w:rPr>
          <w:rFonts w:ascii="Times New Roman" w:hAnsi="Times New Roman" w:cs="Times New Roman"/>
          <w:color w:val="000000" w:themeColor="text1"/>
        </w:rPr>
        <w:t>ельское хозяйство, предприятия АПК, государственная поддержка.</w:t>
      </w:r>
    </w:p>
    <w:p w:rsidR="0047503A" w:rsidRPr="0092507F" w:rsidRDefault="0047503A" w:rsidP="00AD534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</w:p>
    <w:p w:rsidR="006836CA" w:rsidRDefault="006836CA" w:rsidP="00AD534E">
      <w:pPr>
        <w:spacing w:after="0" w:line="360" w:lineRule="auto"/>
        <w:jc w:val="both"/>
        <w:rPr>
          <w:rStyle w:val="rynqvb"/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</w:pPr>
      <w:r w:rsidRPr="006836CA">
        <w:rPr>
          <w:rStyle w:val="rynqvb"/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en-US"/>
        </w:rPr>
        <w:t xml:space="preserve">Methodology for analyzing the development of innovations in the agro-industrial complex of Tajikistan </w:t>
      </w:r>
    </w:p>
    <w:p w:rsidR="006836CA" w:rsidRPr="003E5397" w:rsidRDefault="006836CA" w:rsidP="00AD534E">
      <w:pPr>
        <w:spacing w:after="0" w:line="360" w:lineRule="auto"/>
        <w:jc w:val="both"/>
        <w:rPr>
          <w:rStyle w:val="rynqvb"/>
          <w:rFonts w:ascii="Times New Roman" w:hAnsi="Times New Roman" w:cs="Times New Roman"/>
          <w:color w:val="000000"/>
          <w:shd w:val="clear" w:color="auto" w:fill="F5F5F5"/>
        </w:rPr>
      </w:pPr>
      <w:r w:rsidRPr="003E5397">
        <w:rPr>
          <w:rStyle w:val="rynqvb"/>
          <w:rFonts w:ascii="Times New Roman" w:hAnsi="Times New Roman" w:cs="Times New Roman"/>
          <w:color w:val="000000"/>
          <w:shd w:val="clear" w:color="auto" w:fill="F5F5F5"/>
          <w:lang w:val="en-US"/>
        </w:rPr>
        <w:t>Shamsiev K.B.</w:t>
      </w:r>
      <w:r w:rsidRPr="003E5397">
        <w:rPr>
          <w:rFonts w:ascii="Times New Roman" w:hAnsi="Times New Roman" w:cs="Times New Roman"/>
          <w:color w:val="000000"/>
          <w:shd w:val="clear" w:color="auto" w:fill="F5F5F5"/>
          <w:lang w:val="en-US"/>
        </w:rPr>
        <w:t xml:space="preserve"> </w:t>
      </w:r>
      <w:r w:rsidRPr="003E5397">
        <w:rPr>
          <w:rStyle w:val="rynqvb"/>
          <w:rFonts w:ascii="Times New Roman" w:hAnsi="Times New Roman" w:cs="Times New Roman"/>
          <w:color w:val="000000"/>
          <w:shd w:val="clear" w:color="auto" w:fill="F5F5F5"/>
          <w:lang w:val="en-US"/>
        </w:rPr>
        <w:t xml:space="preserve">Doctor of Economics, Leading Researcher at the Institute of Economic Research and Agricultural Development of the Tajik Academy of Agricultural Sciences Correspondence address: kshyms@yandex.ru 992919732621 </w:t>
      </w:r>
    </w:p>
    <w:p w:rsidR="006836CA" w:rsidRPr="003E5397" w:rsidRDefault="006836CA" w:rsidP="00AD534E">
      <w:pPr>
        <w:spacing w:after="0" w:line="360" w:lineRule="auto"/>
        <w:jc w:val="both"/>
        <w:rPr>
          <w:rStyle w:val="rynqvb"/>
          <w:rFonts w:ascii="Times New Roman" w:hAnsi="Times New Roman" w:cs="Times New Roman"/>
          <w:color w:val="000000"/>
          <w:shd w:val="clear" w:color="auto" w:fill="F5F5F5"/>
        </w:rPr>
      </w:pPr>
      <w:r w:rsidRPr="003E5397">
        <w:rPr>
          <w:rStyle w:val="rynqvb"/>
          <w:rFonts w:ascii="Times New Roman" w:hAnsi="Times New Roman" w:cs="Times New Roman"/>
          <w:color w:val="000000"/>
          <w:shd w:val="clear" w:color="auto" w:fill="F5F5F5"/>
          <w:lang w:val="en-US"/>
        </w:rPr>
        <w:t>Abstract: The paper identifies the problems of development of innovations in the agro-industrial complex and substantiates the mechanisms for the development of public-private partnerships and support for the development of innovations in the agro-industrial complex of Tajikistan.</w:t>
      </w:r>
      <w:r w:rsidRPr="003E5397">
        <w:rPr>
          <w:rFonts w:ascii="Times New Roman" w:hAnsi="Times New Roman" w:cs="Times New Roman"/>
          <w:color w:val="000000"/>
          <w:shd w:val="clear" w:color="auto" w:fill="F5F5F5"/>
          <w:lang w:val="en-US"/>
        </w:rPr>
        <w:t xml:space="preserve"> </w:t>
      </w:r>
      <w:r w:rsidRPr="003E5397">
        <w:rPr>
          <w:rStyle w:val="rynqvb"/>
          <w:rFonts w:ascii="Times New Roman" w:hAnsi="Times New Roman" w:cs="Times New Roman"/>
          <w:color w:val="000000"/>
          <w:shd w:val="clear" w:color="auto" w:fill="F5F5F5"/>
          <w:lang w:val="en-US"/>
        </w:rPr>
        <w:t xml:space="preserve">The formation of x agro-industrial technoparks and special economic zones in the rural regions of Tajikistan is substantiated. </w:t>
      </w:r>
    </w:p>
    <w:p w:rsidR="006836CA" w:rsidRPr="003E5397" w:rsidRDefault="006836CA" w:rsidP="00AD534E">
      <w:pPr>
        <w:spacing w:after="0" w:line="360" w:lineRule="auto"/>
        <w:jc w:val="both"/>
        <w:rPr>
          <w:rStyle w:val="rynqvb"/>
          <w:rFonts w:ascii="Times New Roman" w:hAnsi="Times New Roman" w:cs="Times New Roman"/>
          <w:color w:val="000000"/>
          <w:shd w:val="clear" w:color="auto" w:fill="F5F5F5"/>
          <w:lang w:val="en-US"/>
        </w:rPr>
      </w:pPr>
      <w:r w:rsidRPr="003E5397">
        <w:rPr>
          <w:rStyle w:val="rynqvb"/>
          <w:rFonts w:ascii="Times New Roman" w:hAnsi="Times New Roman" w:cs="Times New Roman"/>
          <w:color w:val="000000"/>
          <w:shd w:val="clear" w:color="auto" w:fill="F5F5F5"/>
          <w:lang w:val="en-US"/>
        </w:rPr>
        <w:t>Key words: public-private partnership, public-private partnership, concession, innovations, organization of technology parks, agriculture, agricultural enterprises, state support.</w:t>
      </w:r>
    </w:p>
    <w:p w:rsidR="005847AB" w:rsidRPr="0092507F" w:rsidRDefault="005847AB" w:rsidP="00AD534E">
      <w:pPr>
        <w:spacing w:after="0" w:line="36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Современное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состояние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развития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инноваций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в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агропромышленном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комплексе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характеризуется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тем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что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на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уровне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предприятия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недостаточно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полно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проводятся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меры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по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систематической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разработке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внедрению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новой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техники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новых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технологий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использования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передового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опыта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ноу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-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хау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формирование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новых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рынков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сбыта</w:t>
      </w:r>
      <w:r w:rsidRPr="006836C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r w:rsidRPr="0092507F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Некоторые экономисты</w:t>
      </w:r>
      <w:r w:rsidRPr="0092507F">
        <w:rPr>
          <w:rStyle w:val="a7"/>
          <w:rFonts w:ascii="Times New Roman" w:eastAsia="Calibri" w:hAnsi="Times New Roman" w:cs="Times New Roman"/>
          <w:color w:val="000000" w:themeColor="text1"/>
          <w:sz w:val="24"/>
          <w:szCs w:val="24"/>
        </w:rPr>
        <w:footnoteReference w:id="2"/>
      </w:r>
      <w:r w:rsidRPr="0092507F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подчеркивают инновационную сущность предпринимательства. По нашему мнению современное предпринимательство Таджикистана характеризуется имитационно-спекулятивной сущностью. Предпринимательство Таджикистана не разрабатывает собственную интеллектуальную продукцию, а использует технику, технологию и ноу-хау зарубежных стран. Кроме того, отечественное </w:t>
      </w:r>
      <w:r w:rsidRPr="0092507F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lastRenderedPageBreak/>
        <w:t>предпринимательство предпочитает работать по короткой схеме и занимается в основном торгово-закупочной деятельностью.</w:t>
      </w:r>
    </w:p>
    <w:p w:rsidR="005847AB" w:rsidRPr="0092507F" w:rsidRDefault="005847AB" w:rsidP="00AD534E">
      <w:pPr>
        <w:tabs>
          <w:tab w:val="left" w:pos="0"/>
        </w:tabs>
        <w:autoSpaceDE w:val="0"/>
        <w:autoSpaceDN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В рамках инновационной модели Дж. Мейер, Б. Роуэн и другие предполагают, что структурные и организационные изменения</w:t>
      </w:r>
      <w:r w:rsidR="003A09B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в том числе в формировании новых рынков могут быть обусловлены как внешними, так и внутренними факторами</w:t>
      </w:r>
      <w:r w:rsidRPr="0092507F">
        <w:rPr>
          <w:rStyle w:val="a7"/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footnoteReference w:id="3"/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Если менеджмент агропромышленного предприятия систематически обеспечивает  развитие структуры и функций управления производством или  изменения инновационной среды, происходят из-за изменения внешней среды бизнеса, тогда развитие инноваций обеспечивает эффективность производства и продаж  товаров.</w:t>
      </w:r>
    </w:p>
    <w:p w:rsidR="005847AB" w:rsidRPr="0092507F" w:rsidRDefault="005847AB" w:rsidP="00AD534E">
      <w:pPr>
        <w:tabs>
          <w:tab w:val="left" w:pos="0"/>
        </w:tabs>
        <w:autoSpaceDE w:val="0"/>
        <w:autoSpaceDN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2507F">
        <w:rPr>
          <w:rFonts w:ascii="Times New Roman" w:hAnsi="Times New Roman" w:cs="Times New Roman"/>
          <w:color w:val="000000" w:themeColor="text1"/>
          <w:sz w:val="24"/>
          <w:szCs w:val="24"/>
        </w:rPr>
        <w:t>Сегерстром П. считает, что «создание новых товаров становится все сложнее из-за недостаточного обмена знаниями между различными отраслями производства товаров».</w:t>
      </w:r>
      <w:r w:rsidRPr="0092507F">
        <w:rPr>
          <w:rStyle w:val="a7"/>
          <w:rFonts w:ascii="Times New Roman" w:hAnsi="Times New Roman" w:cs="Times New Roman"/>
          <w:color w:val="000000" w:themeColor="text1"/>
          <w:sz w:val="24"/>
          <w:szCs w:val="24"/>
        </w:rPr>
        <w:footnoteReference w:id="4"/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Действительно обмена знаниями между различными отраслями и звеньями агропромышленного комплекса Таджикистана не происходит</w:t>
      </w:r>
      <w:r w:rsidR="003A09B7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в связи с ведомственной и организационной разобщенностью и нет вертикальных и горизонтальных межотраслевых связей в регионах и в кластерах.</w:t>
      </w:r>
    </w:p>
    <w:p w:rsidR="005847AB" w:rsidRPr="0092507F" w:rsidRDefault="005847AB" w:rsidP="00AD534E">
      <w:pPr>
        <w:tabs>
          <w:tab w:val="left" w:pos="28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</w:pP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 xml:space="preserve">По нашему мнению, существуют следующие проблемы развития инноваций в агропромышленном комплексе: принята основная законодательная база развития инновваций в АПК, но не предусмотрены правовые механизмы обеспечения государственной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финансовой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 xml:space="preserve">поддержки развития инноваций АПК. Хотя </w:t>
      </w:r>
      <w:r w:rsidR="00BC2A93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научно- патентный информационный центр (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НПИЦ</w:t>
      </w:r>
      <w:r w:rsidR="00BC2A93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)</w:t>
      </w:r>
      <w:r w:rsidRPr="0092507F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92507F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 xml:space="preserve">до 3-го квартала 2022 года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патенты на изобретения выдан</w:t>
      </w:r>
      <w:r w:rsidR="00BC2A93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ы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 xml:space="preserve"> в количестве 515, патент на промышленный образец 104, малый патент на изобретение 1315, но из-за высокого уровня стоимости услуг на оформление патентов НПИЦ и отсутствия государственно-частной поддержки, и в первую очередь финансовой, развитие инноваторов в АПК проблемно.  В настоящее время научно-производственная  база у инноваторов АПК Таджикистана отсутствует  и нет стимулов к инновационному развитию предприятий. Так плата за лизинговые услуги в банках и лизинговых компаниях находится на уровне 20% от объема финансирования. </w:t>
      </w:r>
    </w:p>
    <w:p w:rsidR="005847AB" w:rsidRPr="0092507F" w:rsidRDefault="005847AB" w:rsidP="00AD534E">
      <w:pPr>
        <w:tabs>
          <w:tab w:val="left" w:pos="28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</w:pP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 xml:space="preserve">Так в сфере АПК Таджикистана до 3 квартала 2022 года выдано всего 2 патента на изобретения: Иброгимов Х.И. (TJ); Зульфанов С.З. (TJ); Сафаров Ф.М. (TJ); Джураев О.О. (TJ); Нозиров Ф.К. (TJ) ТТУ Сушильный агрегат для хлопка-сырца с комбинированной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lastRenderedPageBreak/>
        <w:t>системой теплоснабжения №474 от 14.03.2008  и Зульфанов С.З. (TJ); Сафаров Ф.М. (TJ); Иброгимов Х.И. (TJ); Джураев О.О. (TJ); Ходжаев Д. (TJ) ТТУ Увлажнительная установка для хлопкового волокна № 475  от 14.03.2008 стоимостной оценки 50000 сомони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</w:rPr>
        <w:t>/комплект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 xml:space="preserve"> </w:t>
      </w:r>
      <w:r w:rsidRPr="0092507F">
        <w:rPr>
          <w:rStyle w:val="a7"/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footnoteReference w:id="5"/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 xml:space="preserve">   и малые патенты на изобретения выданы НПИЦ в количестве 45 единиц</w:t>
      </w:r>
      <w:r w:rsidRPr="0092507F">
        <w:rPr>
          <w:rStyle w:val="a7"/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footnoteReference w:id="6"/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, на которые по нашим расчетам, требуются как минимум 120 млн. сомони инвестиций для малого венчурного предпринимательства  и маркетинга продаж.  В настоящее время, ещё не созданы инвестиционные фонды развития ГЧП в сфере инноваций,  в центре и регионах, нет единой информационной системы ГЧП в сфере инноваций в АПК Таджикистана, не созданы институты развития ГЧП в сфере инноваций в АПК, не созданы государственные корпорации обеспечивающие финансирование и организационный механизм функционирования ГЧП в сфере инноваций, не созданы региональные центры развития инноваций и платформ поддержки проектов развития инноваций в АПК. Нет  в сельских регионах венчурных компаний, коммуникационных агентств в сфере инноваций, не созданы и не функционируют особые экономические зоны, индустриальные и агропромышленные технопарки и агропромышленные площадки, не применяются формы и модели ЧГП в сфере иннноваций АПК, концессии инновационного развития территорий – региональных кластеров, не активно участвуют общественные организации: ассоциации инноваторов аграрников, промышленников и предпринимателей, Торгово-промышленная палата по поддержке инноваторов,  отраслевые союзы и бизнес-ассоциации инноваторов. В стагнирующих сельских регионах НСР до 2030 года предусмотрено повысить в структуре производства до 19% объемы промышленного производства. В этой связи за счет стимулирования развития инновационных механизмов и использования инноваций в АПК эти показатели достижимы при достаточном финансировании в рамках ГЧП.</w:t>
      </w:r>
    </w:p>
    <w:p w:rsidR="005847AB" w:rsidRPr="0092507F" w:rsidRDefault="005847AB" w:rsidP="00AD534E">
      <w:pPr>
        <w:tabs>
          <w:tab w:val="left" w:pos="28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</w:pP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По нашему мнению переход от мультивалютной к поливалютной модели развития глобальной экономики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разработка и внедрение новой техники и технологии из-за доступности электронных ресурсов в интернете и современный уровень развития человеческого капитала неразвитых и развивающихся стран определяют необходимость и тенденцию к тотальному импортозамещению .</w:t>
      </w:r>
    </w:p>
    <w:p w:rsidR="005847AB" w:rsidRPr="0092507F" w:rsidRDefault="005847AB" w:rsidP="00AD534E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</w:pPr>
      <w:r w:rsidRPr="0092507F">
        <w:rPr>
          <w:rStyle w:val="jlqj4b"/>
          <w:rFonts w:ascii="Times New Roman" w:hAnsi="Times New Roman" w:cs="Times New Roman"/>
          <w:color w:val="000000" w:themeColor="text1"/>
          <w:sz w:val="24"/>
          <w:szCs w:val="24"/>
          <w:shd w:val="clear" w:color="auto" w:fill="F5F5F5"/>
          <w:lang w:val="tg-Cyrl-TJ"/>
        </w:rPr>
        <w:t>Предлагаем создать сеть региональных фонд</w:t>
      </w:r>
      <w:r w:rsidR="00FF28AC" w:rsidRPr="0092507F">
        <w:rPr>
          <w:rStyle w:val="jlqj4b"/>
          <w:rFonts w:ascii="Times New Roman" w:hAnsi="Times New Roman" w:cs="Times New Roman"/>
          <w:color w:val="000000" w:themeColor="text1"/>
          <w:sz w:val="24"/>
          <w:szCs w:val="24"/>
          <w:shd w:val="clear" w:color="auto" w:fill="F5F5F5"/>
          <w:lang w:val="tg-Cyrl-TJ"/>
        </w:rPr>
        <w:t>ов</w:t>
      </w:r>
      <w:r w:rsidRPr="0092507F">
        <w:rPr>
          <w:rStyle w:val="jlqj4b"/>
          <w:rFonts w:ascii="Times New Roman" w:hAnsi="Times New Roman" w:cs="Times New Roman"/>
          <w:color w:val="000000" w:themeColor="text1"/>
          <w:sz w:val="24"/>
          <w:szCs w:val="24"/>
          <w:shd w:val="clear" w:color="auto" w:fill="F5F5F5"/>
          <w:lang w:val="tg-Cyrl-TJ"/>
        </w:rPr>
        <w:t xml:space="preserve"> государственной поддержки проектов АПК, обеспечивающие возможность долговременного размещения инвестиций под государственные гарантии; предоставление возможности для развития инноваций и  </w:t>
      </w:r>
      <w:r w:rsidRPr="0092507F">
        <w:rPr>
          <w:rStyle w:val="jlqj4b"/>
          <w:rFonts w:ascii="Times New Roman" w:hAnsi="Times New Roman" w:cs="Times New Roman"/>
          <w:color w:val="000000" w:themeColor="text1"/>
          <w:sz w:val="24"/>
          <w:szCs w:val="24"/>
          <w:shd w:val="clear" w:color="auto" w:fill="F5F5F5"/>
          <w:lang w:val="tg-Cyrl-TJ"/>
        </w:rPr>
        <w:lastRenderedPageBreak/>
        <w:t>получение налоговых льгот и преференций на основе Моделей ЧГП: эксплуатационных моделей</w:t>
      </w:r>
      <w:r w:rsidRPr="0092507F">
        <w:rPr>
          <w:rFonts w:ascii="Times New Roman" w:eastAsia="Calibri" w:hAnsi="Times New Roman" w:cs="Times New Roman"/>
          <w:color w:val="000000" w:themeColor="text1"/>
          <w:sz w:val="24"/>
          <w:szCs w:val="24"/>
          <w:lang w:val="tg-Cyrl-TJ"/>
        </w:rPr>
        <w:t xml:space="preserve">, </w:t>
      </w:r>
      <w:r w:rsidRPr="0092507F">
        <w:rPr>
          <w:rStyle w:val="jlqj4b"/>
          <w:rFonts w:ascii="Times New Roman" w:hAnsi="Times New Roman" w:cs="Times New Roman"/>
          <w:color w:val="000000" w:themeColor="text1"/>
          <w:sz w:val="24"/>
          <w:szCs w:val="24"/>
          <w:shd w:val="clear" w:color="auto" w:fill="F5F5F5"/>
          <w:lang w:val="tg-Cyrl-TJ"/>
        </w:rPr>
        <w:t>моделей оператора, моделей лизинга</w:t>
      </w:r>
      <w:r w:rsidRPr="0092507F">
        <w:rPr>
          <w:rFonts w:ascii="Times New Roman" w:eastAsia="Calibri" w:hAnsi="Times New Roman" w:cs="Times New Roman"/>
          <w:color w:val="000000" w:themeColor="text1"/>
          <w:sz w:val="24"/>
          <w:szCs w:val="24"/>
          <w:lang w:val="tg-Cyrl-TJ"/>
        </w:rPr>
        <w:t xml:space="preserve">, </w:t>
      </w:r>
      <w:r w:rsidRPr="0092507F">
        <w:rPr>
          <w:rStyle w:val="jlqj4b"/>
          <w:rFonts w:ascii="Times New Roman" w:hAnsi="Times New Roman" w:cs="Times New Roman"/>
          <w:color w:val="000000" w:themeColor="text1"/>
          <w:sz w:val="24"/>
          <w:szCs w:val="24"/>
          <w:shd w:val="clear" w:color="auto" w:fill="F5F5F5"/>
          <w:lang w:val="tg-Cyrl-TJ"/>
        </w:rPr>
        <w:t xml:space="preserve">кооперационных моделей,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договорных моделей и концессионная моделей</w:t>
      </w:r>
    </w:p>
    <w:p w:rsidR="005847AB" w:rsidRPr="0092507F" w:rsidRDefault="005847AB" w:rsidP="00AD534E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</w:pP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В мире насчитывается около десятка различных типов концессий, однако пока в Таджикистане применяется только одна классическая форм</w:t>
      </w:r>
      <w:r w:rsidR="00FF28AC"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 xml:space="preserve">, 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а</w:t>
      </w:r>
      <w:r w:rsidR="00FF28AC"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 xml:space="preserve"> но в направлении развития инноваций в </w:t>
      </w:r>
      <w:r w:rsidR="00FF28AC" w:rsidRPr="0092507F">
        <w:rPr>
          <w:rFonts w:ascii="Times New Roman" w:hAnsi="Times New Roman" w:cs="Times New Roman"/>
          <w:color w:val="000000" w:themeColor="text1"/>
          <w:sz w:val="24"/>
          <w:szCs w:val="24"/>
        </w:rPr>
        <w:t>АПК отсутствуют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.</w:t>
      </w:r>
    </w:p>
    <w:p w:rsidR="005847AB" w:rsidRPr="0092507F" w:rsidRDefault="005847AB" w:rsidP="00AD534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tg-Cyrl-TJ" w:eastAsia="ru-RU"/>
        </w:rPr>
      </w:pP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Из общего числа завершенных, принятых и рекомендованных в производство научно-технических разработок в реальном секторе экономике, обслуживания и инноваций в АПК ежегодно остаются невостребованными до 70%. Менее 10% сельскохозяйственных предприятий внедряют технологические инновации, и ноу-хау и не более 25% предприятий АПК используют современные технологии</w:t>
      </w:r>
      <w:r w:rsidRPr="0092507F">
        <w:rPr>
          <w:rStyle w:val="a7"/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footnoteReference w:id="7"/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. </w:t>
      </w:r>
      <w:r w:rsidR="00FF28AC"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 xml:space="preserve"> Это связан с несовершенством организационного механизма и экономического стимулирования развития инноваций.</w:t>
      </w:r>
    </w:p>
    <w:p w:rsidR="005847AB" w:rsidRPr="0092507F" w:rsidRDefault="005847AB" w:rsidP="00AD534E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 xml:space="preserve">Рекомендуем подготовку технико-экономическое обоснование и бизнес-планирование в кластерах территориальных научно-производственных комплексах особых экономических зонах передать в введение исполнительных органов власти регионов и частных партнеров с привлечением консалтинговых фирм и научно-исследовательских институтов и ученых  специалистов. Так, например, в районе Носири Хусрав Хатлонской области нет ни одного промышленного предприятия и таких регионов в стране достаточно много. Рекомендуем в кластерах особых экономических зонах территориальных научно-производственных объединениях предприятия функционировать по упрощенной налоговой системе независимо от объема реализации и освободить от налога на имущество и подоходного налога. </w:t>
      </w:r>
      <w:r w:rsidR="0092507F"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Рекомендуем ш</w:t>
      </w:r>
      <w:r w:rsidRPr="0092507F">
        <w:rPr>
          <w:rFonts w:ascii="Times New Roman" w:hAnsi="Times New Roman" w:cs="Times New Roman"/>
          <w:color w:val="000000" w:themeColor="text1"/>
          <w:sz w:val="24"/>
          <w:szCs w:val="24"/>
          <w:lang w:val="tg-Cyrl-TJ"/>
        </w:rPr>
        <w:t>ире применять альтернативные методы финансирования реального сектора экономики и инноваций в кластерах.</w:t>
      </w:r>
    </w:p>
    <w:p w:rsidR="00251529" w:rsidRPr="0092507F" w:rsidRDefault="00EF4684" w:rsidP="00AD534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2507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Список использованной литературы</w:t>
      </w:r>
    </w:p>
    <w:p w:rsidR="00104D18" w:rsidRPr="0092507F" w:rsidRDefault="00251529" w:rsidP="00104D18">
      <w:pPr>
        <w:pStyle w:val="a5"/>
        <w:numPr>
          <w:ilvl w:val="0"/>
          <w:numId w:val="2"/>
        </w:numPr>
        <w:tabs>
          <w:tab w:val="left" w:pos="426"/>
        </w:tabs>
        <w:spacing w:line="360" w:lineRule="auto"/>
        <w:ind w:left="0" w:firstLine="0"/>
        <w:jc w:val="both"/>
        <w:rPr>
          <w:color w:val="000000" w:themeColor="text1"/>
          <w:sz w:val="24"/>
          <w:szCs w:val="24"/>
        </w:rPr>
      </w:pPr>
      <w:r w:rsidRPr="0092507F">
        <w:rPr>
          <w:color w:val="000000" w:themeColor="text1"/>
          <w:sz w:val="24"/>
          <w:szCs w:val="24"/>
        </w:rPr>
        <w:t>Кэмпбелл Р., Макконнелл Л., Стенли Л. Брю. Экономикс. М.: Республика, 1992.- Т.1.-С.37-38</w:t>
      </w:r>
    </w:p>
    <w:p w:rsidR="00251529" w:rsidRPr="0092507F" w:rsidRDefault="00251529" w:rsidP="00104D18">
      <w:pPr>
        <w:pStyle w:val="a5"/>
        <w:numPr>
          <w:ilvl w:val="0"/>
          <w:numId w:val="2"/>
        </w:numPr>
        <w:tabs>
          <w:tab w:val="left" w:pos="426"/>
        </w:tabs>
        <w:spacing w:line="360" w:lineRule="auto"/>
        <w:ind w:left="0" w:firstLine="0"/>
        <w:jc w:val="both"/>
        <w:rPr>
          <w:color w:val="000000" w:themeColor="text1"/>
          <w:sz w:val="24"/>
          <w:szCs w:val="24"/>
        </w:rPr>
      </w:pPr>
      <w:r w:rsidRPr="0092507F">
        <w:rPr>
          <w:color w:val="000000" w:themeColor="text1"/>
          <w:sz w:val="24"/>
          <w:szCs w:val="24"/>
        </w:rPr>
        <w:t>Яковлев В.М. Конструктивное предпринимательство - М.: ИПА ТРИЛ, 1999.-С.232.</w:t>
      </w:r>
    </w:p>
    <w:p w:rsidR="00251529" w:rsidRPr="0092507F" w:rsidRDefault="00251529" w:rsidP="00104D18">
      <w:pPr>
        <w:pStyle w:val="a5"/>
        <w:numPr>
          <w:ilvl w:val="0"/>
          <w:numId w:val="2"/>
        </w:numPr>
        <w:tabs>
          <w:tab w:val="left" w:pos="426"/>
        </w:tabs>
        <w:spacing w:line="360" w:lineRule="auto"/>
        <w:ind w:left="0" w:firstLine="0"/>
        <w:jc w:val="both"/>
        <w:rPr>
          <w:color w:val="000000" w:themeColor="text1"/>
          <w:sz w:val="24"/>
          <w:szCs w:val="24"/>
        </w:rPr>
      </w:pPr>
      <w:r w:rsidRPr="0092507F">
        <w:rPr>
          <w:color w:val="000000" w:themeColor="text1"/>
          <w:sz w:val="24"/>
          <w:szCs w:val="24"/>
          <w:shd w:val="clear" w:color="auto" w:fill="FFFFFF"/>
        </w:rPr>
        <w:t>Носова С.С. К вопросу о методологическом исследовании инновационной экономики / С.С. Носова. - Режим доступа: [URL: http://www. econ.msu.ru/cmt2/lib/a/l 158/ fil е/ _47.pdf]</w:t>
      </w:r>
    </w:p>
    <w:p w:rsidR="00251529" w:rsidRPr="0092507F" w:rsidRDefault="00251529" w:rsidP="00104D18">
      <w:pPr>
        <w:pStyle w:val="a5"/>
        <w:numPr>
          <w:ilvl w:val="0"/>
          <w:numId w:val="2"/>
        </w:numPr>
        <w:tabs>
          <w:tab w:val="left" w:pos="426"/>
        </w:tabs>
        <w:spacing w:line="360" w:lineRule="auto"/>
        <w:ind w:left="0" w:firstLine="0"/>
        <w:jc w:val="both"/>
        <w:rPr>
          <w:color w:val="000000" w:themeColor="text1"/>
          <w:sz w:val="24"/>
          <w:szCs w:val="24"/>
        </w:rPr>
      </w:pPr>
      <w:r w:rsidRPr="0092507F">
        <w:rPr>
          <w:color w:val="000000" w:themeColor="text1"/>
          <w:sz w:val="24"/>
          <w:szCs w:val="24"/>
          <w:lang w:val="en-US"/>
        </w:rPr>
        <w:lastRenderedPageBreak/>
        <w:t xml:space="preserve">Segerstrom P. Endogenous Growth without Scale Effects // American Economic Review. </w:t>
      </w:r>
      <w:r w:rsidRPr="0092507F">
        <w:rPr>
          <w:color w:val="000000" w:themeColor="text1"/>
          <w:sz w:val="24"/>
          <w:szCs w:val="24"/>
        </w:rPr>
        <w:t>1998 (</w:t>
      </w:r>
      <w:r w:rsidRPr="0092507F">
        <w:rPr>
          <w:color w:val="000000" w:themeColor="text1"/>
          <w:sz w:val="24"/>
          <w:szCs w:val="24"/>
          <w:lang w:val="en-US"/>
        </w:rPr>
        <w:t>Dec</w:t>
      </w:r>
      <w:r w:rsidRPr="0092507F">
        <w:rPr>
          <w:color w:val="000000" w:themeColor="text1"/>
          <w:sz w:val="24"/>
          <w:szCs w:val="24"/>
        </w:rPr>
        <w:t xml:space="preserve">.). № 88 (5). </w:t>
      </w:r>
      <w:r w:rsidRPr="0092507F">
        <w:rPr>
          <w:color w:val="000000" w:themeColor="text1"/>
          <w:sz w:val="24"/>
          <w:szCs w:val="24"/>
          <w:lang w:val="en-US"/>
        </w:rPr>
        <w:t>P</w:t>
      </w:r>
      <w:r w:rsidRPr="0092507F">
        <w:rPr>
          <w:color w:val="000000" w:themeColor="text1"/>
          <w:sz w:val="24"/>
          <w:szCs w:val="24"/>
        </w:rPr>
        <w:t>. 1290–1310.</w:t>
      </w:r>
    </w:p>
    <w:p w:rsidR="00251529" w:rsidRPr="0056264C" w:rsidRDefault="00251529" w:rsidP="00104D18">
      <w:pPr>
        <w:pStyle w:val="a5"/>
        <w:numPr>
          <w:ilvl w:val="0"/>
          <w:numId w:val="2"/>
        </w:numPr>
        <w:tabs>
          <w:tab w:val="left" w:pos="426"/>
        </w:tabs>
        <w:spacing w:line="360" w:lineRule="auto"/>
        <w:ind w:left="0" w:firstLine="0"/>
        <w:jc w:val="both"/>
        <w:rPr>
          <w:color w:val="000000" w:themeColor="text1"/>
          <w:sz w:val="24"/>
          <w:szCs w:val="24"/>
          <w:lang w:val="en-US"/>
        </w:rPr>
      </w:pPr>
      <w:r w:rsidRPr="0092507F">
        <w:rPr>
          <w:color w:val="000000" w:themeColor="text1"/>
          <w:sz w:val="24"/>
          <w:szCs w:val="24"/>
        </w:rPr>
        <w:t xml:space="preserve"> Патенты на изобретения Республики Таджикистан </w:t>
      </w:r>
      <w:r w:rsidR="0056264C" w:rsidRPr="003B615D">
        <w:rPr>
          <w:color w:val="000000" w:themeColor="text1"/>
          <w:sz w:val="28"/>
          <w:szCs w:val="28"/>
          <w:lang w:val="tg-Cyrl-TJ"/>
        </w:rPr>
        <w:t>.-</w:t>
      </w:r>
      <w:r w:rsidR="0056264C" w:rsidRPr="003B615D">
        <w:rPr>
          <w:color w:val="000000" w:themeColor="text1"/>
          <w:sz w:val="28"/>
          <w:szCs w:val="28"/>
          <w:shd w:val="clear" w:color="auto" w:fill="FFFFFF"/>
          <w:lang w:val="tg-Cyrl-TJ"/>
        </w:rPr>
        <w:t xml:space="preserve"> URL: </w:t>
      </w:r>
      <w:r w:rsidR="0056264C" w:rsidRPr="0056264C">
        <w:rPr>
          <w:color w:val="000000" w:themeColor="text1"/>
          <w:sz w:val="28"/>
          <w:szCs w:val="28"/>
          <w:lang w:val="en-US"/>
        </w:rPr>
        <w:t xml:space="preserve"> </w:t>
      </w:r>
      <w:r w:rsidRPr="0092507F">
        <w:rPr>
          <w:color w:val="000000" w:themeColor="text1"/>
          <w:sz w:val="24"/>
          <w:szCs w:val="24"/>
          <w:lang w:val="tg-Cyrl-TJ"/>
        </w:rPr>
        <w:t>http://kdpt.tj/ru/wp-content/uploads/2020/11/pstenti_izobretenie.pdf</w:t>
      </w:r>
    </w:p>
    <w:p w:rsidR="00251529" w:rsidRPr="0092507F" w:rsidRDefault="00251529" w:rsidP="00104D18">
      <w:pPr>
        <w:pStyle w:val="a5"/>
        <w:numPr>
          <w:ilvl w:val="0"/>
          <w:numId w:val="2"/>
        </w:numPr>
        <w:tabs>
          <w:tab w:val="left" w:pos="426"/>
        </w:tabs>
        <w:spacing w:line="360" w:lineRule="auto"/>
        <w:ind w:left="0" w:firstLine="0"/>
        <w:jc w:val="both"/>
        <w:rPr>
          <w:color w:val="000000" w:themeColor="text1"/>
          <w:sz w:val="24"/>
          <w:szCs w:val="24"/>
        </w:rPr>
      </w:pPr>
      <w:r w:rsidRPr="0056264C">
        <w:rPr>
          <w:color w:val="000000" w:themeColor="text1"/>
          <w:sz w:val="24"/>
          <w:szCs w:val="24"/>
          <w:lang w:val="en-US"/>
        </w:rPr>
        <w:t xml:space="preserve"> </w:t>
      </w:r>
      <w:r w:rsidRPr="0092507F">
        <w:rPr>
          <w:color w:val="000000" w:themeColor="text1"/>
          <w:sz w:val="24"/>
          <w:szCs w:val="24"/>
        </w:rPr>
        <w:t xml:space="preserve">Малые патенты Республики Таджикистан </w:t>
      </w:r>
      <w:r w:rsidRPr="0092507F">
        <w:rPr>
          <w:color w:val="000000" w:themeColor="text1"/>
          <w:sz w:val="24"/>
          <w:szCs w:val="24"/>
          <w:lang w:val="tg-Cyrl-TJ"/>
        </w:rPr>
        <w:t>.-</w:t>
      </w:r>
      <w:r w:rsidRPr="0092507F">
        <w:rPr>
          <w:color w:val="000000" w:themeColor="text1"/>
          <w:sz w:val="24"/>
          <w:szCs w:val="24"/>
          <w:shd w:val="clear" w:color="auto" w:fill="FFFFFF"/>
          <w:lang w:val="tg-Cyrl-TJ"/>
        </w:rPr>
        <w:t xml:space="preserve"> URL: </w:t>
      </w:r>
      <w:r w:rsidRPr="0092507F">
        <w:rPr>
          <w:color w:val="000000" w:themeColor="text1"/>
          <w:sz w:val="24"/>
          <w:szCs w:val="24"/>
        </w:rPr>
        <w:t xml:space="preserve"> </w:t>
      </w:r>
      <w:hyperlink r:id="rId7" w:history="1">
        <w:r w:rsidRPr="0092507F">
          <w:rPr>
            <w:rStyle w:val="a4"/>
            <w:color w:val="000000" w:themeColor="text1"/>
            <w:sz w:val="24"/>
            <w:szCs w:val="24"/>
            <w:lang w:val="tg-Cyrl-TJ"/>
          </w:rPr>
          <w:t>http://kdpt.tj/ru/wp-content/uploads/2020/11/maliepatentirt.pdf</w:t>
        </w:r>
      </w:hyperlink>
    </w:p>
    <w:p w:rsidR="00251529" w:rsidRPr="0092507F" w:rsidRDefault="00251529" w:rsidP="00104D18">
      <w:pPr>
        <w:pStyle w:val="a5"/>
        <w:numPr>
          <w:ilvl w:val="0"/>
          <w:numId w:val="2"/>
        </w:numPr>
        <w:tabs>
          <w:tab w:val="left" w:pos="426"/>
        </w:tabs>
        <w:spacing w:line="360" w:lineRule="auto"/>
        <w:ind w:left="0" w:firstLine="0"/>
        <w:jc w:val="both"/>
        <w:rPr>
          <w:color w:val="000000" w:themeColor="text1"/>
          <w:sz w:val="24"/>
          <w:szCs w:val="24"/>
        </w:rPr>
      </w:pPr>
      <w:r w:rsidRPr="0092507F">
        <w:rPr>
          <w:color w:val="000000" w:themeColor="text1"/>
          <w:sz w:val="24"/>
          <w:szCs w:val="24"/>
        </w:rPr>
        <w:t>Национальный инновационный интернет-портал .-URL: https://innovation.tj/ru/</w:t>
      </w:r>
    </w:p>
    <w:p w:rsidR="007706C4" w:rsidRPr="00104D18" w:rsidRDefault="00251529" w:rsidP="00104D18">
      <w:pPr>
        <w:pStyle w:val="a5"/>
        <w:numPr>
          <w:ilvl w:val="0"/>
          <w:numId w:val="2"/>
        </w:numPr>
        <w:tabs>
          <w:tab w:val="left" w:pos="426"/>
        </w:tabs>
        <w:spacing w:line="360" w:lineRule="auto"/>
        <w:ind w:left="0" w:firstLine="0"/>
        <w:jc w:val="both"/>
        <w:rPr>
          <w:color w:val="000000" w:themeColor="text1"/>
          <w:sz w:val="28"/>
          <w:szCs w:val="28"/>
        </w:rPr>
      </w:pPr>
      <w:r w:rsidRPr="0092507F">
        <w:rPr>
          <w:color w:val="000000" w:themeColor="text1"/>
          <w:sz w:val="24"/>
          <w:szCs w:val="24"/>
        </w:rPr>
        <w:t>Файзуллоев М.К. Перспективы инновационно - .технологического развития. Республики Таджикистан // Вестник Московского университета. Серия 6. Экономика.</w:t>
      </w:r>
      <w:r w:rsidRPr="00FF28AC">
        <w:rPr>
          <w:color w:val="000000" w:themeColor="text1"/>
          <w:sz w:val="24"/>
          <w:szCs w:val="24"/>
        </w:rPr>
        <w:t xml:space="preserve"> 2012. № 1.- С.57-64.-</w:t>
      </w:r>
      <w:r w:rsidRPr="00FF28AC">
        <w:rPr>
          <w:color w:val="000000" w:themeColor="text1"/>
          <w:sz w:val="24"/>
          <w:szCs w:val="24"/>
          <w:lang w:val="en-US"/>
        </w:rPr>
        <w:t>URL</w:t>
      </w:r>
      <w:r w:rsidRPr="00FF28AC">
        <w:rPr>
          <w:color w:val="000000" w:themeColor="text1"/>
          <w:sz w:val="24"/>
          <w:szCs w:val="24"/>
        </w:rPr>
        <w:t xml:space="preserve">: </w:t>
      </w:r>
      <w:r w:rsidRPr="00FF28AC">
        <w:rPr>
          <w:color w:val="000000" w:themeColor="text1"/>
          <w:sz w:val="24"/>
          <w:szCs w:val="24"/>
          <w:lang w:val="en-US"/>
        </w:rPr>
        <w:t>https</w:t>
      </w:r>
      <w:r w:rsidRPr="00FF28AC">
        <w:rPr>
          <w:color w:val="000000" w:themeColor="text1"/>
          <w:sz w:val="24"/>
          <w:szCs w:val="24"/>
        </w:rPr>
        <w:t>://</w:t>
      </w:r>
      <w:r w:rsidRPr="00FF28AC">
        <w:rPr>
          <w:color w:val="000000" w:themeColor="text1"/>
          <w:sz w:val="24"/>
          <w:szCs w:val="24"/>
          <w:lang w:val="en-US"/>
        </w:rPr>
        <w:t>cyberleninka</w:t>
      </w:r>
      <w:r w:rsidRPr="00FF28AC">
        <w:rPr>
          <w:color w:val="000000" w:themeColor="text1"/>
          <w:sz w:val="24"/>
          <w:szCs w:val="24"/>
        </w:rPr>
        <w:t>.</w:t>
      </w:r>
      <w:r w:rsidRPr="00FF28AC">
        <w:rPr>
          <w:color w:val="000000" w:themeColor="text1"/>
          <w:sz w:val="24"/>
          <w:szCs w:val="24"/>
          <w:lang w:val="en-US"/>
        </w:rPr>
        <w:t>ru</w:t>
      </w:r>
      <w:r w:rsidRPr="00FF28AC">
        <w:rPr>
          <w:color w:val="000000" w:themeColor="text1"/>
          <w:sz w:val="24"/>
          <w:szCs w:val="24"/>
        </w:rPr>
        <w:t>/</w:t>
      </w:r>
      <w:r w:rsidRPr="00FF28AC">
        <w:rPr>
          <w:color w:val="000000" w:themeColor="text1"/>
          <w:sz w:val="24"/>
          <w:szCs w:val="24"/>
          <w:lang w:val="en-US"/>
        </w:rPr>
        <w:t>article</w:t>
      </w:r>
      <w:r w:rsidRPr="00FF28AC">
        <w:rPr>
          <w:color w:val="000000" w:themeColor="text1"/>
          <w:sz w:val="24"/>
          <w:szCs w:val="24"/>
        </w:rPr>
        <w:t>/</w:t>
      </w:r>
      <w:r w:rsidRPr="00FF28AC">
        <w:rPr>
          <w:color w:val="000000" w:themeColor="text1"/>
          <w:sz w:val="24"/>
          <w:szCs w:val="24"/>
          <w:lang w:val="en-US"/>
        </w:rPr>
        <w:t>n</w:t>
      </w:r>
      <w:r w:rsidRPr="00FF28AC">
        <w:rPr>
          <w:color w:val="000000" w:themeColor="text1"/>
          <w:sz w:val="24"/>
          <w:szCs w:val="24"/>
        </w:rPr>
        <w:t>/</w:t>
      </w:r>
      <w:r w:rsidRPr="00FF28AC">
        <w:rPr>
          <w:color w:val="000000" w:themeColor="text1"/>
          <w:sz w:val="24"/>
          <w:szCs w:val="24"/>
          <w:lang w:val="en-US"/>
        </w:rPr>
        <w:t>perspektivy</w:t>
      </w:r>
      <w:r w:rsidRPr="00FF28AC">
        <w:rPr>
          <w:color w:val="000000" w:themeColor="text1"/>
          <w:sz w:val="24"/>
          <w:szCs w:val="24"/>
        </w:rPr>
        <w:t>-</w:t>
      </w:r>
      <w:r w:rsidRPr="00FF28AC">
        <w:rPr>
          <w:color w:val="000000" w:themeColor="text1"/>
          <w:sz w:val="24"/>
          <w:szCs w:val="24"/>
          <w:lang w:val="en-US"/>
        </w:rPr>
        <w:t>innovatsionno</w:t>
      </w:r>
      <w:r w:rsidRPr="00FF28AC">
        <w:rPr>
          <w:color w:val="000000" w:themeColor="text1"/>
          <w:sz w:val="24"/>
          <w:szCs w:val="24"/>
        </w:rPr>
        <w:t>-</w:t>
      </w:r>
      <w:r w:rsidRPr="00FF28AC">
        <w:rPr>
          <w:color w:val="000000" w:themeColor="text1"/>
          <w:sz w:val="24"/>
          <w:szCs w:val="24"/>
          <w:lang w:val="en-US"/>
        </w:rPr>
        <w:t>t</w:t>
      </w:r>
    </w:p>
    <w:sectPr w:rsidR="007706C4" w:rsidRPr="00104D18" w:rsidSect="007706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7A6A" w:rsidRDefault="00987A6A" w:rsidP="005847AB">
      <w:pPr>
        <w:spacing w:after="0" w:line="240" w:lineRule="auto"/>
      </w:pPr>
      <w:r>
        <w:separator/>
      </w:r>
    </w:p>
  </w:endnote>
  <w:endnote w:type="continuationSeparator" w:id="1">
    <w:p w:rsidR="00987A6A" w:rsidRDefault="00987A6A" w:rsidP="005847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 Tj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7A6A" w:rsidRDefault="00987A6A" w:rsidP="005847AB">
      <w:pPr>
        <w:spacing w:after="0" w:line="240" w:lineRule="auto"/>
      </w:pPr>
      <w:r>
        <w:separator/>
      </w:r>
    </w:p>
  </w:footnote>
  <w:footnote w:type="continuationSeparator" w:id="1">
    <w:p w:rsidR="00987A6A" w:rsidRDefault="00987A6A" w:rsidP="005847AB">
      <w:pPr>
        <w:spacing w:after="0" w:line="240" w:lineRule="auto"/>
      </w:pPr>
      <w:r>
        <w:continuationSeparator/>
      </w:r>
    </w:p>
  </w:footnote>
  <w:footnote w:id="2">
    <w:p w:rsidR="005847AB" w:rsidRPr="003B615D" w:rsidRDefault="005847AB" w:rsidP="005847AB">
      <w:pPr>
        <w:pStyle w:val="a5"/>
        <w:rPr>
          <w:color w:val="000000" w:themeColor="text1"/>
          <w:sz w:val="28"/>
          <w:szCs w:val="28"/>
        </w:rPr>
      </w:pPr>
      <w:r w:rsidRPr="003B615D">
        <w:rPr>
          <w:rStyle w:val="a7"/>
          <w:color w:val="000000" w:themeColor="text1"/>
          <w:sz w:val="28"/>
          <w:szCs w:val="28"/>
        </w:rPr>
        <w:footnoteRef/>
      </w:r>
      <w:r w:rsidRPr="003B615D">
        <w:rPr>
          <w:color w:val="000000" w:themeColor="text1"/>
          <w:sz w:val="28"/>
          <w:szCs w:val="28"/>
        </w:rPr>
        <w:t xml:space="preserve"> Кэмпбелл Р., Макконнелл Л., Стенли Л. Брю. Экономикс. М.: Республика, 1992.- Т.1.-С.37-38; Яковлев В.М. Конструктивное предпринимательство - М.: ИПА ТРИЛ, 1999.-С.232.</w:t>
      </w:r>
    </w:p>
  </w:footnote>
  <w:footnote w:id="3">
    <w:p w:rsidR="005847AB" w:rsidRPr="003B615D" w:rsidRDefault="005847AB" w:rsidP="005847AB">
      <w:pPr>
        <w:pStyle w:val="a5"/>
        <w:rPr>
          <w:color w:val="000000" w:themeColor="text1"/>
          <w:sz w:val="28"/>
          <w:szCs w:val="28"/>
        </w:rPr>
      </w:pPr>
      <w:r w:rsidRPr="003B615D">
        <w:rPr>
          <w:rStyle w:val="a7"/>
          <w:color w:val="000000" w:themeColor="text1"/>
          <w:sz w:val="28"/>
          <w:szCs w:val="28"/>
        </w:rPr>
        <w:footnoteRef/>
      </w:r>
      <w:r w:rsidRPr="003B615D">
        <w:rPr>
          <w:color w:val="000000" w:themeColor="text1"/>
          <w:sz w:val="28"/>
          <w:szCs w:val="28"/>
        </w:rPr>
        <w:t xml:space="preserve"> </w:t>
      </w:r>
      <w:r w:rsidRPr="003B615D">
        <w:rPr>
          <w:color w:val="000000" w:themeColor="text1"/>
          <w:sz w:val="28"/>
          <w:szCs w:val="28"/>
          <w:shd w:val="clear" w:color="auto" w:fill="FFFFFF"/>
        </w:rPr>
        <w:t>Носова С.С. К вопросу о методологическом исследовании инновационной экономики / С.С. Носова. - Режим доступа: [URL: http://www. econ.msu.ru/cmt2/lib/a/l 158/ fil е/ _47.pdf]</w:t>
      </w:r>
    </w:p>
  </w:footnote>
  <w:footnote w:id="4">
    <w:p w:rsidR="005847AB" w:rsidRPr="003B615D" w:rsidRDefault="005847AB" w:rsidP="005847AB">
      <w:pPr>
        <w:pStyle w:val="a5"/>
        <w:rPr>
          <w:color w:val="000000" w:themeColor="text1"/>
          <w:sz w:val="28"/>
          <w:szCs w:val="28"/>
        </w:rPr>
      </w:pPr>
      <w:r w:rsidRPr="003B615D">
        <w:rPr>
          <w:rStyle w:val="a7"/>
          <w:color w:val="000000" w:themeColor="text1"/>
          <w:sz w:val="28"/>
          <w:szCs w:val="28"/>
        </w:rPr>
        <w:footnoteRef/>
      </w:r>
      <w:r w:rsidRPr="003B615D">
        <w:rPr>
          <w:color w:val="000000" w:themeColor="text1"/>
          <w:sz w:val="28"/>
          <w:szCs w:val="28"/>
          <w:lang w:val="en-US"/>
        </w:rPr>
        <w:t xml:space="preserve"> Segerstrom P. Endogenous Growth without Scale Effects // American Economic Review. </w:t>
      </w:r>
      <w:r w:rsidRPr="003B615D">
        <w:rPr>
          <w:color w:val="000000" w:themeColor="text1"/>
          <w:sz w:val="28"/>
          <w:szCs w:val="28"/>
        </w:rPr>
        <w:t>1998 (</w:t>
      </w:r>
      <w:r w:rsidRPr="003B615D">
        <w:rPr>
          <w:color w:val="000000" w:themeColor="text1"/>
          <w:sz w:val="28"/>
          <w:szCs w:val="28"/>
          <w:lang w:val="en-US"/>
        </w:rPr>
        <w:t>Dec</w:t>
      </w:r>
      <w:r w:rsidRPr="003B615D">
        <w:rPr>
          <w:color w:val="000000" w:themeColor="text1"/>
          <w:sz w:val="28"/>
          <w:szCs w:val="28"/>
        </w:rPr>
        <w:t xml:space="preserve">.). № 88 (5). </w:t>
      </w:r>
      <w:r w:rsidRPr="003B615D">
        <w:rPr>
          <w:color w:val="000000" w:themeColor="text1"/>
          <w:sz w:val="28"/>
          <w:szCs w:val="28"/>
          <w:lang w:val="en-US"/>
        </w:rPr>
        <w:t>P</w:t>
      </w:r>
      <w:r w:rsidRPr="003B615D">
        <w:rPr>
          <w:color w:val="000000" w:themeColor="text1"/>
          <w:sz w:val="28"/>
          <w:szCs w:val="28"/>
        </w:rPr>
        <w:t>. 1290–1310.</w:t>
      </w:r>
    </w:p>
  </w:footnote>
  <w:footnote w:id="5">
    <w:p w:rsidR="005847AB" w:rsidRPr="0056264C" w:rsidRDefault="005847AB" w:rsidP="005847AB">
      <w:pPr>
        <w:pStyle w:val="a5"/>
        <w:rPr>
          <w:color w:val="000000" w:themeColor="text1"/>
          <w:sz w:val="28"/>
          <w:szCs w:val="28"/>
          <w:lang w:val="en-US"/>
        </w:rPr>
      </w:pPr>
      <w:r w:rsidRPr="003B615D">
        <w:rPr>
          <w:rStyle w:val="a7"/>
          <w:color w:val="000000" w:themeColor="text1"/>
          <w:sz w:val="28"/>
          <w:szCs w:val="28"/>
        </w:rPr>
        <w:footnoteRef/>
      </w:r>
      <w:r w:rsidRPr="003B615D">
        <w:rPr>
          <w:color w:val="000000" w:themeColor="text1"/>
          <w:sz w:val="28"/>
          <w:szCs w:val="28"/>
        </w:rPr>
        <w:t xml:space="preserve"> Патенты на изобретения Республики Таджикистан</w:t>
      </w:r>
      <w:r w:rsidR="0056264C" w:rsidRPr="003B615D">
        <w:rPr>
          <w:color w:val="000000" w:themeColor="text1"/>
          <w:sz w:val="28"/>
          <w:szCs w:val="28"/>
          <w:lang w:val="tg-Cyrl-TJ"/>
        </w:rPr>
        <w:t>.-</w:t>
      </w:r>
      <w:r w:rsidR="0056264C" w:rsidRPr="003B615D">
        <w:rPr>
          <w:color w:val="000000" w:themeColor="text1"/>
          <w:sz w:val="28"/>
          <w:szCs w:val="28"/>
          <w:shd w:val="clear" w:color="auto" w:fill="FFFFFF"/>
          <w:lang w:val="tg-Cyrl-TJ"/>
        </w:rPr>
        <w:t xml:space="preserve"> URL: </w:t>
      </w:r>
      <w:r w:rsidR="0056264C" w:rsidRPr="0056264C">
        <w:rPr>
          <w:color w:val="000000" w:themeColor="text1"/>
          <w:sz w:val="28"/>
          <w:szCs w:val="28"/>
          <w:lang w:val="en-US"/>
        </w:rPr>
        <w:t xml:space="preserve"> </w:t>
      </w:r>
      <w:r w:rsidRPr="0056264C">
        <w:rPr>
          <w:color w:val="000000" w:themeColor="text1"/>
          <w:sz w:val="28"/>
          <w:szCs w:val="28"/>
          <w:lang w:val="en-US"/>
        </w:rPr>
        <w:t xml:space="preserve"> </w:t>
      </w:r>
      <w:r w:rsidRPr="003B615D">
        <w:rPr>
          <w:color w:val="000000" w:themeColor="text1"/>
          <w:sz w:val="28"/>
          <w:szCs w:val="28"/>
          <w:lang w:val="tg-Cyrl-TJ"/>
        </w:rPr>
        <w:t>http://kdpt.tj/ru/wp-content/uploads/2020/11/pstenti_izobretenie.pdf</w:t>
      </w:r>
    </w:p>
  </w:footnote>
  <w:footnote w:id="6">
    <w:p w:rsidR="005847AB" w:rsidRPr="003B615D" w:rsidRDefault="005847AB" w:rsidP="005847AB">
      <w:pPr>
        <w:pStyle w:val="a5"/>
        <w:rPr>
          <w:color w:val="000000" w:themeColor="text1"/>
          <w:sz w:val="28"/>
          <w:szCs w:val="28"/>
        </w:rPr>
      </w:pPr>
      <w:r w:rsidRPr="003B615D">
        <w:rPr>
          <w:rStyle w:val="a7"/>
          <w:color w:val="000000" w:themeColor="text1"/>
          <w:sz w:val="28"/>
          <w:szCs w:val="28"/>
        </w:rPr>
        <w:footnoteRef/>
      </w:r>
      <w:r w:rsidRPr="003B615D">
        <w:rPr>
          <w:color w:val="000000" w:themeColor="text1"/>
          <w:sz w:val="28"/>
          <w:szCs w:val="28"/>
        </w:rPr>
        <w:t xml:space="preserve"> Малые патенты Республики Таджикистан </w:t>
      </w:r>
      <w:r w:rsidRPr="003B615D">
        <w:rPr>
          <w:color w:val="000000" w:themeColor="text1"/>
          <w:sz w:val="28"/>
          <w:szCs w:val="28"/>
          <w:lang w:val="tg-Cyrl-TJ"/>
        </w:rPr>
        <w:t>.-</w:t>
      </w:r>
      <w:r w:rsidRPr="003B615D">
        <w:rPr>
          <w:color w:val="000000" w:themeColor="text1"/>
          <w:sz w:val="28"/>
          <w:szCs w:val="28"/>
          <w:shd w:val="clear" w:color="auto" w:fill="FFFFFF"/>
          <w:lang w:val="tg-Cyrl-TJ"/>
        </w:rPr>
        <w:t xml:space="preserve"> URL: </w:t>
      </w:r>
      <w:r w:rsidRPr="003B615D">
        <w:rPr>
          <w:color w:val="000000" w:themeColor="text1"/>
          <w:sz w:val="28"/>
          <w:szCs w:val="28"/>
        </w:rPr>
        <w:t xml:space="preserve"> </w:t>
      </w:r>
      <w:hyperlink r:id="rId1" w:history="1">
        <w:r w:rsidRPr="003B615D">
          <w:rPr>
            <w:rStyle w:val="a4"/>
            <w:color w:val="000000" w:themeColor="text1"/>
            <w:sz w:val="28"/>
            <w:szCs w:val="28"/>
            <w:lang w:val="tg-Cyrl-TJ"/>
          </w:rPr>
          <w:t>http://kdpt.tj/ru/wp-content/uploads/2020/11/maliepatentirt.pdf</w:t>
        </w:r>
      </w:hyperlink>
    </w:p>
  </w:footnote>
  <w:footnote w:id="7">
    <w:p w:rsidR="005847AB" w:rsidRPr="0047503A" w:rsidRDefault="005847AB" w:rsidP="005847AB">
      <w:pPr>
        <w:pStyle w:val="a5"/>
        <w:jc w:val="both"/>
        <w:rPr>
          <w:color w:val="000000" w:themeColor="text1"/>
          <w:sz w:val="28"/>
          <w:szCs w:val="28"/>
          <w:lang w:val="en-US"/>
        </w:rPr>
      </w:pPr>
      <w:r w:rsidRPr="003B615D">
        <w:rPr>
          <w:rStyle w:val="a7"/>
          <w:color w:val="000000" w:themeColor="text1"/>
          <w:sz w:val="28"/>
          <w:szCs w:val="28"/>
        </w:rPr>
        <w:footnoteRef/>
      </w:r>
      <w:r w:rsidRPr="003B615D">
        <w:rPr>
          <w:color w:val="000000" w:themeColor="text1"/>
          <w:sz w:val="28"/>
          <w:szCs w:val="28"/>
        </w:rPr>
        <w:t xml:space="preserve"> Рассчитано автором по данным: Национальный инновационный интернет-портал .-URL: https://innovation.tj/ru/и М.К. Файзуллоев Перспективы инновационно - .технологического развития. Республики Таджикистан // Вестник Московского университета. Серия 6. Экономика. 2012. </w:t>
      </w:r>
      <w:r w:rsidRPr="0047503A">
        <w:rPr>
          <w:color w:val="000000" w:themeColor="text1"/>
          <w:sz w:val="28"/>
          <w:szCs w:val="28"/>
          <w:lang w:val="en-US"/>
        </w:rPr>
        <w:t xml:space="preserve">№ 1.- </w:t>
      </w:r>
      <w:r w:rsidRPr="003B615D">
        <w:rPr>
          <w:color w:val="000000" w:themeColor="text1"/>
          <w:sz w:val="28"/>
          <w:szCs w:val="28"/>
        </w:rPr>
        <w:t>С</w:t>
      </w:r>
      <w:r w:rsidRPr="0047503A">
        <w:rPr>
          <w:color w:val="000000" w:themeColor="text1"/>
          <w:sz w:val="28"/>
          <w:szCs w:val="28"/>
          <w:lang w:val="en-US"/>
        </w:rPr>
        <w:t>.57-64.-</w:t>
      </w:r>
      <w:r w:rsidRPr="003B615D">
        <w:rPr>
          <w:color w:val="000000" w:themeColor="text1"/>
          <w:sz w:val="28"/>
          <w:szCs w:val="28"/>
          <w:lang w:val="en-US"/>
        </w:rPr>
        <w:t>URL</w:t>
      </w:r>
      <w:r w:rsidRPr="0047503A">
        <w:rPr>
          <w:color w:val="000000" w:themeColor="text1"/>
          <w:sz w:val="28"/>
          <w:szCs w:val="28"/>
          <w:lang w:val="en-US"/>
        </w:rPr>
        <w:t xml:space="preserve">: </w:t>
      </w:r>
      <w:r w:rsidRPr="003B615D">
        <w:rPr>
          <w:color w:val="000000" w:themeColor="text1"/>
          <w:sz w:val="28"/>
          <w:szCs w:val="28"/>
          <w:lang w:val="en-US"/>
        </w:rPr>
        <w:t>https</w:t>
      </w:r>
      <w:r w:rsidRPr="0047503A">
        <w:rPr>
          <w:color w:val="000000" w:themeColor="text1"/>
          <w:sz w:val="28"/>
          <w:szCs w:val="28"/>
          <w:lang w:val="en-US"/>
        </w:rPr>
        <w:t>://</w:t>
      </w:r>
      <w:r w:rsidRPr="003B615D">
        <w:rPr>
          <w:color w:val="000000" w:themeColor="text1"/>
          <w:sz w:val="28"/>
          <w:szCs w:val="28"/>
          <w:lang w:val="en-US"/>
        </w:rPr>
        <w:t>cyberleninka</w:t>
      </w:r>
      <w:r w:rsidRPr="0047503A">
        <w:rPr>
          <w:color w:val="000000" w:themeColor="text1"/>
          <w:sz w:val="28"/>
          <w:szCs w:val="28"/>
          <w:lang w:val="en-US"/>
        </w:rPr>
        <w:t>.</w:t>
      </w:r>
      <w:r w:rsidRPr="003B615D">
        <w:rPr>
          <w:color w:val="000000" w:themeColor="text1"/>
          <w:sz w:val="28"/>
          <w:szCs w:val="28"/>
          <w:lang w:val="en-US"/>
        </w:rPr>
        <w:t>ru</w:t>
      </w:r>
      <w:r w:rsidRPr="0047503A">
        <w:rPr>
          <w:color w:val="000000" w:themeColor="text1"/>
          <w:sz w:val="28"/>
          <w:szCs w:val="28"/>
          <w:lang w:val="en-US"/>
        </w:rPr>
        <w:t>/</w:t>
      </w:r>
      <w:r w:rsidRPr="003B615D">
        <w:rPr>
          <w:color w:val="000000" w:themeColor="text1"/>
          <w:sz w:val="28"/>
          <w:szCs w:val="28"/>
          <w:lang w:val="en-US"/>
        </w:rPr>
        <w:t>article</w:t>
      </w:r>
      <w:r w:rsidRPr="0047503A">
        <w:rPr>
          <w:color w:val="000000" w:themeColor="text1"/>
          <w:sz w:val="28"/>
          <w:szCs w:val="28"/>
          <w:lang w:val="en-US"/>
        </w:rPr>
        <w:t>/</w:t>
      </w:r>
      <w:r w:rsidRPr="003B615D">
        <w:rPr>
          <w:color w:val="000000" w:themeColor="text1"/>
          <w:sz w:val="28"/>
          <w:szCs w:val="28"/>
          <w:lang w:val="en-US"/>
        </w:rPr>
        <w:t>n</w:t>
      </w:r>
      <w:r w:rsidRPr="0047503A">
        <w:rPr>
          <w:color w:val="000000" w:themeColor="text1"/>
          <w:sz w:val="28"/>
          <w:szCs w:val="28"/>
          <w:lang w:val="en-US"/>
        </w:rPr>
        <w:t>/</w:t>
      </w:r>
      <w:r w:rsidRPr="003B615D">
        <w:rPr>
          <w:color w:val="000000" w:themeColor="text1"/>
          <w:sz w:val="28"/>
          <w:szCs w:val="28"/>
          <w:lang w:val="en-US"/>
        </w:rPr>
        <w:t>perspektivy</w:t>
      </w:r>
      <w:r w:rsidRPr="0047503A">
        <w:rPr>
          <w:color w:val="000000" w:themeColor="text1"/>
          <w:sz w:val="28"/>
          <w:szCs w:val="28"/>
          <w:lang w:val="en-US"/>
        </w:rPr>
        <w:t>-</w:t>
      </w:r>
      <w:r w:rsidRPr="003B615D">
        <w:rPr>
          <w:color w:val="000000" w:themeColor="text1"/>
          <w:sz w:val="28"/>
          <w:szCs w:val="28"/>
          <w:lang w:val="en-US"/>
        </w:rPr>
        <w:t>innovatsionno</w:t>
      </w:r>
      <w:r w:rsidRPr="0047503A">
        <w:rPr>
          <w:color w:val="000000" w:themeColor="text1"/>
          <w:sz w:val="28"/>
          <w:szCs w:val="28"/>
          <w:lang w:val="en-US"/>
        </w:rPr>
        <w:t>-</w:t>
      </w:r>
      <w:r w:rsidRPr="003B615D">
        <w:rPr>
          <w:color w:val="000000" w:themeColor="text1"/>
          <w:sz w:val="28"/>
          <w:szCs w:val="28"/>
          <w:lang w:val="en-US"/>
        </w:rPr>
        <w:t>tehnologicheskogo</w:t>
      </w:r>
      <w:r w:rsidRPr="0047503A">
        <w:rPr>
          <w:color w:val="000000" w:themeColor="text1"/>
          <w:sz w:val="28"/>
          <w:szCs w:val="28"/>
          <w:lang w:val="en-US"/>
        </w:rPr>
        <w:t>-</w:t>
      </w:r>
      <w:r w:rsidRPr="003B615D">
        <w:rPr>
          <w:color w:val="000000" w:themeColor="text1"/>
          <w:sz w:val="28"/>
          <w:szCs w:val="28"/>
          <w:lang w:val="en-US"/>
        </w:rPr>
        <w:t>razvitiya</w:t>
      </w:r>
      <w:r w:rsidRPr="0047503A">
        <w:rPr>
          <w:color w:val="000000" w:themeColor="text1"/>
          <w:sz w:val="28"/>
          <w:szCs w:val="28"/>
          <w:lang w:val="en-US"/>
        </w:rPr>
        <w:t>-</w:t>
      </w:r>
      <w:r w:rsidRPr="003B615D">
        <w:rPr>
          <w:color w:val="000000" w:themeColor="text1"/>
          <w:sz w:val="28"/>
          <w:szCs w:val="28"/>
          <w:lang w:val="en-US"/>
        </w:rPr>
        <w:t>respubliki</w:t>
      </w:r>
      <w:r w:rsidRPr="0047503A">
        <w:rPr>
          <w:color w:val="000000" w:themeColor="text1"/>
          <w:sz w:val="28"/>
          <w:szCs w:val="28"/>
          <w:lang w:val="en-US"/>
        </w:rPr>
        <w:t>-</w:t>
      </w:r>
      <w:r w:rsidRPr="003B615D">
        <w:rPr>
          <w:color w:val="000000" w:themeColor="text1"/>
          <w:sz w:val="28"/>
          <w:szCs w:val="28"/>
          <w:lang w:val="en-US"/>
        </w:rPr>
        <w:t>tadzhikistan</w:t>
      </w:r>
      <w:r w:rsidRPr="0047503A">
        <w:rPr>
          <w:color w:val="000000" w:themeColor="text1"/>
          <w:sz w:val="28"/>
          <w:szCs w:val="28"/>
          <w:lang w:val="en-US"/>
        </w:rPr>
        <w:t>/</w:t>
      </w:r>
      <w:r w:rsidRPr="003B615D">
        <w:rPr>
          <w:color w:val="000000" w:themeColor="text1"/>
          <w:sz w:val="28"/>
          <w:szCs w:val="28"/>
          <w:lang w:val="en-US"/>
        </w:rPr>
        <w:t>pdf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A5E64"/>
    <w:multiLevelType w:val="hybridMultilevel"/>
    <w:tmpl w:val="FDA079E8"/>
    <w:lvl w:ilvl="0" w:tplc="A5B6C42A">
      <w:start w:val="1"/>
      <w:numFmt w:val="decimal"/>
      <w:lvlText w:val="%1."/>
      <w:lvlJc w:val="left"/>
      <w:pPr>
        <w:ind w:left="709" w:hanging="360"/>
      </w:pPr>
      <w:rPr>
        <w:rFonts w:ascii="Times New Roman Tj" w:hAnsi="Times New Roman Tj" w:hint="default"/>
      </w:rPr>
    </w:lvl>
    <w:lvl w:ilvl="1" w:tplc="04190019" w:tentative="1">
      <w:start w:val="1"/>
      <w:numFmt w:val="lowerLetter"/>
      <w:lvlText w:val="%2."/>
      <w:lvlJc w:val="left"/>
      <w:pPr>
        <w:ind w:left="1429" w:hanging="360"/>
      </w:pPr>
    </w:lvl>
    <w:lvl w:ilvl="2" w:tplc="0419001B" w:tentative="1">
      <w:start w:val="1"/>
      <w:numFmt w:val="lowerRoman"/>
      <w:lvlText w:val="%3."/>
      <w:lvlJc w:val="right"/>
      <w:pPr>
        <w:ind w:left="2149" w:hanging="180"/>
      </w:pPr>
    </w:lvl>
    <w:lvl w:ilvl="3" w:tplc="0419000F" w:tentative="1">
      <w:start w:val="1"/>
      <w:numFmt w:val="decimal"/>
      <w:lvlText w:val="%4."/>
      <w:lvlJc w:val="left"/>
      <w:pPr>
        <w:ind w:left="2869" w:hanging="360"/>
      </w:pPr>
    </w:lvl>
    <w:lvl w:ilvl="4" w:tplc="04190019" w:tentative="1">
      <w:start w:val="1"/>
      <w:numFmt w:val="lowerLetter"/>
      <w:lvlText w:val="%5."/>
      <w:lvlJc w:val="left"/>
      <w:pPr>
        <w:ind w:left="3589" w:hanging="360"/>
      </w:pPr>
    </w:lvl>
    <w:lvl w:ilvl="5" w:tplc="0419001B" w:tentative="1">
      <w:start w:val="1"/>
      <w:numFmt w:val="lowerRoman"/>
      <w:lvlText w:val="%6."/>
      <w:lvlJc w:val="right"/>
      <w:pPr>
        <w:ind w:left="4309" w:hanging="180"/>
      </w:pPr>
    </w:lvl>
    <w:lvl w:ilvl="6" w:tplc="0419000F" w:tentative="1">
      <w:start w:val="1"/>
      <w:numFmt w:val="decimal"/>
      <w:lvlText w:val="%7."/>
      <w:lvlJc w:val="left"/>
      <w:pPr>
        <w:ind w:left="5029" w:hanging="360"/>
      </w:pPr>
    </w:lvl>
    <w:lvl w:ilvl="7" w:tplc="04190019" w:tentative="1">
      <w:start w:val="1"/>
      <w:numFmt w:val="lowerLetter"/>
      <w:lvlText w:val="%8."/>
      <w:lvlJc w:val="left"/>
      <w:pPr>
        <w:ind w:left="5749" w:hanging="360"/>
      </w:pPr>
    </w:lvl>
    <w:lvl w:ilvl="8" w:tplc="0419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1">
    <w:nsid w:val="4B3F005C"/>
    <w:multiLevelType w:val="hybridMultilevel"/>
    <w:tmpl w:val="173224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847AB"/>
    <w:rsid w:val="00104D18"/>
    <w:rsid w:val="00251529"/>
    <w:rsid w:val="002B4D19"/>
    <w:rsid w:val="00302824"/>
    <w:rsid w:val="003129C9"/>
    <w:rsid w:val="003A09B7"/>
    <w:rsid w:val="003B615D"/>
    <w:rsid w:val="003E5397"/>
    <w:rsid w:val="0047503A"/>
    <w:rsid w:val="00554951"/>
    <w:rsid w:val="0056264C"/>
    <w:rsid w:val="005847AB"/>
    <w:rsid w:val="006836CA"/>
    <w:rsid w:val="006C367C"/>
    <w:rsid w:val="007706C4"/>
    <w:rsid w:val="0092507F"/>
    <w:rsid w:val="00987A6A"/>
    <w:rsid w:val="00AD534E"/>
    <w:rsid w:val="00BC2A93"/>
    <w:rsid w:val="00C11F50"/>
    <w:rsid w:val="00D5583D"/>
    <w:rsid w:val="00EF100B"/>
    <w:rsid w:val="00EF4684"/>
    <w:rsid w:val="00FF28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47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lqj4b">
    <w:name w:val="jlqj4b"/>
    <w:basedOn w:val="a0"/>
    <w:rsid w:val="005847AB"/>
  </w:style>
  <w:style w:type="paragraph" w:styleId="a3">
    <w:name w:val="List Paragraph"/>
    <w:basedOn w:val="a"/>
    <w:uiPriority w:val="34"/>
    <w:qFormat/>
    <w:rsid w:val="005847AB"/>
    <w:pPr>
      <w:ind w:left="720"/>
      <w:contextualSpacing/>
    </w:pPr>
    <w:rPr>
      <w:rFonts w:ascii="Calibri" w:eastAsia="Calibri" w:hAnsi="Calibri" w:cs="Times New Roman"/>
    </w:rPr>
  </w:style>
  <w:style w:type="character" w:styleId="a4">
    <w:name w:val="Hyperlink"/>
    <w:basedOn w:val="a0"/>
    <w:uiPriority w:val="99"/>
    <w:unhideWhenUsed/>
    <w:rsid w:val="005847AB"/>
    <w:rPr>
      <w:color w:val="0000FF"/>
      <w:u w:val="single"/>
    </w:rPr>
  </w:style>
  <w:style w:type="paragraph" w:styleId="a5">
    <w:name w:val="footnote text"/>
    <w:aliases w:val="Текст сноски Знак1 Знак,Текст сноски Знак Знак Знак,Footnote Text Char Знак Знак,Footnote Text Char Знак,Текст сноски-FN,Oaeno niinee-FN,Oaeno niinee Ciae,Table_Footnote_last,Текст сноски Знак2,Текст сноски Знак Знак1,ft,Footnote Text2,ft2"/>
    <w:basedOn w:val="a"/>
    <w:link w:val="a6"/>
    <w:rsid w:val="005847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6">
    <w:name w:val="Текст сноски Знак"/>
    <w:aliases w:val="Текст сноски Знак1 Знак Знак,Текст сноски Знак Знак Знак Знак,Footnote Text Char Знак Знак Знак,Footnote Text Char Знак Знак1,Текст сноски-FN Знак,Oaeno niinee-FN Знак,Oaeno niinee Ciae Знак,Table_Footnote_last Знак,ft Знак,ft2 Знак"/>
    <w:basedOn w:val="a0"/>
    <w:link w:val="a5"/>
    <w:rsid w:val="005847AB"/>
    <w:rPr>
      <w:rFonts w:ascii="Times New Roman" w:eastAsia="Times New Roman" w:hAnsi="Times New Roman" w:cs="Times New Roman"/>
      <w:sz w:val="20"/>
      <w:szCs w:val="20"/>
    </w:rPr>
  </w:style>
  <w:style w:type="character" w:styleId="a7">
    <w:name w:val="footnote reference"/>
    <w:aliases w:val="Знак сноски 1,Ciae niinee 1,Знак сноски-FN,Ciae niinee-FN,ftref"/>
    <w:basedOn w:val="a0"/>
    <w:rsid w:val="005847AB"/>
    <w:rPr>
      <w:vertAlign w:val="superscript"/>
    </w:rPr>
  </w:style>
  <w:style w:type="character" w:customStyle="1" w:styleId="rynqvb">
    <w:name w:val="rynqvb"/>
    <w:basedOn w:val="a0"/>
    <w:rsid w:val="006836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kdpt.tj/ru/wp-content/uploads/2020/11/maliepatentirt.pdf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kdpt.tj/ru/wp-content/uploads/2020/11/maliepatentirt.pdf%2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5</Pages>
  <Words>1476</Words>
  <Characters>8414</Characters>
  <Application>Microsoft Office Word</Application>
  <DocSecurity>0</DocSecurity>
  <Lines>70</Lines>
  <Paragraphs>19</Paragraphs>
  <ScaleCrop>false</ScaleCrop>
  <Company/>
  <LinksUpToDate>false</LinksUpToDate>
  <CharactersWithSpaces>9871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www</dc:creator>
  <cp:lastModifiedBy>www</cp:lastModifiedBy>
  <cp:revision>21</cp:revision>
  <dcterms:created xsi:type="dcterms:W3CDTF">2023-05-06T18:41:00Z</dcterms:created>
  <dcterms:modified xsi:type="dcterms:W3CDTF">2023-05-08T06:48:00Z</dcterms:modified>
</cp:coreProperties>
</file>