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288F49A" w14:textId="33CA1E49" w:rsidR="0027723E" w:rsidRPr="00F314C0" w:rsidRDefault="0027723E" w:rsidP="00D614D9">
      <w:pPr>
        <w:pStyle w:val="a3"/>
        <w:spacing w:after="0" w:line="360" w:lineRule="auto"/>
        <w:ind w:left="0" w:firstLine="709"/>
        <w:contextualSpacing w:val="0"/>
        <w:jc w:val="both"/>
        <w:rPr>
          <w:rFonts w:ascii="Times New Roman" w:hAnsi="Times New Roman" w:cs="Times New Roman"/>
          <w:b/>
          <w:bCs/>
          <w:sz w:val="24"/>
          <w:szCs w:val="24"/>
        </w:rPr>
      </w:pPr>
      <w:r w:rsidRPr="00F314C0">
        <w:rPr>
          <w:rFonts w:ascii="Times New Roman" w:hAnsi="Times New Roman" w:cs="Times New Roman"/>
          <w:b/>
          <w:bCs/>
          <w:sz w:val="24"/>
          <w:szCs w:val="24"/>
        </w:rPr>
        <w:t>Индекс УДК</w:t>
      </w:r>
      <w:r w:rsidR="00F314C0" w:rsidRPr="00F314C0">
        <w:rPr>
          <w:rFonts w:ascii="Times New Roman" w:hAnsi="Times New Roman" w:cs="Times New Roman"/>
          <w:b/>
          <w:bCs/>
          <w:sz w:val="24"/>
          <w:szCs w:val="24"/>
        </w:rPr>
        <w:t xml:space="preserve"> 314</w:t>
      </w:r>
      <w:r w:rsidRPr="00F314C0">
        <w:rPr>
          <w:rFonts w:ascii="Times New Roman" w:hAnsi="Times New Roman" w:cs="Times New Roman"/>
          <w:b/>
          <w:bCs/>
          <w:sz w:val="24"/>
          <w:szCs w:val="24"/>
        </w:rPr>
        <w:t>/ББК</w:t>
      </w:r>
      <w:r w:rsidR="00F314C0" w:rsidRPr="00F314C0">
        <w:rPr>
          <w:rFonts w:ascii="Times New Roman" w:hAnsi="Times New Roman" w:cs="Times New Roman"/>
          <w:b/>
          <w:bCs/>
          <w:sz w:val="24"/>
          <w:szCs w:val="24"/>
        </w:rPr>
        <w:t xml:space="preserve"> </w:t>
      </w:r>
      <w:r w:rsidR="00E60A0A">
        <w:rPr>
          <w:rFonts w:ascii="Times New Roman" w:hAnsi="Times New Roman" w:cs="Times New Roman"/>
          <w:b/>
          <w:bCs/>
          <w:sz w:val="24"/>
          <w:szCs w:val="24"/>
        </w:rPr>
        <w:t>60</w:t>
      </w:r>
    </w:p>
    <w:p w14:paraId="31C47AEC" w14:textId="28F42342" w:rsidR="0027723E" w:rsidRPr="00F314C0" w:rsidRDefault="0027723E" w:rsidP="00D614D9">
      <w:pPr>
        <w:pStyle w:val="a3"/>
        <w:spacing w:after="0" w:line="360" w:lineRule="auto"/>
        <w:ind w:left="0" w:firstLine="709"/>
        <w:contextualSpacing w:val="0"/>
        <w:jc w:val="right"/>
        <w:rPr>
          <w:rFonts w:ascii="Times New Roman" w:hAnsi="Times New Roman" w:cs="Times New Roman"/>
          <w:b/>
          <w:bCs/>
          <w:sz w:val="24"/>
          <w:szCs w:val="24"/>
        </w:rPr>
      </w:pPr>
      <w:r w:rsidRPr="00F314C0">
        <w:rPr>
          <w:rFonts w:ascii="Times New Roman" w:hAnsi="Times New Roman" w:cs="Times New Roman"/>
          <w:b/>
          <w:bCs/>
          <w:sz w:val="24"/>
          <w:szCs w:val="24"/>
        </w:rPr>
        <w:t>Колесов А. А.</w:t>
      </w:r>
    </w:p>
    <w:p w14:paraId="38F96AED" w14:textId="2EC0F820" w:rsidR="0027723E" w:rsidRPr="00F314C0" w:rsidRDefault="00F314C0" w:rsidP="00D614D9">
      <w:pPr>
        <w:pStyle w:val="a3"/>
        <w:spacing w:after="0" w:line="360" w:lineRule="auto"/>
        <w:ind w:left="0" w:firstLine="709"/>
        <w:contextualSpacing w:val="0"/>
        <w:jc w:val="center"/>
        <w:rPr>
          <w:rFonts w:ascii="Times New Roman" w:hAnsi="Times New Roman" w:cs="Times New Roman"/>
          <w:b/>
          <w:bCs/>
          <w:caps/>
          <w:sz w:val="24"/>
          <w:szCs w:val="24"/>
        </w:rPr>
      </w:pPr>
      <w:r w:rsidRPr="00F314C0">
        <w:rPr>
          <w:rFonts w:ascii="Times New Roman" w:hAnsi="Times New Roman" w:cs="Times New Roman"/>
          <w:b/>
          <w:bCs/>
          <w:caps/>
          <w:sz w:val="24"/>
          <w:szCs w:val="24"/>
        </w:rPr>
        <w:t>Методические основы анализа преждевременной смертности населения и оценки экономического ущерба от демографических потерь</w:t>
      </w:r>
    </w:p>
    <w:p w14:paraId="21B881B4" w14:textId="77777777" w:rsidR="0027723E" w:rsidRDefault="0027723E" w:rsidP="00D614D9">
      <w:pPr>
        <w:pStyle w:val="a3"/>
        <w:spacing w:after="0" w:line="360" w:lineRule="auto"/>
        <w:ind w:left="0" w:firstLine="709"/>
        <w:contextualSpacing w:val="0"/>
        <w:jc w:val="both"/>
        <w:rPr>
          <w:rFonts w:ascii="Times New Roman" w:hAnsi="Times New Roman" w:cs="Times New Roman"/>
          <w:sz w:val="28"/>
          <w:szCs w:val="28"/>
        </w:rPr>
      </w:pPr>
    </w:p>
    <w:p w14:paraId="2BFA4DAA" w14:textId="79E0126E" w:rsidR="00F314C0" w:rsidRPr="00E04C4E" w:rsidRDefault="00F314C0" w:rsidP="00D614D9">
      <w:pPr>
        <w:pStyle w:val="a3"/>
        <w:spacing w:after="0" w:line="240" w:lineRule="auto"/>
        <w:ind w:left="0" w:firstLine="709"/>
        <w:contextualSpacing w:val="0"/>
        <w:jc w:val="both"/>
        <w:rPr>
          <w:rFonts w:ascii="Times New Roman" w:hAnsi="Times New Roman" w:cs="Times New Roman"/>
          <w:sz w:val="24"/>
          <w:szCs w:val="24"/>
        </w:rPr>
      </w:pPr>
      <w:r w:rsidRPr="00E04C4E">
        <w:rPr>
          <w:rFonts w:ascii="Times New Roman" w:hAnsi="Times New Roman" w:cs="Times New Roman"/>
          <w:b/>
          <w:bCs/>
          <w:sz w:val="24"/>
          <w:szCs w:val="24"/>
        </w:rPr>
        <w:t>Аннотация.</w:t>
      </w:r>
      <w:r w:rsidR="00E04C4E" w:rsidRPr="00E04C4E">
        <w:rPr>
          <w:rFonts w:ascii="Times New Roman" w:hAnsi="Times New Roman" w:cs="Times New Roman"/>
          <w:sz w:val="24"/>
          <w:szCs w:val="24"/>
        </w:rPr>
        <w:t xml:space="preserve"> </w:t>
      </w:r>
      <w:r w:rsidR="00AF55D0">
        <w:rPr>
          <w:rFonts w:ascii="Times New Roman" w:hAnsi="Times New Roman" w:cs="Times New Roman"/>
          <w:i/>
          <w:iCs/>
          <w:sz w:val="24"/>
          <w:szCs w:val="24"/>
        </w:rPr>
        <w:t xml:space="preserve">В статье </w:t>
      </w:r>
      <w:r w:rsidR="00B51CA8">
        <w:rPr>
          <w:rFonts w:ascii="Times New Roman" w:hAnsi="Times New Roman" w:cs="Times New Roman"/>
          <w:i/>
          <w:iCs/>
          <w:sz w:val="24"/>
          <w:szCs w:val="24"/>
        </w:rPr>
        <w:t>рассматриваются</w:t>
      </w:r>
      <w:r w:rsidR="00AF55D0">
        <w:rPr>
          <w:rFonts w:ascii="Times New Roman" w:hAnsi="Times New Roman" w:cs="Times New Roman"/>
          <w:i/>
          <w:iCs/>
          <w:sz w:val="24"/>
          <w:szCs w:val="24"/>
        </w:rPr>
        <w:t xml:space="preserve"> методы, применяемые для анализа смертности, преждевременной смертности и оценки экономического ущерба. Приведены примеры расчёта данных показателей с их результатами. В заключение отмечено, что данные методы необходимы для понимания значимости проблемы и её решения.</w:t>
      </w:r>
    </w:p>
    <w:p w14:paraId="5843BAA4" w14:textId="1635B9B8" w:rsidR="00E04C4E" w:rsidRPr="002F0BB0" w:rsidRDefault="00E04C4E" w:rsidP="00D614D9">
      <w:pPr>
        <w:pStyle w:val="a3"/>
        <w:spacing w:after="0" w:line="240" w:lineRule="auto"/>
        <w:ind w:left="0" w:firstLine="709"/>
        <w:contextualSpacing w:val="0"/>
        <w:jc w:val="both"/>
        <w:rPr>
          <w:rFonts w:ascii="Times New Roman" w:hAnsi="Times New Roman" w:cs="Times New Roman"/>
          <w:i/>
          <w:iCs/>
          <w:sz w:val="28"/>
          <w:szCs w:val="28"/>
        </w:rPr>
      </w:pPr>
      <w:r w:rsidRPr="00E04C4E">
        <w:rPr>
          <w:rFonts w:ascii="Times New Roman" w:hAnsi="Times New Roman" w:cs="Times New Roman"/>
          <w:b/>
          <w:bCs/>
          <w:sz w:val="24"/>
          <w:szCs w:val="24"/>
        </w:rPr>
        <w:t>Ключевые слова:</w:t>
      </w:r>
      <w:r w:rsidRPr="00E04C4E">
        <w:rPr>
          <w:rFonts w:ascii="Times New Roman" w:hAnsi="Times New Roman" w:cs="Times New Roman"/>
          <w:sz w:val="24"/>
          <w:szCs w:val="24"/>
        </w:rPr>
        <w:t xml:space="preserve"> </w:t>
      </w:r>
      <w:r w:rsidR="002F0BB0" w:rsidRPr="002F0BB0">
        <w:rPr>
          <w:rFonts w:ascii="Times New Roman" w:hAnsi="Times New Roman" w:cs="Times New Roman"/>
          <w:i/>
          <w:iCs/>
          <w:sz w:val="24"/>
          <w:szCs w:val="24"/>
        </w:rPr>
        <w:t>демографические показатели, преждевременная смертность, оценка, методика</w:t>
      </w:r>
    </w:p>
    <w:p w14:paraId="4A66B5AD" w14:textId="77777777" w:rsidR="00E04C4E" w:rsidRDefault="00E04C4E" w:rsidP="00D614D9">
      <w:pPr>
        <w:pStyle w:val="a3"/>
        <w:spacing w:after="0" w:line="360" w:lineRule="auto"/>
        <w:ind w:left="0" w:firstLine="709"/>
        <w:contextualSpacing w:val="0"/>
        <w:jc w:val="both"/>
        <w:rPr>
          <w:rFonts w:ascii="Times New Roman" w:hAnsi="Times New Roman" w:cs="Times New Roman"/>
          <w:sz w:val="28"/>
          <w:szCs w:val="28"/>
        </w:rPr>
      </w:pPr>
    </w:p>
    <w:p w14:paraId="4681DC02" w14:textId="70E56901" w:rsidR="00444497" w:rsidRPr="00E60A0A" w:rsidRDefault="00444497" w:rsidP="00D614D9">
      <w:pPr>
        <w:pStyle w:val="a3"/>
        <w:spacing w:after="0" w:line="240" w:lineRule="auto"/>
        <w:ind w:left="0" w:firstLine="709"/>
        <w:contextualSpacing w:val="0"/>
        <w:jc w:val="both"/>
        <w:rPr>
          <w:rFonts w:ascii="Times New Roman" w:hAnsi="Times New Roman" w:cs="Times New Roman"/>
          <w:sz w:val="24"/>
          <w:szCs w:val="24"/>
        </w:rPr>
      </w:pPr>
      <w:r w:rsidRPr="00E60A0A">
        <w:rPr>
          <w:rFonts w:ascii="Times New Roman" w:hAnsi="Times New Roman" w:cs="Times New Roman"/>
          <w:sz w:val="24"/>
          <w:szCs w:val="24"/>
        </w:rPr>
        <w:t>В России в настоящее время проводится активная демографическая политика, нацеленная на улучшение здоровья и снижение смертности населения. Для выявления приоритетных мер и направлений, оценки экономических и социальных угроз применяются различные показатели и методики расчёта. Одной из демографических угроз является преждевременная смертность, наносящая социально-демографический и экономический ущерб развития территорий. Оценка экономического ущерба</w:t>
      </w:r>
      <w:r w:rsidR="00737E93" w:rsidRPr="00E60A0A">
        <w:rPr>
          <w:rFonts w:ascii="Times New Roman" w:hAnsi="Times New Roman" w:cs="Times New Roman"/>
          <w:sz w:val="24"/>
          <w:szCs w:val="24"/>
        </w:rPr>
        <w:t xml:space="preserve"> от неё</w:t>
      </w:r>
      <w:r w:rsidRPr="00E60A0A">
        <w:rPr>
          <w:rFonts w:ascii="Times New Roman" w:hAnsi="Times New Roman" w:cs="Times New Roman"/>
          <w:sz w:val="24"/>
          <w:szCs w:val="24"/>
        </w:rPr>
        <w:t xml:space="preserve"> актуальна из-за наличия информационной базы, позволяющей</w:t>
      </w:r>
      <w:r w:rsidR="00737E93" w:rsidRPr="00E60A0A">
        <w:rPr>
          <w:rFonts w:ascii="Times New Roman" w:hAnsi="Times New Roman" w:cs="Times New Roman"/>
          <w:sz w:val="24"/>
          <w:szCs w:val="24"/>
        </w:rPr>
        <w:t xml:space="preserve"> подсчитать и проанализировать потери.</w:t>
      </w:r>
    </w:p>
    <w:p w14:paraId="46CA26F8" w14:textId="53C1DBAB" w:rsidR="00E74FAA" w:rsidRDefault="00E74FAA" w:rsidP="00D614D9">
      <w:pPr>
        <w:pStyle w:val="a3"/>
        <w:spacing w:after="0" w:line="240" w:lineRule="auto"/>
        <w:ind w:left="0" w:firstLine="709"/>
        <w:contextualSpacing w:val="0"/>
        <w:jc w:val="both"/>
        <w:rPr>
          <w:rFonts w:ascii="Times New Roman" w:hAnsi="Times New Roman" w:cs="Times New Roman"/>
          <w:sz w:val="24"/>
          <w:szCs w:val="24"/>
        </w:rPr>
      </w:pPr>
      <w:r w:rsidRPr="00E60A0A">
        <w:rPr>
          <w:rFonts w:ascii="Times New Roman" w:hAnsi="Times New Roman" w:cs="Times New Roman"/>
          <w:sz w:val="24"/>
          <w:szCs w:val="24"/>
        </w:rPr>
        <w:t xml:space="preserve">Методы, применяемые для анализа </w:t>
      </w:r>
      <w:r w:rsidR="00444497" w:rsidRPr="00E60A0A">
        <w:rPr>
          <w:rFonts w:ascii="Times New Roman" w:hAnsi="Times New Roman" w:cs="Times New Roman"/>
          <w:sz w:val="24"/>
          <w:szCs w:val="24"/>
        </w:rPr>
        <w:t>смертности</w:t>
      </w:r>
      <w:r w:rsidRPr="00E60A0A">
        <w:rPr>
          <w:rFonts w:ascii="Times New Roman" w:hAnsi="Times New Roman" w:cs="Times New Roman"/>
          <w:sz w:val="24"/>
          <w:szCs w:val="24"/>
        </w:rPr>
        <w:t xml:space="preserve"> в рамках работы, подразделяются на 3 типа: для расчёта смертности, расчёта преждевременной смертности населения и оценки экономического ущерба от демографических потерь (табл</w:t>
      </w:r>
      <w:r w:rsidR="00D614D9">
        <w:rPr>
          <w:rFonts w:ascii="Times New Roman" w:hAnsi="Times New Roman" w:cs="Times New Roman"/>
          <w:sz w:val="24"/>
          <w:szCs w:val="24"/>
        </w:rPr>
        <w:t>. 1</w:t>
      </w:r>
      <w:r w:rsidRPr="00E60A0A">
        <w:rPr>
          <w:rFonts w:ascii="Times New Roman" w:hAnsi="Times New Roman" w:cs="Times New Roman"/>
          <w:sz w:val="24"/>
          <w:szCs w:val="24"/>
        </w:rPr>
        <w:t>).</w:t>
      </w:r>
    </w:p>
    <w:p w14:paraId="73112EE6" w14:textId="4F1506C9" w:rsidR="00D614D9" w:rsidRDefault="00D614D9" w:rsidP="00D614D9">
      <w:pPr>
        <w:pStyle w:val="a3"/>
        <w:spacing w:after="0" w:line="240" w:lineRule="auto"/>
        <w:ind w:left="0" w:firstLine="709"/>
        <w:contextualSpacing w:val="0"/>
        <w:jc w:val="both"/>
        <w:rPr>
          <w:rFonts w:ascii="Times New Roman" w:hAnsi="Times New Roman" w:cs="Times New Roman"/>
          <w:sz w:val="24"/>
          <w:szCs w:val="24"/>
        </w:rPr>
      </w:pPr>
    </w:p>
    <w:p w14:paraId="74B23AC9" w14:textId="31A237A1" w:rsidR="00D614D9" w:rsidRPr="00F37E8F" w:rsidRDefault="00D614D9" w:rsidP="00F37E8F">
      <w:pPr>
        <w:pStyle w:val="a3"/>
        <w:spacing w:after="0" w:line="240" w:lineRule="auto"/>
        <w:ind w:left="0" w:firstLine="709"/>
        <w:contextualSpacing w:val="0"/>
        <w:jc w:val="right"/>
        <w:rPr>
          <w:rFonts w:ascii="Times New Roman" w:hAnsi="Times New Roman" w:cs="Times New Roman"/>
          <w:i/>
          <w:iCs/>
          <w:sz w:val="24"/>
          <w:szCs w:val="24"/>
        </w:rPr>
      </w:pPr>
      <w:r w:rsidRPr="00F37E8F">
        <w:rPr>
          <w:rFonts w:ascii="Times New Roman" w:hAnsi="Times New Roman" w:cs="Times New Roman"/>
          <w:i/>
          <w:iCs/>
          <w:sz w:val="24"/>
          <w:szCs w:val="24"/>
        </w:rPr>
        <w:t>Таблица 1</w:t>
      </w:r>
    </w:p>
    <w:p w14:paraId="373CE957" w14:textId="2D160B1C" w:rsidR="00D614D9" w:rsidRPr="00E60A0A" w:rsidRDefault="00D614D9" w:rsidP="00F37E8F">
      <w:pPr>
        <w:pStyle w:val="a3"/>
        <w:spacing w:after="0" w:line="240" w:lineRule="auto"/>
        <w:ind w:left="0" w:firstLine="709"/>
        <w:contextualSpacing w:val="0"/>
        <w:jc w:val="center"/>
        <w:rPr>
          <w:rFonts w:ascii="Times New Roman" w:hAnsi="Times New Roman" w:cs="Times New Roman"/>
          <w:sz w:val="24"/>
          <w:szCs w:val="24"/>
        </w:rPr>
      </w:pPr>
      <w:r>
        <w:rPr>
          <w:rFonts w:ascii="Times New Roman" w:hAnsi="Times New Roman" w:cs="Times New Roman"/>
          <w:sz w:val="24"/>
          <w:szCs w:val="24"/>
        </w:rPr>
        <w:t>Демографические показатели, применяемые для расчёта преждевременной смертности и экономического ущерба от неё</w:t>
      </w:r>
    </w:p>
    <w:tbl>
      <w:tblPr>
        <w:tblStyle w:val="a4"/>
        <w:tblW w:w="0" w:type="auto"/>
        <w:jc w:val="center"/>
        <w:tblLook w:val="04A0" w:firstRow="1" w:lastRow="0" w:firstColumn="1" w:lastColumn="0" w:noHBand="0" w:noVBand="1"/>
      </w:tblPr>
      <w:tblGrid>
        <w:gridCol w:w="3115"/>
        <w:gridCol w:w="3115"/>
        <w:gridCol w:w="3115"/>
      </w:tblGrid>
      <w:tr w:rsidR="00E74FAA" w:rsidRPr="0027723E" w14:paraId="0941A0C6" w14:textId="77777777" w:rsidTr="0027723E">
        <w:trPr>
          <w:jc w:val="center"/>
        </w:trPr>
        <w:tc>
          <w:tcPr>
            <w:tcW w:w="3115" w:type="dxa"/>
          </w:tcPr>
          <w:p w14:paraId="5445E4F7" w14:textId="77777777" w:rsidR="00E74FAA" w:rsidRPr="0027723E" w:rsidRDefault="00E74FAA" w:rsidP="00D614D9">
            <w:pPr>
              <w:pStyle w:val="a3"/>
              <w:spacing w:after="0" w:line="240" w:lineRule="auto"/>
              <w:ind w:left="0"/>
              <w:contextualSpacing w:val="0"/>
              <w:jc w:val="center"/>
              <w:rPr>
                <w:rFonts w:ascii="Times New Roman" w:hAnsi="Times New Roman" w:cs="Times New Roman"/>
                <w:b/>
                <w:bCs/>
                <w:sz w:val="24"/>
                <w:szCs w:val="24"/>
              </w:rPr>
            </w:pPr>
            <w:r w:rsidRPr="0027723E">
              <w:rPr>
                <w:rFonts w:ascii="Times New Roman" w:hAnsi="Times New Roman" w:cs="Times New Roman"/>
                <w:b/>
                <w:bCs/>
                <w:sz w:val="24"/>
                <w:szCs w:val="24"/>
              </w:rPr>
              <w:t>Методы, связанные с расчётом смертности</w:t>
            </w:r>
          </w:p>
        </w:tc>
        <w:tc>
          <w:tcPr>
            <w:tcW w:w="3115" w:type="dxa"/>
          </w:tcPr>
          <w:p w14:paraId="186DAEA6" w14:textId="77777777" w:rsidR="00E74FAA" w:rsidRPr="0027723E" w:rsidRDefault="00E74FAA" w:rsidP="00D614D9">
            <w:pPr>
              <w:pStyle w:val="a3"/>
              <w:spacing w:after="0" w:line="240" w:lineRule="auto"/>
              <w:ind w:left="0"/>
              <w:contextualSpacing w:val="0"/>
              <w:jc w:val="center"/>
              <w:rPr>
                <w:rFonts w:ascii="Times New Roman" w:hAnsi="Times New Roman" w:cs="Times New Roman"/>
                <w:b/>
                <w:bCs/>
                <w:sz w:val="24"/>
                <w:szCs w:val="24"/>
              </w:rPr>
            </w:pPr>
            <w:r w:rsidRPr="0027723E">
              <w:rPr>
                <w:rFonts w:ascii="Times New Roman" w:hAnsi="Times New Roman" w:cs="Times New Roman"/>
                <w:b/>
                <w:bCs/>
                <w:sz w:val="24"/>
                <w:szCs w:val="24"/>
              </w:rPr>
              <w:t>Методы, связанные с расчётом преждевременной смертности населения</w:t>
            </w:r>
          </w:p>
        </w:tc>
        <w:tc>
          <w:tcPr>
            <w:tcW w:w="3115" w:type="dxa"/>
          </w:tcPr>
          <w:p w14:paraId="42D1E4C1" w14:textId="77777777" w:rsidR="00E74FAA" w:rsidRPr="0027723E" w:rsidRDefault="00E74FAA" w:rsidP="00D614D9">
            <w:pPr>
              <w:pStyle w:val="a3"/>
              <w:spacing w:after="0" w:line="240" w:lineRule="auto"/>
              <w:ind w:left="0"/>
              <w:contextualSpacing w:val="0"/>
              <w:jc w:val="center"/>
              <w:rPr>
                <w:rFonts w:ascii="Times New Roman" w:hAnsi="Times New Roman" w:cs="Times New Roman"/>
                <w:b/>
                <w:bCs/>
                <w:sz w:val="24"/>
                <w:szCs w:val="24"/>
              </w:rPr>
            </w:pPr>
            <w:r w:rsidRPr="0027723E">
              <w:rPr>
                <w:rFonts w:ascii="Times New Roman" w:hAnsi="Times New Roman" w:cs="Times New Roman"/>
                <w:b/>
                <w:bCs/>
                <w:sz w:val="24"/>
                <w:szCs w:val="24"/>
              </w:rPr>
              <w:t>Методы, связанные с оценкой экономического ущерба от демографических потерь</w:t>
            </w:r>
          </w:p>
        </w:tc>
      </w:tr>
      <w:tr w:rsidR="00E74FAA" w:rsidRPr="0027723E" w14:paraId="132C8E0D" w14:textId="77777777" w:rsidTr="0027723E">
        <w:trPr>
          <w:jc w:val="center"/>
        </w:trPr>
        <w:tc>
          <w:tcPr>
            <w:tcW w:w="3115" w:type="dxa"/>
          </w:tcPr>
          <w:p w14:paraId="3438D52D" w14:textId="45596310" w:rsidR="0027723E" w:rsidRPr="0027723E" w:rsidRDefault="00E74FAA" w:rsidP="00D614D9">
            <w:pPr>
              <w:pStyle w:val="a3"/>
              <w:spacing w:after="0" w:line="240" w:lineRule="auto"/>
              <w:ind w:left="0"/>
              <w:contextualSpacing w:val="0"/>
              <w:jc w:val="both"/>
              <w:rPr>
                <w:rFonts w:ascii="Times New Roman" w:hAnsi="Times New Roman" w:cs="Times New Roman"/>
                <w:sz w:val="24"/>
                <w:szCs w:val="24"/>
              </w:rPr>
            </w:pPr>
            <w:r w:rsidRPr="0027723E">
              <w:rPr>
                <w:rFonts w:ascii="Times New Roman" w:hAnsi="Times New Roman" w:cs="Times New Roman"/>
                <w:sz w:val="24"/>
                <w:szCs w:val="24"/>
              </w:rPr>
              <w:t>Количество смертей</w:t>
            </w:r>
          </w:p>
          <w:p w14:paraId="39D0A18D" w14:textId="113A3FB9" w:rsidR="0027723E" w:rsidRPr="0027723E" w:rsidRDefault="00E74FAA" w:rsidP="00D614D9">
            <w:pPr>
              <w:pStyle w:val="a3"/>
              <w:spacing w:after="0" w:line="240" w:lineRule="auto"/>
              <w:ind w:left="0"/>
              <w:contextualSpacing w:val="0"/>
              <w:jc w:val="both"/>
              <w:rPr>
                <w:rFonts w:ascii="Times New Roman" w:hAnsi="Times New Roman" w:cs="Times New Roman"/>
                <w:sz w:val="24"/>
                <w:szCs w:val="24"/>
              </w:rPr>
            </w:pPr>
            <w:r w:rsidRPr="0027723E">
              <w:rPr>
                <w:rFonts w:ascii="Times New Roman" w:hAnsi="Times New Roman" w:cs="Times New Roman"/>
                <w:sz w:val="24"/>
                <w:szCs w:val="24"/>
              </w:rPr>
              <w:t>Коэффициент смертности</w:t>
            </w:r>
          </w:p>
          <w:p w14:paraId="46CD92A8" w14:textId="02AB46B2" w:rsidR="0027723E" w:rsidRPr="0027723E" w:rsidRDefault="00E74FAA" w:rsidP="00D614D9">
            <w:pPr>
              <w:pStyle w:val="a3"/>
              <w:spacing w:after="0" w:line="240" w:lineRule="auto"/>
              <w:ind w:left="0"/>
              <w:contextualSpacing w:val="0"/>
              <w:jc w:val="both"/>
              <w:rPr>
                <w:rFonts w:ascii="Times New Roman" w:hAnsi="Times New Roman" w:cs="Times New Roman"/>
                <w:sz w:val="24"/>
                <w:szCs w:val="24"/>
              </w:rPr>
            </w:pPr>
            <w:r w:rsidRPr="0027723E">
              <w:rPr>
                <w:rFonts w:ascii="Times New Roman" w:hAnsi="Times New Roman" w:cs="Times New Roman"/>
                <w:sz w:val="24"/>
                <w:szCs w:val="24"/>
              </w:rPr>
              <w:t>Коэффициент младенческой смертности</w:t>
            </w:r>
          </w:p>
          <w:p w14:paraId="6829F721" w14:textId="7FC3CDC3" w:rsidR="0027723E" w:rsidRPr="0027723E" w:rsidRDefault="00E74FAA" w:rsidP="00D614D9">
            <w:pPr>
              <w:pStyle w:val="a3"/>
              <w:spacing w:after="0" w:line="240" w:lineRule="auto"/>
              <w:ind w:left="0"/>
              <w:contextualSpacing w:val="0"/>
              <w:jc w:val="both"/>
              <w:rPr>
                <w:rFonts w:ascii="Times New Roman" w:hAnsi="Times New Roman" w:cs="Times New Roman"/>
                <w:sz w:val="24"/>
                <w:szCs w:val="24"/>
              </w:rPr>
            </w:pPr>
            <w:r w:rsidRPr="0027723E">
              <w:rPr>
                <w:rFonts w:ascii="Times New Roman" w:hAnsi="Times New Roman" w:cs="Times New Roman"/>
                <w:sz w:val="24"/>
                <w:szCs w:val="24"/>
              </w:rPr>
              <w:t>Смертность в отдельных половозрастных группах</w:t>
            </w:r>
          </w:p>
          <w:p w14:paraId="2394735C" w14:textId="15B9AD67" w:rsidR="0027723E" w:rsidRPr="0027723E" w:rsidRDefault="00E74FAA" w:rsidP="00D614D9">
            <w:pPr>
              <w:pStyle w:val="a3"/>
              <w:spacing w:after="0" w:line="240" w:lineRule="auto"/>
              <w:ind w:left="0"/>
              <w:contextualSpacing w:val="0"/>
              <w:jc w:val="both"/>
              <w:rPr>
                <w:rFonts w:ascii="Times New Roman" w:hAnsi="Times New Roman" w:cs="Times New Roman"/>
                <w:sz w:val="24"/>
                <w:szCs w:val="24"/>
              </w:rPr>
            </w:pPr>
            <w:r w:rsidRPr="0027723E">
              <w:rPr>
                <w:rFonts w:ascii="Times New Roman" w:hAnsi="Times New Roman" w:cs="Times New Roman"/>
                <w:sz w:val="24"/>
                <w:szCs w:val="24"/>
              </w:rPr>
              <w:t>Ожидаемая</w:t>
            </w:r>
            <w:r w:rsidR="0027723E">
              <w:rPr>
                <w:rFonts w:ascii="Times New Roman" w:hAnsi="Times New Roman" w:cs="Times New Roman"/>
                <w:sz w:val="24"/>
                <w:szCs w:val="24"/>
              </w:rPr>
              <w:t xml:space="preserve"> </w:t>
            </w:r>
            <w:r w:rsidRPr="0027723E">
              <w:rPr>
                <w:rFonts w:ascii="Times New Roman" w:hAnsi="Times New Roman" w:cs="Times New Roman"/>
                <w:sz w:val="24"/>
                <w:szCs w:val="24"/>
              </w:rPr>
              <w:t>продолжительность жизни</w:t>
            </w:r>
          </w:p>
          <w:p w14:paraId="0C759F22" w14:textId="77777777" w:rsidR="00E74FAA" w:rsidRPr="0027723E" w:rsidRDefault="00E74FAA" w:rsidP="00D614D9">
            <w:pPr>
              <w:pStyle w:val="a3"/>
              <w:spacing w:after="0" w:line="240" w:lineRule="auto"/>
              <w:ind w:left="0"/>
              <w:contextualSpacing w:val="0"/>
              <w:jc w:val="both"/>
              <w:rPr>
                <w:rFonts w:ascii="Times New Roman" w:hAnsi="Times New Roman" w:cs="Times New Roman"/>
                <w:sz w:val="24"/>
                <w:szCs w:val="24"/>
              </w:rPr>
            </w:pPr>
            <w:r w:rsidRPr="0027723E">
              <w:rPr>
                <w:rFonts w:ascii="Times New Roman" w:hAnsi="Times New Roman" w:cs="Times New Roman"/>
                <w:sz w:val="24"/>
                <w:szCs w:val="24"/>
              </w:rPr>
              <w:t>Элиминированные резервы смертности</w:t>
            </w:r>
          </w:p>
        </w:tc>
        <w:tc>
          <w:tcPr>
            <w:tcW w:w="3115" w:type="dxa"/>
          </w:tcPr>
          <w:p w14:paraId="59ED7CBB" w14:textId="0F3E00B1" w:rsidR="0027723E" w:rsidRPr="0027723E" w:rsidRDefault="00E74FAA" w:rsidP="00D614D9">
            <w:pPr>
              <w:pStyle w:val="a3"/>
              <w:spacing w:after="0" w:line="240" w:lineRule="auto"/>
              <w:ind w:left="0"/>
              <w:contextualSpacing w:val="0"/>
              <w:jc w:val="both"/>
              <w:rPr>
                <w:rFonts w:ascii="Times New Roman" w:hAnsi="Times New Roman" w:cs="Times New Roman"/>
                <w:sz w:val="24"/>
                <w:szCs w:val="24"/>
              </w:rPr>
            </w:pPr>
            <w:r w:rsidRPr="0027723E">
              <w:rPr>
                <w:rFonts w:ascii="Times New Roman" w:hAnsi="Times New Roman" w:cs="Times New Roman"/>
                <w:sz w:val="24"/>
                <w:szCs w:val="24"/>
              </w:rPr>
              <w:t>Ожидаемая продолжительность здоровой жизни</w:t>
            </w:r>
          </w:p>
          <w:p w14:paraId="024D2C7F" w14:textId="58AD4996" w:rsidR="0027723E" w:rsidRPr="0027723E" w:rsidRDefault="00E74FAA" w:rsidP="00D614D9">
            <w:pPr>
              <w:pStyle w:val="a3"/>
              <w:spacing w:after="0" w:line="240" w:lineRule="auto"/>
              <w:ind w:left="0"/>
              <w:contextualSpacing w:val="0"/>
              <w:jc w:val="both"/>
              <w:rPr>
                <w:rFonts w:ascii="Times New Roman" w:hAnsi="Times New Roman" w:cs="Times New Roman"/>
                <w:sz w:val="24"/>
                <w:szCs w:val="24"/>
              </w:rPr>
            </w:pPr>
            <w:r w:rsidRPr="0027723E">
              <w:rPr>
                <w:rFonts w:ascii="Times New Roman" w:hAnsi="Times New Roman" w:cs="Times New Roman"/>
                <w:sz w:val="24"/>
                <w:szCs w:val="24"/>
                <w:lang w:val="en-US"/>
              </w:rPr>
              <w:t>HALE</w:t>
            </w:r>
          </w:p>
          <w:p w14:paraId="47A911E6" w14:textId="0AECDDAE" w:rsidR="0027723E" w:rsidRPr="0027723E" w:rsidRDefault="00E74FAA" w:rsidP="00D614D9">
            <w:pPr>
              <w:pStyle w:val="a3"/>
              <w:spacing w:after="0" w:line="240" w:lineRule="auto"/>
              <w:ind w:left="0"/>
              <w:contextualSpacing w:val="0"/>
              <w:jc w:val="both"/>
              <w:rPr>
                <w:rFonts w:ascii="Times New Roman" w:hAnsi="Times New Roman" w:cs="Times New Roman"/>
                <w:sz w:val="24"/>
                <w:szCs w:val="24"/>
              </w:rPr>
            </w:pPr>
            <w:r w:rsidRPr="0027723E">
              <w:rPr>
                <w:rFonts w:ascii="Times New Roman" w:hAnsi="Times New Roman" w:cs="Times New Roman"/>
                <w:sz w:val="24"/>
                <w:szCs w:val="24"/>
              </w:rPr>
              <w:t>Потерянные годы потенциальной жизни (ПГПЖ)</w:t>
            </w:r>
          </w:p>
          <w:p w14:paraId="31CEAF7A" w14:textId="77777777" w:rsidR="00E74FAA" w:rsidRPr="0027723E" w:rsidRDefault="00E74FAA" w:rsidP="00D614D9">
            <w:pPr>
              <w:pStyle w:val="a3"/>
              <w:spacing w:after="0" w:line="240" w:lineRule="auto"/>
              <w:ind w:left="0"/>
              <w:contextualSpacing w:val="0"/>
              <w:jc w:val="both"/>
              <w:rPr>
                <w:rFonts w:ascii="Times New Roman" w:hAnsi="Times New Roman" w:cs="Times New Roman"/>
                <w:sz w:val="24"/>
                <w:szCs w:val="24"/>
              </w:rPr>
            </w:pPr>
            <w:r w:rsidRPr="0027723E">
              <w:rPr>
                <w:rFonts w:ascii="Times New Roman" w:hAnsi="Times New Roman" w:cs="Times New Roman"/>
                <w:sz w:val="24"/>
                <w:szCs w:val="24"/>
              </w:rPr>
              <w:t>Коэффициент ПГПЖ</w:t>
            </w:r>
          </w:p>
        </w:tc>
        <w:tc>
          <w:tcPr>
            <w:tcW w:w="3115" w:type="dxa"/>
          </w:tcPr>
          <w:p w14:paraId="5DDA4F05" w14:textId="3C011C0D" w:rsidR="0027723E" w:rsidRPr="0027723E" w:rsidRDefault="00E74FAA" w:rsidP="00D614D9">
            <w:pPr>
              <w:pStyle w:val="a3"/>
              <w:spacing w:after="0" w:line="240" w:lineRule="auto"/>
              <w:ind w:left="0"/>
              <w:contextualSpacing w:val="0"/>
              <w:jc w:val="both"/>
              <w:rPr>
                <w:rFonts w:ascii="Times New Roman" w:hAnsi="Times New Roman" w:cs="Times New Roman"/>
                <w:sz w:val="24"/>
                <w:szCs w:val="24"/>
              </w:rPr>
            </w:pPr>
            <w:r w:rsidRPr="0027723E">
              <w:rPr>
                <w:rFonts w:ascii="Times New Roman" w:hAnsi="Times New Roman" w:cs="Times New Roman"/>
                <w:sz w:val="24"/>
                <w:szCs w:val="24"/>
              </w:rPr>
              <w:t>Стоимость ПГПЖ в результате смертности</w:t>
            </w:r>
          </w:p>
          <w:p w14:paraId="44A6B6C0" w14:textId="119DEF46" w:rsidR="0027723E" w:rsidRPr="0027723E" w:rsidRDefault="00E74FAA" w:rsidP="00D614D9">
            <w:pPr>
              <w:pStyle w:val="a3"/>
              <w:spacing w:after="0" w:line="240" w:lineRule="auto"/>
              <w:ind w:left="0"/>
              <w:contextualSpacing w:val="0"/>
              <w:jc w:val="both"/>
              <w:rPr>
                <w:rFonts w:ascii="Times New Roman" w:hAnsi="Times New Roman" w:cs="Times New Roman"/>
                <w:sz w:val="24"/>
                <w:szCs w:val="24"/>
              </w:rPr>
            </w:pPr>
            <w:r w:rsidRPr="0027723E">
              <w:rPr>
                <w:rFonts w:ascii="Times New Roman" w:hAnsi="Times New Roman" w:cs="Times New Roman"/>
                <w:sz w:val="24"/>
                <w:szCs w:val="24"/>
              </w:rPr>
              <w:t>Подходы к оценке социально-экономических потерь от преждевременной смертности</w:t>
            </w:r>
          </w:p>
          <w:p w14:paraId="6CD7133F" w14:textId="72F10E05" w:rsidR="0027723E" w:rsidRPr="0027723E" w:rsidRDefault="00E74FAA" w:rsidP="00D614D9">
            <w:pPr>
              <w:pStyle w:val="a3"/>
              <w:spacing w:after="0" w:line="240" w:lineRule="auto"/>
              <w:ind w:left="0"/>
              <w:contextualSpacing w:val="0"/>
              <w:jc w:val="both"/>
              <w:rPr>
                <w:rFonts w:ascii="Times New Roman" w:hAnsi="Times New Roman" w:cs="Times New Roman"/>
                <w:sz w:val="24"/>
                <w:szCs w:val="24"/>
              </w:rPr>
            </w:pPr>
            <w:r w:rsidRPr="0027723E">
              <w:rPr>
                <w:rFonts w:ascii="Times New Roman" w:hAnsi="Times New Roman" w:cs="Times New Roman"/>
                <w:sz w:val="24"/>
                <w:szCs w:val="24"/>
              </w:rPr>
              <w:t>Потери ВРП в результате преждевременной смертности населения</w:t>
            </w:r>
          </w:p>
          <w:p w14:paraId="5C5DBD1B" w14:textId="77777777" w:rsidR="00E74FAA" w:rsidRPr="0027723E" w:rsidRDefault="00E74FAA" w:rsidP="00D614D9">
            <w:pPr>
              <w:pStyle w:val="a3"/>
              <w:spacing w:after="0" w:line="240" w:lineRule="auto"/>
              <w:ind w:left="0"/>
              <w:contextualSpacing w:val="0"/>
              <w:jc w:val="both"/>
              <w:rPr>
                <w:rFonts w:ascii="Times New Roman" w:hAnsi="Times New Roman" w:cs="Times New Roman"/>
                <w:sz w:val="24"/>
                <w:szCs w:val="24"/>
              </w:rPr>
            </w:pPr>
            <w:r w:rsidRPr="0027723E">
              <w:rPr>
                <w:rFonts w:ascii="Times New Roman" w:hAnsi="Times New Roman" w:cs="Times New Roman"/>
                <w:sz w:val="24"/>
                <w:szCs w:val="24"/>
              </w:rPr>
              <w:t>Экономические потери ПГПЖ</w:t>
            </w:r>
          </w:p>
        </w:tc>
      </w:tr>
      <w:tr w:rsidR="00E74FAA" w:rsidRPr="0027723E" w14:paraId="047F984D" w14:textId="77777777" w:rsidTr="0027723E">
        <w:trPr>
          <w:jc w:val="center"/>
        </w:trPr>
        <w:tc>
          <w:tcPr>
            <w:tcW w:w="9345" w:type="dxa"/>
            <w:gridSpan w:val="3"/>
          </w:tcPr>
          <w:p w14:paraId="2F52547A" w14:textId="77777777" w:rsidR="00E74FAA" w:rsidRPr="0027723E" w:rsidRDefault="00E74FAA" w:rsidP="00D614D9">
            <w:pPr>
              <w:pStyle w:val="a3"/>
              <w:spacing w:after="0" w:line="240" w:lineRule="auto"/>
              <w:ind w:left="0"/>
              <w:contextualSpacing w:val="0"/>
              <w:jc w:val="both"/>
              <w:rPr>
                <w:rFonts w:ascii="Times New Roman" w:hAnsi="Times New Roman" w:cs="Times New Roman"/>
                <w:sz w:val="24"/>
                <w:szCs w:val="24"/>
              </w:rPr>
            </w:pPr>
            <w:r w:rsidRPr="0027723E">
              <w:rPr>
                <w:rFonts w:ascii="Times New Roman" w:hAnsi="Times New Roman" w:cs="Times New Roman"/>
                <w:sz w:val="24"/>
                <w:szCs w:val="24"/>
              </w:rPr>
              <w:t>Источник: составлено автором</w:t>
            </w:r>
          </w:p>
        </w:tc>
      </w:tr>
    </w:tbl>
    <w:p w14:paraId="2E027C7E" w14:textId="77777777" w:rsidR="00E74FAA" w:rsidRPr="00214FBE" w:rsidRDefault="00E74FAA" w:rsidP="00214FBE">
      <w:pPr>
        <w:spacing w:after="0" w:line="360" w:lineRule="auto"/>
        <w:jc w:val="both"/>
        <w:rPr>
          <w:rFonts w:ascii="Times New Roman" w:hAnsi="Times New Roman" w:cs="Times New Roman"/>
          <w:sz w:val="28"/>
          <w:szCs w:val="28"/>
        </w:rPr>
      </w:pPr>
    </w:p>
    <w:p w14:paraId="306EC24B" w14:textId="23777A06" w:rsidR="00E74FAA" w:rsidRPr="00E91DE7" w:rsidRDefault="00AB52F1" w:rsidP="00D614D9">
      <w:pPr>
        <w:spacing w:after="0" w:line="240" w:lineRule="auto"/>
        <w:ind w:firstLine="709"/>
        <w:contextualSpacing/>
        <w:jc w:val="both"/>
        <w:rPr>
          <w:rFonts w:ascii="Times New Roman" w:hAnsi="Times New Roman" w:cs="Times New Roman"/>
          <w:lang w:eastAsia="ru-RU"/>
        </w:rPr>
      </w:pPr>
      <w:r w:rsidRPr="00E91DE7">
        <w:rPr>
          <w:rFonts w:ascii="Times New Roman" w:hAnsi="Times New Roman" w:cs="Times New Roman"/>
          <w:sz w:val="24"/>
          <w:szCs w:val="24"/>
        </w:rPr>
        <w:t>Под смертностью понимается общий популяционный показатель, представляющий собой отношение числа умерших (обычно за год) к среднегодовой численности населения страны (региона, города), умноженное на 100 тыс. (число умерших на 100 тыс. населения)</w:t>
      </w:r>
      <w:r w:rsidR="00C15FDD" w:rsidRPr="00E91DE7">
        <w:rPr>
          <w:rFonts w:ascii="Times New Roman" w:hAnsi="Times New Roman" w:cs="Times New Roman"/>
          <w:sz w:val="24"/>
          <w:szCs w:val="24"/>
        </w:rPr>
        <w:t xml:space="preserve"> </w:t>
      </w:r>
      <w:r w:rsidR="00C15FDD" w:rsidRPr="00E91DE7">
        <w:rPr>
          <w:rFonts w:ascii="Times New Roman" w:hAnsi="Times New Roman" w:cs="Times New Roman"/>
          <w:sz w:val="24"/>
          <w:szCs w:val="24"/>
        </w:rPr>
        <w:lastRenderedPageBreak/>
        <w:t>[8]</w:t>
      </w:r>
      <w:r w:rsidRPr="00E91DE7">
        <w:rPr>
          <w:rFonts w:ascii="Times New Roman" w:hAnsi="Times New Roman" w:cs="Times New Roman"/>
          <w:sz w:val="24"/>
          <w:szCs w:val="24"/>
        </w:rPr>
        <w:t xml:space="preserve">. </w:t>
      </w:r>
      <w:r w:rsidR="00E74FAA" w:rsidRPr="00E91DE7">
        <w:rPr>
          <w:rFonts w:ascii="Times New Roman" w:hAnsi="Times New Roman" w:cs="Times New Roman"/>
          <w:sz w:val="24"/>
          <w:szCs w:val="24"/>
        </w:rPr>
        <w:t>Сведения о смертях в России получаются на основании ежегодной статистической разработки данных, содержащихся в записях актов о смерти, составляемых органами записи актов гражданского состояния</w:t>
      </w:r>
      <w:r w:rsidR="00C15FDD" w:rsidRPr="00E91DE7">
        <w:rPr>
          <w:rFonts w:ascii="Times New Roman" w:hAnsi="Times New Roman" w:cs="Times New Roman"/>
          <w:sz w:val="24"/>
          <w:szCs w:val="24"/>
        </w:rPr>
        <w:t xml:space="preserve"> [10]</w:t>
      </w:r>
      <w:r w:rsidR="00E74FAA" w:rsidRPr="00E91DE7">
        <w:rPr>
          <w:rFonts w:ascii="Times New Roman" w:hAnsi="Times New Roman" w:cs="Times New Roman"/>
          <w:sz w:val="24"/>
          <w:szCs w:val="24"/>
        </w:rPr>
        <w:t>.</w:t>
      </w:r>
      <w:r w:rsidR="00F37E8F" w:rsidRPr="00E91DE7">
        <w:rPr>
          <w:rFonts w:ascii="Times New Roman" w:hAnsi="Times New Roman" w:cs="Times New Roman"/>
          <w:sz w:val="24"/>
          <w:szCs w:val="24"/>
        </w:rPr>
        <w:t xml:space="preserve"> В 2022 году умерло 1 905 778 человек, </w:t>
      </w:r>
      <w:r w:rsidR="0070687C" w:rsidRPr="00E91DE7">
        <w:rPr>
          <w:rFonts w:ascii="Times New Roman" w:hAnsi="Times New Roman" w:cs="Times New Roman"/>
          <w:sz w:val="24"/>
          <w:szCs w:val="24"/>
        </w:rPr>
        <w:t xml:space="preserve">что ниже на 22%, чем в 2021 году, на который повлияла пандемия </w:t>
      </w:r>
      <w:r w:rsidR="0070687C" w:rsidRPr="00E91DE7">
        <w:rPr>
          <w:rFonts w:ascii="Times New Roman" w:hAnsi="Times New Roman" w:cs="Times New Roman"/>
          <w:sz w:val="24"/>
          <w:szCs w:val="24"/>
          <w:lang w:val="en-US"/>
        </w:rPr>
        <w:t>COVID</w:t>
      </w:r>
      <w:r w:rsidR="0070687C" w:rsidRPr="00E91DE7">
        <w:rPr>
          <w:rFonts w:ascii="Times New Roman" w:hAnsi="Times New Roman" w:cs="Times New Roman"/>
          <w:sz w:val="24"/>
          <w:szCs w:val="24"/>
        </w:rPr>
        <w:t>-19.</w:t>
      </w:r>
    </w:p>
    <w:p w14:paraId="24208CE4" w14:textId="5F28129F" w:rsidR="00E74FAA" w:rsidRPr="00E91DE7" w:rsidRDefault="00E74FAA" w:rsidP="00D614D9">
      <w:pPr>
        <w:pStyle w:val="a3"/>
        <w:spacing w:after="0" w:line="240" w:lineRule="auto"/>
        <w:ind w:left="0" w:firstLine="709"/>
        <w:contextualSpacing w:val="0"/>
        <w:jc w:val="both"/>
        <w:rPr>
          <w:rFonts w:ascii="Times New Roman" w:hAnsi="Times New Roman" w:cs="Times New Roman"/>
          <w:sz w:val="24"/>
          <w:szCs w:val="24"/>
        </w:rPr>
      </w:pPr>
      <w:r w:rsidRPr="00E91DE7">
        <w:rPr>
          <w:rFonts w:ascii="Times New Roman" w:hAnsi="Times New Roman" w:cs="Times New Roman"/>
          <w:sz w:val="24"/>
          <w:szCs w:val="24"/>
        </w:rPr>
        <w:t>Помимо общей смертности, подсчёты ведутся и по отдельным её видам для полной характеристики демографической ситуации. В отдельности исчисляется коэффициент младенческой смертности как сумма двух составляющих: отношение числа умерших в возрасте до одного года из родившихся в вычисляемом году к общему числу родившихся в том же году и отношение числа умерших в возрасте до одного года из родившихся в предыдущем году к общему числу родившихся в предыдущем году.</w:t>
      </w:r>
      <w:r w:rsidR="0070687C" w:rsidRPr="00E91DE7">
        <w:rPr>
          <w:rFonts w:ascii="Times New Roman" w:hAnsi="Times New Roman" w:cs="Times New Roman"/>
          <w:sz w:val="24"/>
          <w:szCs w:val="24"/>
        </w:rPr>
        <w:t xml:space="preserve"> В России наблюдается постепенное снижение этого показателя: если в 2012 году он составлял 8.6 промилле, то в 2021 коэффициент был равен 4.6 промилле.</w:t>
      </w:r>
      <w:r w:rsidRPr="00E91DE7">
        <w:rPr>
          <w:rFonts w:ascii="Times New Roman" w:hAnsi="Times New Roman" w:cs="Times New Roman"/>
          <w:sz w:val="24"/>
          <w:szCs w:val="24"/>
        </w:rPr>
        <w:t xml:space="preserve"> Средний уровень смертности в каждой возрастной группе в каждом году характеризуется с помощью возрастных коэффициентов смертности, рассчитываемых как отношение числа умерших в данном возрасте в течение календарного года к среднегодовой численности лиц данного возраста по текущей оценке.</w:t>
      </w:r>
      <w:r w:rsidR="009B6E5A" w:rsidRPr="00E91DE7">
        <w:rPr>
          <w:rFonts w:ascii="Times New Roman" w:hAnsi="Times New Roman" w:cs="Times New Roman"/>
          <w:sz w:val="24"/>
          <w:szCs w:val="24"/>
        </w:rPr>
        <w:t xml:space="preserve"> Значение коэффициента увеличивается с возрастом: в 2021 году значение для людей 5-9 лет равнялось 0.2 промилле, а для людей 85 и старше лет – 211.1 промилле.</w:t>
      </w:r>
    </w:p>
    <w:p w14:paraId="0FC9D1E9" w14:textId="681094C4" w:rsidR="00E74FAA" w:rsidRPr="00E91DE7" w:rsidRDefault="00E74FAA" w:rsidP="00D614D9">
      <w:pPr>
        <w:pStyle w:val="a3"/>
        <w:spacing w:after="0" w:line="240" w:lineRule="auto"/>
        <w:ind w:left="0" w:firstLine="709"/>
        <w:contextualSpacing w:val="0"/>
        <w:jc w:val="both"/>
        <w:rPr>
          <w:rFonts w:ascii="Times New Roman" w:hAnsi="Times New Roman" w:cs="Times New Roman"/>
          <w:sz w:val="24"/>
          <w:szCs w:val="24"/>
        </w:rPr>
      </w:pPr>
      <w:r w:rsidRPr="00E91DE7">
        <w:rPr>
          <w:rFonts w:ascii="Times New Roman" w:hAnsi="Times New Roman" w:cs="Times New Roman"/>
          <w:sz w:val="24"/>
          <w:szCs w:val="24"/>
        </w:rPr>
        <w:t>Показатель смертности влияет на ожидаемую продолжительность жизни (ОПЖ)</w:t>
      </w:r>
      <w:r w:rsidR="00C15FDD" w:rsidRPr="00E91DE7">
        <w:rPr>
          <w:rFonts w:ascii="Times New Roman" w:hAnsi="Times New Roman" w:cs="Times New Roman"/>
          <w:sz w:val="24"/>
          <w:szCs w:val="24"/>
        </w:rPr>
        <w:t xml:space="preserve"> [6]</w:t>
      </w:r>
      <w:r w:rsidRPr="00E91DE7">
        <w:rPr>
          <w:rFonts w:ascii="Times New Roman" w:hAnsi="Times New Roman" w:cs="Times New Roman"/>
          <w:sz w:val="24"/>
          <w:szCs w:val="24"/>
        </w:rPr>
        <w:t>. Её расчёт осуществляется по таблицам дожития (таблицам смертности и ожидаемой продолжительности жизни), которые показывают, как вымирало бы некоторое гипотетическое поколение одновременно родившихся при условии сохранения на протяжении всей жизни этого поколения повозрастных показателей смертности на том же уровне, который имел место на дату составления таблицы.</w:t>
      </w:r>
      <w:r w:rsidR="009241AE" w:rsidRPr="00E91DE7">
        <w:rPr>
          <w:rFonts w:ascii="Times New Roman" w:hAnsi="Times New Roman" w:cs="Times New Roman"/>
          <w:sz w:val="24"/>
          <w:szCs w:val="24"/>
        </w:rPr>
        <w:t xml:space="preserve"> Из-за пандемии </w:t>
      </w:r>
      <w:r w:rsidR="009241AE" w:rsidRPr="00E91DE7">
        <w:rPr>
          <w:rFonts w:ascii="Times New Roman" w:hAnsi="Times New Roman" w:cs="Times New Roman"/>
          <w:sz w:val="24"/>
          <w:szCs w:val="24"/>
          <w:lang w:val="en-US"/>
        </w:rPr>
        <w:t>COVID</w:t>
      </w:r>
      <w:r w:rsidR="009241AE" w:rsidRPr="00E91DE7">
        <w:rPr>
          <w:rFonts w:ascii="Times New Roman" w:hAnsi="Times New Roman" w:cs="Times New Roman"/>
          <w:sz w:val="24"/>
          <w:szCs w:val="24"/>
        </w:rPr>
        <w:t>-</w:t>
      </w:r>
      <w:r w:rsidR="006F6328" w:rsidRPr="00E91DE7">
        <w:rPr>
          <w:rFonts w:ascii="Times New Roman" w:hAnsi="Times New Roman" w:cs="Times New Roman"/>
          <w:sz w:val="24"/>
          <w:szCs w:val="24"/>
        </w:rPr>
        <w:t>19 в</w:t>
      </w:r>
      <w:r w:rsidR="009241AE" w:rsidRPr="00E91DE7">
        <w:rPr>
          <w:rFonts w:ascii="Times New Roman" w:hAnsi="Times New Roman" w:cs="Times New Roman"/>
          <w:sz w:val="24"/>
          <w:szCs w:val="24"/>
        </w:rPr>
        <w:t xml:space="preserve"> 2021 году ОПЖ снизилась до 70.06 лет (показателя 2012 года), но в 2022 она</w:t>
      </w:r>
      <w:r w:rsidR="00E176C5" w:rsidRPr="00E91DE7">
        <w:rPr>
          <w:rFonts w:ascii="Times New Roman" w:hAnsi="Times New Roman" w:cs="Times New Roman"/>
          <w:sz w:val="24"/>
          <w:szCs w:val="24"/>
        </w:rPr>
        <w:t xml:space="preserve"> выросла</w:t>
      </w:r>
      <w:r w:rsidR="009241AE" w:rsidRPr="00E91DE7">
        <w:rPr>
          <w:rFonts w:ascii="Times New Roman" w:hAnsi="Times New Roman" w:cs="Times New Roman"/>
          <w:sz w:val="24"/>
          <w:szCs w:val="24"/>
        </w:rPr>
        <w:t xml:space="preserve"> до 72.76 лет.</w:t>
      </w:r>
    </w:p>
    <w:p w14:paraId="4C868B45" w14:textId="614FA939" w:rsidR="00E74FAA" w:rsidRPr="00E91DE7" w:rsidRDefault="00E74FAA" w:rsidP="00D614D9">
      <w:pPr>
        <w:pStyle w:val="a3"/>
        <w:spacing w:after="0" w:line="240" w:lineRule="auto"/>
        <w:ind w:left="0" w:firstLine="709"/>
        <w:contextualSpacing w:val="0"/>
        <w:jc w:val="both"/>
        <w:rPr>
          <w:rFonts w:ascii="Times New Roman" w:hAnsi="Times New Roman" w:cs="Times New Roman"/>
          <w:sz w:val="24"/>
          <w:szCs w:val="24"/>
        </w:rPr>
      </w:pPr>
      <w:r w:rsidRPr="00E91DE7">
        <w:rPr>
          <w:rFonts w:ascii="Times New Roman" w:hAnsi="Times New Roman" w:cs="Times New Roman"/>
          <w:sz w:val="24"/>
          <w:szCs w:val="24"/>
        </w:rPr>
        <w:t>Для определения вклада причин смерти на ОПЖ проводятся расчёты элиминированных резервов смертности для разных возрастных групп по формуле</w:t>
      </w:r>
      <w:r w:rsidR="00544984">
        <w:rPr>
          <w:rFonts w:ascii="Times New Roman" w:hAnsi="Times New Roman" w:cs="Times New Roman"/>
          <w:sz w:val="24"/>
          <w:szCs w:val="24"/>
        </w:rPr>
        <w:t xml:space="preserve"> </w:t>
      </w:r>
      <w:r w:rsidR="00544984" w:rsidRPr="00E91DE7">
        <w:rPr>
          <w:rFonts w:ascii="Times New Roman" w:hAnsi="Times New Roman" w:cs="Times New Roman"/>
          <w:sz w:val="24"/>
          <w:szCs w:val="24"/>
        </w:rPr>
        <w:t>[11]</w:t>
      </w:r>
      <w:r w:rsidRPr="00E91DE7">
        <w:rPr>
          <w:rFonts w:ascii="Times New Roman" w:hAnsi="Times New Roman" w:cs="Times New Roman"/>
          <w:sz w:val="24"/>
          <w:szCs w:val="24"/>
        </w:rPr>
        <w:t>:</w:t>
      </w:r>
    </w:p>
    <w:p w14:paraId="6099B5AC" w14:textId="77777777" w:rsidR="00E74FAA" w:rsidRPr="00E91DE7" w:rsidRDefault="00E74FAA" w:rsidP="00D614D9">
      <w:pPr>
        <w:pStyle w:val="a3"/>
        <w:spacing w:after="0" w:line="240" w:lineRule="auto"/>
        <w:ind w:left="0" w:firstLine="709"/>
        <w:contextualSpacing w:val="0"/>
        <w:jc w:val="center"/>
        <w:rPr>
          <w:rFonts w:ascii="Times New Roman" w:eastAsiaTheme="minorEastAsia" w:hAnsi="Times New Roman" w:cs="Times New Roman"/>
          <w:i/>
          <w:sz w:val="24"/>
          <w:szCs w:val="24"/>
        </w:rPr>
      </w:pPr>
      <m:oMath>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lang w:val="en-US"/>
              </w:rPr>
              <m:t>e</m:t>
            </m:r>
          </m:e>
          <m:sub>
            <m:r>
              <w:rPr>
                <w:rFonts w:ascii="Cambria Math" w:hAnsi="Cambria Math" w:cs="Times New Roman"/>
                <w:sz w:val="24"/>
                <w:szCs w:val="24"/>
              </w:rPr>
              <m:t>ex</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e</m:t>
            </m:r>
          </m:e>
          <m:sub>
            <m:r>
              <w:rPr>
                <w:rFonts w:ascii="Cambria Math" w:hAnsi="Cambria Math" w:cs="Times New Roman"/>
                <w:sz w:val="24"/>
                <w:szCs w:val="24"/>
              </w:rPr>
              <m:t>x</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e</m:t>
            </m:r>
          </m:e>
          <m:sub>
            <m:r>
              <w:rPr>
                <w:rFonts w:ascii="Cambria Math" w:hAnsi="Cambria Math" w:cs="Times New Roman"/>
                <w:sz w:val="24"/>
                <w:szCs w:val="24"/>
              </w:rPr>
              <m:t>ex</m:t>
            </m:r>
          </m:sub>
        </m:sSub>
      </m:oMath>
      <w:r w:rsidRPr="00E91DE7">
        <w:rPr>
          <w:rFonts w:ascii="Times New Roman" w:eastAsiaTheme="minorEastAsia" w:hAnsi="Times New Roman" w:cs="Times New Roman"/>
          <w:i/>
          <w:sz w:val="24"/>
          <w:szCs w:val="24"/>
        </w:rPr>
        <w:t xml:space="preserve"> ,</w:t>
      </w:r>
    </w:p>
    <w:p w14:paraId="03DB7F00" w14:textId="2481743C" w:rsidR="00E74FAA" w:rsidRPr="00E91DE7" w:rsidRDefault="00E74FAA" w:rsidP="00D614D9">
      <w:pPr>
        <w:pStyle w:val="a3"/>
        <w:spacing w:after="0" w:line="240" w:lineRule="auto"/>
        <w:ind w:left="0" w:firstLine="709"/>
        <w:contextualSpacing w:val="0"/>
        <w:jc w:val="both"/>
        <w:rPr>
          <w:rFonts w:ascii="Times New Roman" w:hAnsi="Times New Roman" w:cs="Times New Roman"/>
          <w:iCs/>
          <w:sz w:val="24"/>
          <w:szCs w:val="24"/>
        </w:rPr>
      </w:pPr>
      <w:r w:rsidRPr="00E91DE7">
        <w:rPr>
          <w:rFonts w:ascii="Times New Roman" w:eastAsiaTheme="minorEastAsia" w:hAnsi="Times New Roman" w:cs="Times New Roman"/>
          <w:iCs/>
          <w:sz w:val="24"/>
          <w:szCs w:val="24"/>
        </w:rPr>
        <w:t>где ∆е</w:t>
      </w:r>
      <w:r w:rsidRPr="00E91DE7">
        <w:rPr>
          <w:rFonts w:ascii="Times New Roman" w:eastAsiaTheme="minorEastAsia" w:hAnsi="Times New Roman" w:cs="Times New Roman"/>
          <w:iCs/>
          <w:sz w:val="24"/>
          <w:szCs w:val="24"/>
          <w:vertAlign w:val="subscript"/>
        </w:rPr>
        <w:t>ех</w:t>
      </w:r>
      <w:r w:rsidRPr="00E91DE7">
        <w:rPr>
          <w:rFonts w:ascii="Times New Roman" w:eastAsiaTheme="minorEastAsia" w:hAnsi="Times New Roman" w:cs="Times New Roman"/>
          <w:iCs/>
          <w:sz w:val="24"/>
          <w:szCs w:val="24"/>
        </w:rPr>
        <w:t xml:space="preserve"> - элиминированные резервы смертности (или прирост ОПЖ при устранении изучаемой причины смерти); е</w:t>
      </w:r>
      <w:r w:rsidRPr="00E91DE7">
        <w:rPr>
          <w:rFonts w:ascii="Times New Roman" w:eastAsiaTheme="minorEastAsia" w:hAnsi="Times New Roman" w:cs="Times New Roman"/>
          <w:iCs/>
          <w:sz w:val="24"/>
          <w:szCs w:val="24"/>
          <w:vertAlign w:val="subscript"/>
        </w:rPr>
        <w:t>х</w:t>
      </w:r>
      <w:r w:rsidRPr="00E91DE7">
        <w:rPr>
          <w:rFonts w:ascii="Times New Roman" w:eastAsiaTheme="minorEastAsia" w:hAnsi="Times New Roman" w:cs="Times New Roman"/>
          <w:iCs/>
          <w:sz w:val="24"/>
          <w:szCs w:val="24"/>
        </w:rPr>
        <w:t xml:space="preserve"> - ОПЖ в возрасте х; е</w:t>
      </w:r>
      <w:r w:rsidRPr="00E91DE7">
        <w:rPr>
          <w:rFonts w:ascii="Times New Roman" w:eastAsiaTheme="minorEastAsia" w:hAnsi="Times New Roman" w:cs="Times New Roman"/>
          <w:iCs/>
          <w:sz w:val="24"/>
          <w:szCs w:val="24"/>
          <w:vertAlign w:val="subscript"/>
        </w:rPr>
        <w:t>ех</w:t>
      </w:r>
      <w:r w:rsidRPr="00E91DE7">
        <w:rPr>
          <w:rFonts w:ascii="Times New Roman" w:eastAsiaTheme="minorEastAsia" w:hAnsi="Times New Roman" w:cs="Times New Roman"/>
          <w:iCs/>
          <w:sz w:val="24"/>
          <w:szCs w:val="24"/>
        </w:rPr>
        <w:t xml:space="preserve"> - ОПЖ в возрасте х без учета изучаемой причины смерти.</w:t>
      </w:r>
      <w:r w:rsidR="006F6328" w:rsidRPr="00E91DE7">
        <w:rPr>
          <w:rFonts w:ascii="Times New Roman" w:eastAsiaTheme="minorEastAsia" w:hAnsi="Times New Roman" w:cs="Times New Roman"/>
          <w:iCs/>
          <w:sz w:val="24"/>
          <w:szCs w:val="24"/>
        </w:rPr>
        <w:t xml:space="preserve"> Согласно исследованию М. В. Морева и А. А. Короленко, на первом месте по уровню потерь ОПЖ населения обоих полов для всех возрастных когорт России находятся болезни системы кровообращения («отнимают» 10 лет предстоящей продолжительности жизни). На втором месте находятся новообразования («потеря» 1.8 лет), на третьем – внешние причины смерти («потеря» 1.3 лет).</w:t>
      </w:r>
    </w:p>
    <w:p w14:paraId="24C70ABF" w14:textId="28E0806F" w:rsidR="00E74FAA" w:rsidRPr="00E91DE7" w:rsidRDefault="00E74FAA" w:rsidP="00214FBE">
      <w:pPr>
        <w:pStyle w:val="a3"/>
        <w:spacing w:after="0" w:line="240" w:lineRule="auto"/>
        <w:ind w:left="0" w:firstLine="709"/>
        <w:contextualSpacing w:val="0"/>
        <w:jc w:val="both"/>
        <w:rPr>
          <w:rFonts w:ascii="Times New Roman" w:hAnsi="Times New Roman" w:cs="Times New Roman"/>
          <w:sz w:val="24"/>
          <w:szCs w:val="24"/>
        </w:rPr>
      </w:pPr>
      <w:r w:rsidRPr="00E91DE7">
        <w:rPr>
          <w:rFonts w:ascii="Times New Roman" w:hAnsi="Times New Roman" w:cs="Times New Roman"/>
          <w:sz w:val="24"/>
          <w:szCs w:val="24"/>
        </w:rPr>
        <w:t xml:space="preserve">С преждевременной смертностью связана ожидаемая продолжительность здоровой жизни (ОПЗЖ). Он коррелируется с ожидаемой продолжительностью жизни из-за общих факторов (здравоохранение и улучшение условий жизни). В России для расчёта ОПЗЖ </w:t>
      </w:r>
      <w:r w:rsidR="00214FBE">
        <w:rPr>
          <w:rFonts w:ascii="Times New Roman" w:hAnsi="Times New Roman" w:cs="Times New Roman"/>
          <w:sz w:val="24"/>
          <w:szCs w:val="24"/>
        </w:rPr>
        <w:t>применяется</w:t>
      </w:r>
      <w:r w:rsidRPr="00E91DE7">
        <w:rPr>
          <w:rFonts w:ascii="Times New Roman" w:hAnsi="Times New Roman" w:cs="Times New Roman"/>
          <w:sz w:val="24"/>
          <w:szCs w:val="24"/>
        </w:rPr>
        <w:t xml:space="preserve"> метод Салливана, при котором используются таблицы смертности и выборочные наблюдения о состоянии здоровья населения. В соответствии с таблицами смертности исследователь определяет такие значения, как точный возраст (</w:t>
      </w:r>
      <w:r w:rsidRPr="00E91DE7">
        <w:rPr>
          <w:rFonts w:ascii="Times New Roman" w:hAnsi="Times New Roman" w:cs="Times New Roman"/>
          <w:sz w:val="24"/>
          <w:szCs w:val="24"/>
          <w:lang w:val="en-US"/>
        </w:rPr>
        <w:t>x</w:t>
      </w:r>
      <w:r w:rsidRPr="00E91DE7">
        <w:rPr>
          <w:rFonts w:ascii="Times New Roman" w:hAnsi="Times New Roman" w:cs="Times New Roman"/>
          <w:sz w:val="24"/>
          <w:szCs w:val="24"/>
        </w:rPr>
        <w:t xml:space="preserve">, в районе от 0 до </w:t>
      </w:r>
      <w:r w:rsidRPr="00E91DE7">
        <w:rPr>
          <w:rFonts w:ascii="Times New Roman" w:hAnsi="Times New Roman" w:cs="Times New Roman"/>
          <w:sz w:val="24"/>
          <w:szCs w:val="24"/>
          <w:lang w:val="en-US"/>
        </w:rPr>
        <w:t>w</w:t>
      </w:r>
      <w:r w:rsidRPr="00E91DE7">
        <w:rPr>
          <w:rFonts w:ascii="Times New Roman" w:hAnsi="Times New Roman" w:cs="Times New Roman"/>
          <w:sz w:val="24"/>
          <w:szCs w:val="24"/>
        </w:rPr>
        <w:t xml:space="preserve"> - максимального возраста), число доживших до точного возраста (</w:t>
      </w:r>
      <w:r w:rsidRPr="00E91DE7">
        <w:rPr>
          <w:rFonts w:ascii="Times New Roman" w:hAnsi="Times New Roman" w:cs="Times New Roman"/>
          <w:sz w:val="24"/>
          <w:szCs w:val="24"/>
          <w:lang w:val="en-US"/>
        </w:rPr>
        <w:t>l</w:t>
      </w:r>
      <w:r w:rsidRPr="00E91DE7">
        <w:rPr>
          <w:rFonts w:ascii="Times New Roman" w:hAnsi="Times New Roman" w:cs="Times New Roman"/>
          <w:sz w:val="24"/>
          <w:szCs w:val="24"/>
          <w:vertAlign w:val="subscript"/>
          <w:lang w:val="en-US"/>
        </w:rPr>
        <w:t>x</w:t>
      </w:r>
      <w:r w:rsidRPr="00E91DE7">
        <w:rPr>
          <w:rFonts w:ascii="Times New Roman" w:hAnsi="Times New Roman" w:cs="Times New Roman"/>
          <w:sz w:val="24"/>
          <w:szCs w:val="24"/>
        </w:rPr>
        <w:t>) и число человеко-лет, прожитых в возрастном интервале от x до x + 1 (</w:t>
      </w:r>
      <w:r w:rsidRPr="00E91DE7">
        <w:rPr>
          <w:rFonts w:ascii="Times New Roman" w:hAnsi="Times New Roman" w:cs="Times New Roman"/>
          <w:sz w:val="24"/>
          <w:szCs w:val="24"/>
          <w:lang w:val="en-US"/>
        </w:rPr>
        <w:t>L</w:t>
      </w:r>
      <w:r w:rsidRPr="00E91DE7">
        <w:rPr>
          <w:rFonts w:ascii="Times New Roman" w:hAnsi="Times New Roman" w:cs="Times New Roman"/>
          <w:sz w:val="24"/>
          <w:szCs w:val="24"/>
          <w:vertAlign w:val="subscript"/>
          <w:lang w:val="en-US"/>
        </w:rPr>
        <w:t>x</w:t>
      </w:r>
      <w:r w:rsidRPr="00E91DE7">
        <w:rPr>
          <w:rFonts w:ascii="Times New Roman" w:hAnsi="Times New Roman" w:cs="Times New Roman"/>
          <w:sz w:val="24"/>
          <w:szCs w:val="24"/>
        </w:rPr>
        <w:t>)</w:t>
      </w:r>
      <w:r w:rsidR="00C15FDD" w:rsidRPr="00E91DE7">
        <w:rPr>
          <w:rFonts w:ascii="Times New Roman" w:hAnsi="Times New Roman" w:cs="Times New Roman"/>
          <w:sz w:val="24"/>
          <w:szCs w:val="24"/>
        </w:rPr>
        <w:t xml:space="preserve"> [2,5]</w:t>
      </w:r>
      <w:r w:rsidRPr="00E91DE7">
        <w:rPr>
          <w:rFonts w:ascii="Times New Roman" w:hAnsi="Times New Roman" w:cs="Times New Roman"/>
          <w:sz w:val="24"/>
          <w:szCs w:val="24"/>
        </w:rPr>
        <w:t>.</w:t>
      </w:r>
      <w:r w:rsidR="00214FBE">
        <w:rPr>
          <w:rFonts w:ascii="Times New Roman" w:hAnsi="Times New Roman" w:cs="Times New Roman"/>
          <w:sz w:val="24"/>
          <w:szCs w:val="24"/>
        </w:rPr>
        <w:t xml:space="preserve"> </w:t>
      </w:r>
      <w:r w:rsidRPr="00E91DE7">
        <w:rPr>
          <w:rFonts w:ascii="Times New Roman" w:hAnsi="Times New Roman" w:cs="Times New Roman"/>
          <w:sz w:val="24"/>
          <w:szCs w:val="24"/>
        </w:rPr>
        <w:t>Ожидаемая продолжительность предстоящей жизни для доживших до точного возраста x равна:</w:t>
      </w:r>
    </w:p>
    <w:p w14:paraId="02F40A85" w14:textId="77777777" w:rsidR="00E74FAA" w:rsidRPr="00E91DE7" w:rsidRDefault="00E74FAA" w:rsidP="00D614D9">
      <w:pPr>
        <w:pStyle w:val="a3"/>
        <w:spacing w:after="0" w:line="240" w:lineRule="auto"/>
        <w:ind w:left="0" w:firstLine="709"/>
        <w:contextualSpacing w:val="0"/>
        <w:jc w:val="both"/>
        <w:rPr>
          <w:rFonts w:ascii="Times New Roman" w:hAnsi="Times New Roman" w:cs="Times New Roman"/>
          <w:i/>
          <w:sz w:val="24"/>
          <w:szCs w:val="24"/>
        </w:rPr>
      </w:pPr>
      <m:oMathPara>
        <m:oMath>
          <m:r>
            <w:rPr>
              <w:rFonts w:ascii="Cambria Math" w:hAnsi="Cambria Math" w:cs="Times New Roman"/>
              <w:sz w:val="24"/>
              <w:szCs w:val="24"/>
            </w:rPr>
            <m:t>Ex=</m:t>
          </m:r>
          <m:f>
            <m:fPr>
              <m:ctrlPr>
                <w:rPr>
                  <w:rFonts w:ascii="Cambria Math" w:hAnsi="Cambria Math" w:cs="Times New Roman"/>
                  <w:i/>
                  <w:sz w:val="24"/>
                  <w:szCs w:val="24"/>
                </w:rPr>
              </m:ctrlPr>
            </m:fPr>
            <m:num>
              <m:nary>
                <m:naryPr>
                  <m:chr m:val="∑"/>
                  <m:limLoc m:val="subSup"/>
                  <m:ctrlPr>
                    <w:rPr>
                      <w:rFonts w:ascii="Cambria Math" w:hAnsi="Cambria Math" w:cs="Times New Roman"/>
                      <w:i/>
                      <w:sz w:val="24"/>
                      <w:szCs w:val="24"/>
                    </w:rPr>
                  </m:ctrlPr>
                </m:naryPr>
                <m:sub>
                  <m:r>
                    <w:rPr>
                      <w:rFonts w:ascii="Cambria Math" w:hAnsi="Cambria Math" w:cs="Times New Roman"/>
                      <w:sz w:val="24"/>
                      <w:szCs w:val="24"/>
                    </w:rPr>
                    <m:t>x</m:t>
                  </m:r>
                </m:sub>
                <m:sup>
                  <m:r>
                    <w:rPr>
                      <w:rFonts w:ascii="Cambria Math" w:hAnsi="Cambria Math" w:cs="Times New Roman"/>
                      <w:sz w:val="24"/>
                      <w:szCs w:val="24"/>
                    </w:rPr>
                    <m:t>w</m:t>
                  </m:r>
                </m:sup>
                <m:e>
                  <m:sSub>
                    <m:sSubPr>
                      <m:ctrlPr>
                        <w:rPr>
                          <w:rFonts w:ascii="Cambria Math" w:hAnsi="Cambria Math" w:cs="Times New Roman"/>
                          <w:i/>
                          <w:sz w:val="24"/>
                          <w:szCs w:val="24"/>
                        </w:rPr>
                      </m:ctrlPr>
                    </m:sSubPr>
                    <m:e>
                      <m:r>
                        <w:rPr>
                          <w:rFonts w:ascii="Cambria Math" w:hAnsi="Cambria Math" w:cs="Times New Roman"/>
                          <w:sz w:val="24"/>
                          <w:szCs w:val="24"/>
                        </w:rPr>
                        <m:t>L</m:t>
                      </m:r>
                    </m:e>
                    <m:sub>
                      <m:r>
                        <w:rPr>
                          <w:rFonts w:ascii="Cambria Math" w:hAnsi="Cambria Math" w:cs="Times New Roman"/>
                          <w:sz w:val="24"/>
                          <w:szCs w:val="24"/>
                        </w:rPr>
                        <m:t>i</m:t>
                      </m:r>
                    </m:sub>
                  </m:sSub>
                </m:e>
              </m:nary>
            </m:num>
            <m:den>
              <m:sSub>
                <m:sSubPr>
                  <m:ctrlPr>
                    <w:rPr>
                      <w:rFonts w:ascii="Cambria Math" w:hAnsi="Cambria Math" w:cs="Times New Roman"/>
                      <w:sz w:val="24"/>
                      <w:szCs w:val="24"/>
                      <w:vertAlign w:val="subscript"/>
                      <w:lang w:val="en-US"/>
                    </w:rPr>
                  </m:ctrlPr>
                </m:sSubPr>
                <m:e>
                  <m:r>
                    <w:rPr>
                      <w:rFonts w:ascii="Cambria Math" w:hAnsi="Cambria Math" w:cs="Times New Roman"/>
                      <w:sz w:val="24"/>
                      <w:szCs w:val="24"/>
                      <w:lang w:val="en-US"/>
                    </w:rPr>
                    <m:t>l</m:t>
                  </m:r>
                </m:e>
                <m:sub>
                  <m:r>
                    <w:rPr>
                      <w:rFonts w:ascii="Cambria Math" w:hAnsi="Cambria Math" w:cs="Times New Roman"/>
                      <w:sz w:val="24"/>
                      <w:szCs w:val="24"/>
                      <w:vertAlign w:val="subscript"/>
                      <w:lang w:val="en-US"/>
                    </w:rPr>
                    <m:t>x</m:t>
                  </m:r>
                </m:sub>
              </m:sSub>
            </m:den>
          </m:f>
        </m:oMath>
      </m:oMathPara>
    </w:p>
    <w:p w14:paraId="67444E94" w14:textId="1EFB2222" w:rsidR="00E74FAA" w:rsidRPr="00E91DE7" w:rsidRDefault="00E74FAA" w:rsidP="00D614D9">
      <w:pPr>
        <w:pStyle w:val="a3"/>
        <w:spacing w:after="0" w:line="240" w:lineRule="auto"/>
        <w:ind w:left="0" w:firstLine="709"/>
        <w:contextualSpacing w:val="0"/>
        <w:jc w:val="both"/>
        <w:rPr>
          <w:rFonts w:ascii="Times New Roman" w:hAnsi="Times New Roman" w:cs="Times New Roman"/>
          <w:sz w:val="24"/>
          <w:szCs w:val="24"/>
        </w:rPr>
      </w:pPr>
      <w:r w:rsidRPr="00E91DE7">
        <w:rPr>
          <w:rFonts w:ascii="Times New Roman" w:hAnsi="Times New Roman" w:cs="Times New Roman"/>
          <w:sz w:val="24"/>
          <w:szCs w:val="24"/>
        </w:rPr>
        <w:t xml:space="preserve">Достоинствами метода Салливана являются простота расчёта, относительная доступность данных и обеспечение хорошей информативности; недостатками - накопительный эффект (отражает не только текущий уровень заболеваемости, но и состояние здоровья населения в прошлом), неприменимость в период обстоятельств, резко влияющих на заболеваемость и смертность (катастрофы, эпидемии, войны), возможность </w:t>
      </w:r>
      <w:r w:rsidRPr="00E91DE7">
        <w:rPr>
          <w:rFonts w:ascii="Times New Roman" w:hAnsi="Times New Roman" w:cs="Times New Roman"/>
          <w:sz w:val="24"/>
          <w:szCs w:val="24"/>
        </w:rPr>
        <w:lastRenderedPageBreak/>
        <w:t>искажений при сравнении с другими странами или культурными регионами.</w:t>
      </w:r>
      <w:r w:rsidR="00E176C5" w:rsidRPr="00E91DE7">
        <w:rPr>
          <w:rFonts w:ascii="Times New Roman" w:hAnsi="Times New Roman" w:cs="Times New Roman"/>
          <w:sz w:val="24"/>
          <w:szCs w:val="24"/>
        </w:rPr>
        <w:t xml:space="preserve"> В 2022 году ОПЗЖ в России составляла 59.8 лет, что ниже ОПЖ на 12.96 лет.</w:t>
      </w:r>
    </w:p>
    <w:p w14:paraId="428781CC" w14:textId="7FB19A5E" w:rsidR="00E74FAA" w:rsidRPr="00E91DE7" w:rsidRDefault="00E74FAA" w:rsidP="00D614D9">
      <w:pPr>
        <w:pStyle w:val="a3"/>
        <w:spacing w:after="0" w:line="240" w:lineRule="auto"/>
        <w:ind w:left="0" w:firstLine="709"/>
        <w:contextualSpacing w:val="0"/>
        <w:jc w:val="both"/>
        <w:rPr>
          <w:rFonts w:ascii="Times New Roman" w:hAnsi="Times New Roman" w:cs="Times New Roman"/>
          <w:sz w:val="24"/>
          <w:szCs w:val="24"/>
        </w:rPr>
      </w:pPr>
      <w:r w:rsidRPr="00E91DE7">
        <w:rPr>
          <w:rFonts w:ascii="Times New Roman" w:hAnsi="Times New Roman" w:cs="Times New Roman"/>
          <w:sz w:val="24"/>
          <w:szCs w:val="24"/>
        </w:rPr>
        <w:t>ВОЗ использует другой подход в рамках программы Global Health Observatory</w:t>
      </w:r>
      <w:r w:rsidR="00C15FDD" w:rsidRPr="00E91DE7">
        <w:rPr>
          <w:rFonts w:ascii="Times New Roman" w:hAnsi="Times New Roman" w:cs="Times New Roman"/>
          <w:sz w:val="24"/>
          <w:szCs w:val="24"/>
        </w:rPr>
        <w:t xml:space="preserve"> [1]</w:t>
      </w:r>
      <w:r w:rsidRPr="00E91DE7">
        <w:rPr>
          <w:rFonts w:ascii="Times New Roman" w:hAnsi="Times New Roman" w:cs="Times New Roman"/>
          <w:sz w:val="24"/>
          <w:szCs w:val="24"/>
        </w:rPr>
        <w:t xml:space="preserve">. Ей применяется показатель </w:t>
      </w:r>
      <w:r w:rsidRPr="00E91DE7">
        <w:rPr>
          <w:rFonts w:ascii="Times New Roman" w:hAnsi="Times New Roman" w:cs="Times New Roman"/>
          <w:sz w:val="24"/>
          <w:szCs w:val="24"/>
          <w:lang w:val="en-US"/>
        </w:rPr>
        <w:t>HALE</w:t>
      </w:r>
      <w:r w:rsidRPr="00E91DE7">
        <w:rPr>
          <w:rFonts w:ascii="Times New Roman" w:hAnsi="Times New Roman" w:cs="Times New Roman"/>
          <w:sz w:val="24"/>
          <w:szCs w:val="24"/>
        </w:rPr>
        <w:t xml:space="preserve"> (</w:t>
      </w:r>
      <w:r w:rsidRPr="00E91DE7">
        <w:rPr>
          <w:rFonts w:ascii="Times New Roman" w:hAnsi="Times New Roman" w:cs="Times New Roman"/>
          <w:sz w:val="24"/>
          <w:szCs w:val="24"/>
          <w:lang w:val="en-US"/>
        </w:rPr>
        <w:t>Health</w:t>
      </w:r>
      <w:r w:rsidRPr="00E91DE7">
        <w:rPr>
          <w:rFonts w:ascii="Times New Roman" w:hAnsi="Times New Roman" w:cs="Times New Roman"/>
          <w:sz w:val="24"/>
          <w:szCs w:val="24"/>
        </w:rPr>
        <w:t>-</w:t>
      </w:r>
      <w:r w:rsidRPr="00E91DE7">
        <w:rPr>
          <w:rFonts w:ascii="Times New Roman" w:hAnsi="Times New Roman" w:cs="Times New Roman"/>
          <w:sz w:val="24"/>
          <w:szCs w:val="24"/>
          <w:lang w:val="en-US"/>
        </w:rPr>
        <w:t>Adjusted</w:t>
      </w:r>
      <w:r w:rsidRPr="00E91DE7">
        <w:rPr>
          <w:rFonts w:ascii="Times New Roman" w:hAnsi="Times New Roman" w:cs="Times New Roman"/>
          <w:sz w:val="24"/>
          <w:szCs w:val="24"/>
        </w:rPr>
        <w:t xml:space="preserve"> </w:t>
      </w:r>
      <w:r w:rsidRPr="00E91DE7">
        <w:rPr>
          <w:rFonts w:ascii="Times New Roman" w:hAnsi="Times New Roman" w:cs="Times New Roman"/>
          <w:sz w:val="24"/>
          <w:szCs w:val="24"/>
          <w:lang w:val="en-US"/>
        </w:rPr>
        <w:t>Life</w:t>
      </w:r>
      <w:r w:rsidRPr="00E91DE7">
        <w:rPr>
          <w:rFonts w:ascii="Times New Roman" w:hAnsi="Times New Roman" w:cs="Times New Roman"/>
          <w:sz w:val="24"/>
          <w:szCs w:val="24"/>
        </w:rPr>
        <w:t xml:space="preserve"> </w:t>
      </w:r>
      <w:r w:rsidRPr="00E91DE7">
        <w:rPr>
          <w:rFonts w:ascii="Times New Roman" w:hAnsi="Times New Roman" w:cs="Times New Roman"/>
          <w:sz w:val="24"/>
          <w:szCs w:val="24"/>
          <w:lang w:val="en-US"/>
        </w:rPr>
        <w:t>Expectancy</w:t>
      </w:r>
      <w:r w:rsidRPr="00E91DE7">
        <w:rPr>
          <w:rFonts w:ascii="Times New Roman" w:hAnsi="Times New Roman" w:cs="Times New Roman"/>
          <w:sz w:val="24"/>
          <w:szCs w:val="24"/>
        </w:rPr>
        <w:t xml:space="preserve"> или </w:t>
      </w:r>
      <w:r w:rsidRPr="00E91DE7">
        <w:rPr>
          <w:rFonts w:ascii="Times New Roman" w:hAnsi="Times New Roman" w:cs="Times New Roman"/>
          <w:sz w:val="24"/>
          <w:szCs w:val="24"/>
          <w:lang w:val="en-US"/>
        </w:rPr>
        <w:t>Healthy</w:t>
      </w:r>
      <w:r w:rsidRPr="00E91DE7">
        <w:rPr>
          <w:rFonts w:ascii="Times New Roman" w:hAnsi="Times New Roman" w:cs="Times New Roman"/>
          <w:sz w:val="24"/>
          <w:szCs w:val="24"/>
        </w:rPr>
        <w:t xml:space="preserve"> </w:t>
      </w:r>
      <w:r w:rsidRPr="00E91DE7">
        <w:rPr>
          <w:rFonts w:ascii="Times New Roman" w:hAnsi="Times New Roman" w:cs="Times New Roman"/>
          <w:sz w:val="24"/>
          <w:szCs w:val="24"/>
          <w:lang w:val="en-US"/>
        </w:rPr>
        <w:t>Life</w:t>
      </w:r>
      <w:r w:rsidRPr="00E91DE7">
        <w:rPr>
          <w:rFonts w:ascii="Times New Roman" w:hAnsi="Times New Roman" w:cs="Times New Roman"/>
          <w:sz w:val="24"/>
          <w:szCs w:val="24"/>
        </w:rPr>
        <w:t xml:space="preserve"> </w:t>
      </w:r>
      <w:r w:rsidRPr="00E91DE7">
        <w:rPr>
          <w:rFonts w:ascii="Times New Roman" w:hAnsi="Times New Roman" w:cs="Times New Roman"/>
          <w:sz w:val="24"/>
          <w:szCs w:val="24"/>
          <w:lang w:val="en-US"/>
        </w:rPr>
        <w:t>Expectancy</w:t>
      </w:r>
      <w:r w:rsidRPr="00E91DE7">
        <w:rPr>
          <w:rFonts w:ascii="Times New Roman" w:hAnsi="Times New Roman" w:cs="Times New Roman"/>
          <w:sz w:val="24"/>
          <w:szCs w:val="24"/>
        </w:rPr>
        <w:t>), отражающий среднее количество лет, в течение которых человек может рассчитывать на полное здоровье (то есть без заболеваний и травм). Метод расчёта этого показателя зависит от доступных данных и представляет собой сочетание статистических моделей и экспертных оценок. Для России расчёт по данному подходу основан на данных о смертности по возрасту и причинам смерти.</w:t>
      </w:r>
      <w:r w:rsidR="00B357E1" w:rsidRPr="00E91DE7">
        <w:rPr>
          <w:rFonts w:ascii="Times New Roman" w:hAnsi="Times New Roman" w:cs="Times New Roman"/>
          <w:sz w:val="24"/>
          <w:szCs w:val="24"/>
        </w:rPr>
        <w:t xml:space="preserve"> В 2019 </w:t>
      </w:r>
      <w:r w:rsidR="00B357E1" w:rsidRPr="00E91DE7">
        <w:rPr>
          <w:rFonts w:ascii="Times New Roman" w:hAnsi="Times New Roman" w:cs="Times New Roman"/>
          <w:sz w:val="24"/>
          <w:szCs w:val="24"/>
          <w:lang w:val="en-US"/>
        </w:rPr>
        <w:t>HALE</w:t>
      </w:r>
      <w:r w:rsidR="00B357E1" w:rsidRPr="00E91DE7">
        <w:rPr>
          <w:rFonts w:ascii="Times New Roman" w:hAnsi="Times New Roman" w:cs="Times New Roman"/>
          <w:sz w:val="24"/>
          <w:szCs w:val="24"/>
        </w:rPr>
        <w:t xml:space="preserve"> в России составлял 64.2 года (для сравнения, ОПЗЖ за тот же год был равен 60.3 года).</w:t>
      </w:r>
    </w:p>
    <w:p w14:paraId="7229BC0F" w14:textId="73E801E6" w:rsidR="00E74FAA" w:rsidRPr="00E91DE7" w:rsidRDefault="00E74FAA" w:rsidP="00544984">
      <w:pPr>
        <w:pStyle w:val="a3"/>
        <w:spacing w:after="0" w:line="240" w:lineRule="auto"/>
        <w:ind w:left="0" w:firstLine="709"/>
        <w:contextualSpacing w:val="0"/>
        <w:jc w:val="both"/>
        <w:rPr>
          <w:rFonts w:ascii="Times New Roman" w:hAnsi="Times New Roman" w:cs="Times New Roman"/>
          <w:sz w:val="24"/>
          <w:szCs w:val="24"/>
        </w:rPr>
      </w:pPr>
      <w:r w:rsidRPr="00E91DE7">
        <w:rPr>
          <w:rFonts w:ascii="Times New Roman" w:hAnsi="Times New Roman" w:cs="Times New Roman"/>
          <w:sz w:val="24"/>
          <w:szCs w:val="24"/>
        </w:rPr>
        <w:t>Для оценки потерь здорового населения и измерения преждевременной смертности в экономическом аспекте используется показатель «Потерянные годы потенциальной жизни» (ПГПЖ)</w:t>
      </w:r>
      <w:r w:rsidR="00C15FDD" w:rsidRPr="00E91DE7">
        <w:rPr>
          <w:rFonts w:ascii="Times New Roman" w:hAnsi="Times New Roman" w:cs="Times New Roman"/>
          <w:sz w:val="24"/>
          <w:szCs w:val="24"/>
        </w:rPr>
        <w:t xml:space="preserve"> [9]</w:t>
      </w:r>
      <w:r w:rsidRPr="00E91DE7">
        <w:rPr>
          <w:rFonts w:ascii="Times New Roman" w:hAnsi="Times New Roman" w:cs="Times New Roman"/>
          <w:sz w:val="24"/>
          <w:szCs w:val="24"/>
        </w:rPr>
        <w:t>. ПГПЖ аккумулирует две характеристики потерь - число умерших и возраст, в котором наступила смерть. Последнее особенно важно для адекватной оценки значимости потерь, произошедших в молодых возрастах и которые являются предотвратимыми. ПГПЖ широко применяется в мире для оценки благосостояния населения, но в России он ещё не получил должного развития при наличии информационной базы и алгоритмов.</w:t>
      </w:r>
      <w:r w:rsidR="00544984">
        <w:rPr>
          <w:rFonts w:ascii="Times New Roman" w:hAnsi="Times New Roman" w:cs="Times New Roman"/>
          <w:sz w:val="24"/>
          <w:szCs w:val="24"/>
        </w:rPr>
        <w:t xml:space="preserve"> </w:t>
      </w:r>
      <w:r w:rsidRPr="00E91DE7">
        <w:rPr>
          <w:rFonts w:ascii="Times New Roman" w:hAnsi="Times New Roman" w:cs="Times New Roman"/>
          <w:sz w:val="24"/>
          <w:szCs w:val="24"/>
        </w:rPr>
        <w:t>Расчёт ПГПЖ на уровне субъекта Федерации может быть произведён на основе данных об умерших, распределенных по полу, возрасту и причинам смерти, и сведениях о среднегодовом половозрастном составе населения. Использование именно этих данных дают основу для сравнения ситуации в российских регионах.</w:t>
      </w:r>
      <w:bookmarkStart w:id="0" w:name="_GoBack"/>
      <w:bookmarkEnd w:id="0"/>
    </w:p>
    <w:p w14:paraId="462075FF" w14:textId="19297101" w:rsidR="00E74FAA" w:rsidRPr="00E91DE7" w:rsidRDefault="00E74FAA" w:rsidP="00D614D9">
      <w:pPr>
        <w:pStyle w:val="a3"/>
        <w:spacing w:after="0" w:line="240" w:lineRule="auto"/>
        <w:ind w:left="0" w:firstLine="709"/>
        <w:contextualSpacing w:val="0"/>
        <w:jc w:val="both"/>
        <w:rPr>
          <w:rFonts w:ascii="Times New Roman" w:hAnsi="Times New Roman" w:cs="Times New Roman"/>
          <w:sz w:val="24"/>
          <w:szCs w:val="24"/>
        </w:rPr>
      </w:pPr>
      <w:r w:rsidRPr="00E91DE7">
        <w:rPr>
          <w:rFonts w:ascii="Times New Roman" w:hAnsi="Times New Roman" w:cs="Times New Roman"/>
          <w:sz w:val="24"/>
          <w:szCs w:val="24"/>
        </w:rPr>
        <w:t>При расчёте ПГПЖ определяется число лет, недожитых популяцией до некоторого нормативного возраста (обычно до 70 лет, но в ряде стран используются другие возрастные границы). Смерти в возрастах старше нормативного не учитываются в расчёте. Вначале рассчитываются недожитые годы для каждого возрастного интервала по формуле:</w:t>
      </w:r>
    </w:p>
    <w:p w14:paraId="665B9CDD" w14:textId="77777777" w:rsidR="00E74FAA" w:rsidRPr="00214FBE" w:rsidRDefault="00544984" w:rsidP="00D614D9">
      <w:pPr>
        <w:pStyle w:val="a3"/>
        <w:spacing w:after="0" w:line="240" w:lineRule="auto"/>
        <w:ind w:left="0" w:firstLine="709"/>
        <w:contextualSpacing w:val="0"/>
        <w:jc w:val="center"/>
        <w:rPr>
          <w:rFonts w:ascii="Times New Roman" w:eastAsiaTheme="minorEastAsia" w:hAnsi="Times New Roman" w:cs="Times New Roman"/>
          <w:sz w:val="24"/>
          <w:szCs w:val="24"/>
        </w:rPr>
      </w:pPr>
      <m:oMath>
        <m:sSub>
          <m:sSubPr>
            <m:ctrlPr>
              <w:rPr>
                <w:rFonts w:ascii="Cambria Math" w:hAnsi="Cambria Math" w:cs="Times New Roman"/>
                <w:i/>
                <w:sz w:val="24"/>
                <w:szCs w:val="24"/>
              </w:rPr>
            </m:ctrlPr>
          </m:sSubPr>
          <m:e>
            <m:r>
              <w:rPr>
                <w:rFonts w:ascii="Cambria Math" w:hAnsi="Cambria Math" w:cs="Times New Roman"/>
                <w:sz w:val="24"/>
                <w:szCs w:val="24"/>
                <w:lang w:val="en-US"/>
              </w:rPr>
              <m:t>a</m:t>
            </m:r>
          </m:e>
          <m:sub>
            <m:r>
              <w:rPr>
                <w:rFonts w:ascii="Cambria Math" w:hAnsi="Cambria Math" w:cs="Times New Roman"/>
                <w:sz w:val="24"/>
                <w:szCs w:val="24"/>
              </w:rPr>
              <m:t>i</m:t>
            </m:r>
          </m:sub>
        </m:sSub>
        <m:r>
          <w:rPr>
            <w:rFonts w:ascii="Cambria Math" w:hAnsi="Cambria Math" w:cs="Times New Roman"/>
            <w:sz w:val="24"/>
            <w:szCs w:val="24"/>
          </w:rPr>
          <m:t>=T-</m:t>
        </m:r>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i</m:t>
            </m:r>
          </m:sub>
        </m:sSub>
      </m:oMath>
      <w:r w:rsidR="00E74FAA" w:rsidRPr="00214FBE">
        <w:rPr>
          <w:rFonts w:ascii="Times New Roman" w:eastAsiaTheme="minorEastAsia" w:hAnsi="Times New Roman" w:cs="Times New Roman"/>
          <w:sz w:val="24"/>
          <w:szCs w:val="24"/>
        </w:rPr>
        <w:t xml:space="preserve"> ,</w:t>
      </w:r>
    </w:p>
    <w:p w14:paraId="639DB355" w14:textId="77777777" w:rsidR="00E74FAA" w:rsidRPr="00214FBE" w:rsidRDefault="00E74FAA" w:rsidP="00D614D9">
      <w:pPr>
        <w:pStyle w:val="a3"/>
        <w:spacing w:after="0" w:line="240" w:lineRule="auto"/>
        <w:ind w:left="0" w:firstLine="709"/>
        <w:contextualSpacing w:val="0"/>
        <w:jc w:val="both"/>
        <w:rPr>
          <w:rFonts w:ascii="Times New Roman" w:eastAsiaTheme="minorEastAsia" w:hAnsi="Times New Roman" w:cs="Times New Roman"/>
          <w:sz w:val="24"/>
          <w:szCs w:val="24"/>
        </w:rPr>
      </w:pPr>
      <w:r w:rsidRPr="00214FBE">
        <w:rPr>
          <w:rFonts w:ascii="Times New Roman" w:eastAsiaTheme="minorEastAsia" w:hAnsi="Times New Roman" w:cs="Times New Roman"/>
          <w:sz w:val="24"/>
          <w:szCs w:val="24"/>
        </w:rPr>
        <w:t>где a</w:t>
      </w:r>
      <w:r w:rsidRPr="00214FBE">
        <w:rPr>
          <w:rFonts w:ascii="Times New Roman" w:eastAsiaTheme="minorEastAsia" w:hAnsi="Times New Roman" w:cs="Times New Roman"/>
          <w:sz w:val="24"/>
          <w:szCs w:val="24"/>
          <w:vertAlign w:val="subscript"/>
        </w:rPr>
        <w:t xml:space="preserve">i </w:t>
      </w:r>
      <w:r w:rsidRPr="00214FBE">
        <w:rPr>
          <w:rFonts w:ascii="Times New Roman" w:eastAsiaTheme="minorEastAsia" w:hAnsi="Times New Roman" w:cs="Times New Roman"/>
          <w:sz w:val="24"/>
          <w:szCs w:val="24"/>
        </w:rPr>
        <w:t xml:space="preserve">- недожитые годы в возрастном интервале i; T - верхний предельный возраст, до которого рассчитывается недожитие; </w:t>
      </w:r>
      <w:r w:rsidRPr="00214FBE">
        <w:rPr>
          <w:rFonts w:ascii="Times New Roman" w:eastAsiaTheme="minorEastAsia" w:hAnsi="Times New Roman" w:cs="Times New Roman"/>
          <w:sz w:val="24"/>
          <w:szCs w:val="24"/>
          <w:lang w:val="en-US"/>
        </w:rPr>
        <w:t>x</w:t>
      </w:r>
      <w:r w:rsidRPr="00214FBE">
        <w:rPr>
          <w:rFonts w:ascii="Times New Roman" w:eastAsiaTheme="minorEastAsia" w:hAnsi="Times New Roman" w:cs="Times New Roman"/>
          <w:sz w:val="24"/>
          <w:szCs w:val="24"/>
          <w:vertAlign w:val="subscript"/>
          <w:lang w:val="en-US"/>
        </w:rPr>
        <w:t>i</w:t>
      </w:r>
      <w:r w:rsidRPr="00214FBE">
        <w:rPr>
          <w:rFonts w:ascii="Times New Roman" w:eastAsiaTheme="minorEastAsia" w:hAnsi="Times New Roman" w:cs="Times New Roman"/>
          <w:sz w:val="24"/>
          <w:szCs w:val="24"/>
        </w:rPr>
        <w:t xml:space="preserve"> - середина соответствующего возрастного интервала i.</w:t>
      </w:r>
    </w:p>
    <w:p w14:paraId="33F5B70B" w14:textId="2726DE43" w:rsidR="00E74FAA" w:rsidRPr="00214FBE" w:rsidRDefault="00E74FAA" w:rsidP="00D614D9">
      <w:pPr>
        <w:pStyle w:val="a3"/>
        <w:spacing w:after="0" w:line="240" w:lineRule="auto"/>
        <w:ind w:left="0" w:firstLine="709"/>
        <w:contextualSpacing w:val="0"/>
        <w:jc w:val="both"/>
        <w:rPr>
          <w:rFonts w:ascii="Times New Roman" w:eastAsiaTheme="minorEastAsia" w:hAnsi="Times New Roman" w:cs="Times New Roman"/>
          <w:sz w:val="24"/>
          <w:szCs w:val="24"/>
        </w:rPr>
      </w:pPr>
      <w:r w:rsidRPr="00214FBE">
        <w:rPr>
          <w:rFonts w:ascii="Times New Roman" w:eastAsiaTheme="minorEastAsia" w:hAnsi="Times New Roman" w:cs="Times New Roman"/>
          <w:sz w:val="24"/>
          <w:szCs w:val="24"/>
        </w:rPr>
        <w:t>ПГПЖ рассчитываются как сумма произведений числа умерших на недожитые годы в каждой возрастной группе. То есть:</w:t>
      </w:r>
    </w:p>
    <w:p w14:paraId="747C01CD" w14:textId="77777777" w:rsidR="00E74FAA" w:rsidRPr="00214FBE" w:rsidRDefault="00E74FAA" w:rsidP="00D614D9">
      <w:pPr>
        <w:pStyle w:val="a3"/>
        <w:spacing w:after="0" w:line="240" w:lineRule="auto"/>
        <w:ind w:left="0" w:firstLine="709"/>
        <w:contextualSpacing w:val="0"/>
        <w:jc w:val="both"/>
        <w:rPr>
          <w:rFonts w:ascii="Times New Roman" w:eastAsiaTheme="minorEastAsia" w:hAnsi="Times New Roman" w:cs="Times New Roman"/>
          <w:sz w:val="24"/>
          <w:szCs w:val="24"/>
        </w:rPr>
      </w:pPr>
      <m:oMathPara>
        <m:oMath>
          <m:r>
            <w:rPr>
              <w:rFonts w:ascii="Cambria Math" w:eastAsiaTheme="minorEastAsia" w:hAnsi="Cambria Math" w:cs="Times New Roman"/>
              <w:sz w:val="24"/>
              <w:szCs w:val="24"/>
            </w:rPr>
            <m:t>ПГПЖ=</m:t>
          </m:r>
          <m:nary>
            <m:naryPr>
              <m:chr m:val="∑"/>
              <m:limLoc m:val="undOvr"/>
              <m:supHide m:val="1"/>
              <m:ctrlPr>
                <w:rPr>
                  <w:rFonts w:ascii="Cambria Math" w:eastAsiaTheme="minorEastAsia" w:hAnsi="Cambria Math" w:cs="Times New Roman"/>
                  <w:i/>
                  <w:sz w:val="24"/>
                  <w:szCs w:val="24"/>
                </w:rPr>
              </m:ctrlPr>
            </m:naryPr>
            <m:sub>
              <m:r>
                <w:rPr>
                  <w:rFonts w:ascii="Cambria Math" w:eastAsiaTheme="minorEastAsia" w:hAnsi="Cambria Math" w:cs="Times New Roman"/>
                  <w:sz w:val="24"/>
                  <w:szCs w:val="24"/>
                  <w:lang w:val="en-US"/>
                </w:rPr>
                <m:t>i</m:t>
              </m:r>
            </m:sub>
            <m:sup/>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i</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a</m:t>
                  </m:r>
                </m:e>
                <m:sub>
                  <m:r>
                    <w:rPr>
                      <w:rFonts w:ascii="Cambria Math" w:eastAsiaTheme="minorEastAsia" w:hAnsi="Cambria Math" w:cs="Times New Roman"/>
                      <w:sz w:val="24"/>
                      <w:szCs w:val="24"/>
                    </w:rPr>
                    <m:t>i</m:t>
                  </m:r>
                </m:sub>
              </m:sSub>
            </m:e>
          </m:nary>
        </m:oMath>
      </m:oMathPara>
    </w:p>
    <w:p w14:paraId="545E0963" w14:textId="4372D374" w:rsidR="00E74FAA" w:rsidRPr="00214FBE" w:rsidRDefault="00E74FAA" w:rsidP="00D614D9">
      <w:pPr>
        <w:pStyle w:val="a3"/>
        <w:spacing w:after="0" w:line="240" w:lineRule="auto"/>
        <w:ind w:left="0" w:firstLine="709"/>
        <w:contextualSpacing w:val="0"/>
        <w:jc w:val="both"/>
        <w:rPr>
          <w:rFonts w:ascii="Times New Roman" w:hAnsi="Times New Roman" w:cs="Times New Roman"/>
          <w:sz w:val="24"/>
          <w:szCs w:val="24"/>
        </w:rPr>
      </w:pPr>
      <w:r w:rsidRPr="00214FBE">
        <w:rPr>
          <w:rFonts w:ascii="Times New Roman" w:hAnsi="Times New Roman" w:cs="Times New Roman"/>
          <w:sz w:val="24"/>
          <w:szCs w:val="24"/>
        </w:rPr>
        <w:t>Так как для сравнения нужно не абсолютное, а относительное число, то часто применяется коэффициент ПГПЖ по формуле:</w:t>
      </w:r>
    </w:p>
    <w:p w14:paraId="369AF4CE" w14:textId="77777777" w:rsidR="00E74FAA" w:rsidRPr="00214FBE" w:rsidRDefault="00E74FAA" w:rsidP="00D614D9">
      <w:pPr>
        <w:pStyle w:val="a3"/>
        <w:spacing w:after="0" w:line="240" w:lineRule="auto"/>
        <w:ind w:left="0" w:firstLine="709"/>
        <w:contextualSpacing w:val="0"/>
        <w:jc w:val="center"/>
        <w:rPr>
          <w:rFonts w:ascii="Times New Roman" w:eastAsiaTheme="minorEastAsia" w:hAnsi="Times New Roman" w:cs="Times New Roman"/>
          <w:i/>
          <w:sz w:val="24"/>
          <w:szCs w:val="24"/>
        </w:rPr>
      </w:pPr>
      <m:oMath>
        <m:r>
          <w:rPr>
            <w:rFonts w:ascii="Cambria Math" w:eastAsiaTheme="minorEastAsia" w:hAnsi="Cambria Math" w:cs="Times New Roman"/>
            <w:sz w:val="24"/>
            <w:szCs w:val="24"/>
          </w:rPr>
          <m:t>Коэфф.ПГПЖ=</m:t>
        </m:r>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ПГПЖ</m:t>
            </m:r>
          </m:num>
          <m:den>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lang w:val="en-US"/>
                  </w:rPr>
                  <m:t>P</m:t>
                </m:r>
              </m:e>
              <m:sub>
                <m:r>
                  <w:rPr>
                    <w:rFonts w:ascii="Cambria Math" w:eastAsiaTheme="minorEastAsia" w:hAnsi="Cambria Math" w:cs="Times New Roman"/>
                    <w:sz w:val="24"/>
                    <w:szCs w:val="24"/>
                  </w:rPr>
                  <m:t>u</m:t>
                </m:r>
              </m:sub>
            </m:sSub>
          </m:den>
        </m:f>
        <m:r>
          <w:rPr>
            <w:rFonts w:ascii="Cambria Math" w:eastAsiaTheme="minorEastAsia" w:hAnsi="Cambria Math" w:cs="Times New Roman"/>
            <w:sz w:val="24"/>
            <w:szCs w:val="24"/>
          </w:rPr>
          <m:t>*100000</m:t>
        </m:r>
      </m:oMath>
      <w:r w:rsidRPr="00214FBE">
        <w:rPr>
          <w:rFonts w:ascii="Times New Roman" w:eastAsiaTheme="minorEastAsia" w:hAnsi="Times New Roman" w:cs="Times New Roman"/>
          <w:i/>
          <w:sz w:val="24"/>
          <w:szCs w:val="24"/>
        </w:rPr>
        <w:t xml:space="preserve"> ,</w:t>
      </w:r>
    </w:p>
    <w:p w14:paraId="71AE5481" w14:textId="77777777" w:rsidR="00E74FAA" w:rsidRPr="00E91DE7" w:rsidRDefault="00E74FAA" w:rsidP="00D614D9">
      <w:pPr>
        <w:pStyle w:val="a3"/>
        <w:spacing w:after="0" w:line="240" w:lineRule="auto"/>
        <w:ind w:left="0" w:firstLine="709"/>
        <w:contextualSpacing w:val="0"/>
        <w:jc w:val="both"/>
        <w:rPr>
          <w:rFonts w:ascii="Times New Roman" w:eastAsiaTheme="minorEastAsia" w:hAnsi="Times New Roman" w:cs="Times New Roman"/>
          <w:iCs/>
          <w:sz w:val="24"/>
          <w:szCs w:val="24"/>
        </w:rPr>
      </w:pPr>
      <w:r w:rsidRPr="00214FBE">
        <w:rPr>
          <w:rFonts w:ascii="Times New Roman" w:eastAsiaTheme="minorEastAsia" w:hAnsi="Times New Roman" w:cs="Times New Roman"/>
          <w:iCs/>
          <w:sz w:val="24"/>
          <w:szCs w:val="24"/>
        </w:rPr>
        <w:t xml:space="preserve">где </w:t>
      </w:r>
      <w:r w:rsidRPr="00214FBE">
        <w:rPr>
          <w:rFonts w:ascii="Times New Roman" w:eastAsiaTheme="minorEastAsia" w:hAnsi="Times New Roman" w:cs="Times New Roman"/>
          <w:iCs/>
          <w:sz w:val="24"/>
          <w:szCs w:val="24"/>
          <w:lang w:val="en-US"/>
        </w:rPr>
        <w:t>P</w:t>
      </w:r>
      <w:r w:rsidRPr="00214FBE">
        <w:rPr>
          <w:rFonts w:ascii="Times New Roman" w:eastAsiaTheme="minorEastAsia" w:hAnsi="Times New Roman" w:cs="Times New Roman"/>
          <w:iCs/>
          <w:sz w:val="24"/>
          <w:szCs w:val="24"/>
          <w:vertAlign w:val="subscript"/>
          <w:lang w:val="en-US"/>
        </w:rPr>
        <w:t>u</w:t>
      </w:r>
      <w:r w:rsidRPr="00214FBE">
        <w:rPr>
          <w:rFonts w:ascii="Times New Roman" w:eastAsiaTheme="minorEastAsia" w:hAnsi="Times New Roman" w:cs="Times New Roman"/>
          <w:iCs/>
          <w:sz w:val="24"/>
          <w:szCs w:val="24"/>
        </w:rPr>
        <w:t xml:space="preserve"> - численность изучаемого населения в определённ</w:t>
      </w:r>
      <w:r w:rsidRPr="00E91DE7">
        <w:rPr>
          <w:rFonts w:ascii="Times New Roman" w:eastAsiaTheme="minorEastAsia" w:hAnsi="Times New Roman" w:cs="Times New Roman"/>
          <w:iCs/>
          <w:sz w:val="24"/>
          <w:szCs w:val="24"/>
        </w:rPr>
        <w:t xml:space="preserve">ом возрасте до T. </w:t>
      </w:r>
    </w:p>
    <w:p w14:paraId="0B2DA2FA" w14:textId="2C9D901E" w:rsidR="00B357E1" w:rsidRPr="00E91DE7" w:rsidRDefault="00B357E1" w:rsidP="00D614D9">
      <w:pPr>
        <w:pStyle w:val="a3"/>
        <w:spacing w:after="0" w:line="240" w:lineRule="auto"/>
        <w:ind w:left="0" w:firstLine="709"/>
        <w:contextualSpacing w:val="0"/>
        <w:jc w:val="both"/>
        <w:rPr>
          <w:rFonts w:ascii="Times New Roman" w:eastAsiaTheme="minorEastAsia" w:hAnsi="Times New Roman" w:cs="Times New Roman"/>
          <w:iCs/>
          <w:sz w:val="24"/>
          <w:szCs w:val="24"/>
        </w:rPr>
      </w:pPr>
      <w:r w:rsidRPr="00E91DE7">
        <w:rPr>
          <w:rFonts w:ascii="Times New Roman" w:eastAsiaTheme="minorEastAsia" w:hAnsi="Times New Roman" w:cs="Times New Roman"/>
          <w:iCs/>
          <w:sz w:val="24"/>
          <w:szCs w:val="24"/>
        </w:rPr>
        <w:t>Согласно исследованию М. В. Морева и А. В. Короленко, в 2014 г. ПГПЖ для населения России в возрасте до 70 лет составило 16 096 271 чел.- лет (12241,9 лет на 100000 населения соответствующего возраста)</w:t>
      </w:r>
      <w:r w:rsidR="00C15FDD" w:rsidRPr="00E91DE7">
        <w:rPr>
          <w:rFonts w:ascii="Times New Roman" w:eastAsiaTheme="minorEastAsia" w:hAnsi="Times New Roman" w:cs="Times New Roman"/>
          <w:iCs/>
          <w:sz w:val="24"/>
          <w:szCs w:val="24"/>
        </w:rPr>
        <w:t xml:space="preserve"> [11]</w:t>
      </w:r>
      <w:r w:rsidRPr="00E91DE7">
        <w:rPr>
          <w:rFonts w:ascii="Times New Roman" w:eastAsiaTheme="minorEastAsia" w:hAnsi="Times New Roman" w:cs="Times New Roman"/>
          <w:iCs/>
          <w:sz w:val="24"/>
          <w:szCs w:val="24"/>
        </w:rPr>
        <w:t>. Если сравнивать с другими странами, то потери ниже, чем в ЮАР, но в 3-5 раза выше, чем в развитых европейских странах и почти в 2 раза выше, чем в Мексике и Бразилии.</w:t>
      </w:r>
      <w:r w:rsidR="00D0719A" w:rsidRPr="00E91DE7">
        <w:rPr>
          <w:rFonts w:ascii="Times New Roman" w:eastAsiaTheme="minorEastAsia" w:hAnsi="Times New Roman" w:cs="Times New Roman"/>
          <w:iCs/>
          <w:sz w:val="24"/>
          <w:szCs w:val="24"/>
        </w:rPr>
        <w:t xml:space="preserve"> Более 70% в структуре общих потерь в стране приходится на четыре класса причин смерти: внешние причины (28%), болезни системы кровообращения (26%), новообразования (13%) и болезни системы пищеварения (8%).</w:t>
      </w:r>
    </w:p>
    <w:p w14:paraId="5A10CCE2" w14:textId="587EA4B8" w:rsidR="00E74FAA" w:rsidRPr="00E91DE7" w:rsidRDefault="00E74FAA" w:rsidP="00D614D9">
      <w:pPr>
        <w:pStyle w:val="a3"/>
        <w:spacing w:after="0" w:line="240" w:lineRule="auto"/>
        <w:ind w:left="0" w:firstLine="709"/>
        <w:contextualSpacing w:val="0"/>
        <w:jc w:val="both"/>
        <w:rPr>
          <w:rFonts w:ascii="Times New Roman" w:hAnsi="Times New Roman" w:cs="Times New Roman"/>
          <w:sz w:val="24"/>
          <w:szCs w:val="24"/>
        </w:rPr>
      </w:pPr>
      <w:r w:rsidRPr="00E91DE7">
        <w:rPr>
          <w:rFonts w:ascii="Times New Roman" w:hAnsi="Times New Roman" w:cs="Times New Roman"/>
          <w:sz w:val="24"/>
          <w:szCs w:val="24"/>
        </w:rPr>
        <w:t>Для выражения ущерба от ПГПЖ в экономических единицах следует каждый потерянный год жизни умножать на среднедушевой ВРП изучаемого года</w:t>
      </w:r>
      <w:r w:rsidR="00C15FDD" w:rsidRPr="00E91DE7">
        <w:rPr>
          <w:rFonts w:ascii="Times New Roman" w:hAnsi="Times New Roman" w:cs="Times New Roman"/>
          <w:sz w:val="24"/>
          <w:szCs w:val="24"/>
        </w:rPr>
        <w:t xml:space="preserve"> [7]</w:t>
      </w:r>
      <w:r w:rsidRPr="00E91DE7">
        <w:rPr>
          <w:rFonts w:ascii="Times New Roman" w:hAnsi="Times New Roman" w:cs="Times New Roman"/>
          <w:sz w:val="24"/>
          <w:szCs w:val="24"/>
        </w:rPr>
        <w:t>. Так осуществляется оценка стоимости потерянных лет потенциальной жизни от преждевременной смертности трудоспособного населения, выражаемая формулой:</w:t>
      </w:r>
    </w:p>
    <w:p w14:paraId="5190ED6A" w14:textId="77777777" w:rsidR="00E74FAA" w:rsidRPr="00E91DE7" w:rsidRDefault="00544984" w:rsidP="00D614D9">
      <w:pPr>
        <w:pStyle w:val="a3"/>
        <w:spacing w:after="0" w:line="240" w:lineRule="auto"/>
        <w:ind w:left="0" w:firstLine="709"/>
        <w:contextualSpacing w:val="0"/>
        <w:jc w:val="center"/>
        <w:rPr>
          <w:rFonts w:ascii="Times New Roman" w:eastAsiaTheme="minorEastAsia" w:hAnsi="Times New Roman" w:cs="Times New Roman"/>
          <w:sz w:val="24"/>
          <w:szCs w:val="24"/>
        </w:rPr>
      </w:pPr>
      <m:oMath>
        <m:sSub>
          <m:sSubPr>
            <m:ctrlPr>
              <w:rPr>
                <w:rFonts w:ascii="Cambria Math" w:hAnsi="Cambria Math" w:cs="Times New Roman"/>
                <w:i/>
                <w:sz w:val="24"/>
                <w:szCs w:val="24"/>
              </w:rPr>
            </m:ctrlPr>
          </m:sSubPr>
          <m:e>
            <m:r>
              <w:rPr>
                <w:rFonts w:ascii="Cambria Math" w:hAnsi="Cambria Math" w:cs="Times New Roman"/>
                <w:sz w:val="24"/>
                <w:szCs w:val="24"/>
              </w:rPr>
              <m:t>П</m:t>
            </m:r>
          </m:e>
          <m:sub>
            <m:r>
              <w:rPr>
                <w:rFonts w:ascii="Cambria Math" w:hAnsi="Cambria Math" w:cs="Times New Roman"/>
                <w:sz w:val="24"/>
                <w:szCs w:val="24"/>
                <w:lang w:val="en-US"/>
              </w:rPr>
              <m:t>t</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ПГПЖ</m:t>
            </m:r>
          </m:e>
          <m:sub>
            <m:r>
              <w:rPr>
                <w:rFonts w:ascii="Cambria Math" w:hAnsi="Cambria Math" w:cs="Times New Roman"/>
                <w:sz w:val="24"/>
                <w:szCs w:val="24"/>
                <w:lang w:val="en-US"/>
              </w:rPr>
              <m:t>t</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С</m:t>
            </m:r>
          </m:e>
          <m:sub>
            <m:r>
              <w:rPr>
                <w:rFonts w:ascii="Cambria Math" w:hAnsi="Cambria Math" w:cs="Times New Roman"/>
                <w:sz w:val="24"/>
                <w:szCs w:val="24"/>
              </w:rPr>
              <m:t>t</m:t>
            </m:r>
          </m:sub>
        </m:sSub>
      </m:oMath>
      <w:r w:rsidR="00E74FAA" w:rsidRPr="00E91DE7">
        <w:rPr>
          <w:rFonts w:ascii="Times New Roman" w:eastAsiaTheme="minorEastAsia" w:hAnsi="Times New Roman" w:cs="Times New Roman"/>
          <w:sz w:val="24"/>
          <w:szCs w:val="24"/>
        </w:rPr>
        <w:t xml:space="preserve"> ,</w:t>
      </w:r>
    </w:p>
    <w:p w14:paraId="73D1832E" w14:textId="54B7A058" w:rsidR="00B65949" w:rsidRPr="00E91DE7" w:rsidRDefault="00E74FAA" w:rsidP="0044714D">
      <w:pPr>
        <w:pStyle w:val="a3"/>
        <w:spacing w:after="0" w:line="240" w:lineRule="auto"/>
        <w:ind w:left="0" w:firstLine="709"/>
        <w:contextualSpacing w:val="0"/>
        <w:jc w:val="both"/>
        <w:rPr>
          <w:rFonts w:ascii="Times New Roman" w:eastAsiaTheme="minorEastAsia" w:hAnsi="Times New Roman" w:cs="Times New Roman"/>
          <w:sz w:val="24"/>
          <w:szCs w:val="24"/>
        </w:rPr>
      </w:pPr>
      <w:r w:rsidRPr="00E91DE7">
        <w:rPr>
          <w:rFonts w:ascii="Times New Roman" w:eastAsiaTheme="minorEastAsia" w:hAnsi="Times New Roman" w:cs="Times New Roman"/>
          <w:sz w:val="24"/>
          <w:szCs w:val="24"/>
        </w:rPr>
        <w:lastRenderedPageBreak/>
        <w:t>где П</w:t>
      </w:r>
      <w:r w:rsidRPr="00E91DE7">
        <w:rPr>
          <w:rFonts w:ascii="Times New Roman" w:eastAsiaTheme="minorEastAsia" w:hAnsi="Times New Roman" w:cs="Times New Roman"/>
          <w:sz w:val="24"/>
          <w:szCs w:val="24"/>
          <w:vertAlign w:val="subscript"/>
        </w:rPr>
        <w:t>t</w:t>
      </w:r>
      <w:r w:rsidRPr="00E91DE7">
        <w:rPr>
          <w:rFonts w:ascii="Times New Roman" w:eastAsiaTheme="minorEastAsia" w:hAnsi="Times New Roman" w:cs="Times New Roman"/>
          <w:sz w:val="24"/>
          <w:szCs w:val="24"/>
        </w:rPr>
        <w:t xml:space="preserve"> - стоимость ПГПЖ в результате смертности в году t; ПГПЖ</w:t>
      </w:r>
      <w:r w:rsidRPr="00E91DE7">
        <w:rPr>
          <w:rFonts w:ascii="Times New Roman" w:eastAsiaTheme="minorEastAsia" w:hAnsi="Times New Roman" w:cs="Times New Roman"/>
          <w:sz w:val="24"/>
          <w:szCs w:val="24"/>
          <w:vertAlign w:val="subscript"/>
        </w:rPr>
        <w:t>t</w:t>
      </w:r>
      <w:r w:rsidRPr="00E91DE7">
        <w:rPr>
          <w:rFonts w:ascii="Times New Roman" w:eastAsiaTheme="minorEastAsia" w:hAnsi="Times New Roman" w:cs="Times New Roman"/>
          <w:sz w:val="24"/>
          <w:szCs w:val="24"/>
        </w:rPr>
        <w:t xml:space="preserve"> -число человеко-лет, недожитых вследствие преждевременной смертности населения в году t; C</w:t>
      </w:r>
      <w:r w:rsidRPr="00E91DE7">
        <w:rPr>
          <w:rFonts w:ascii="Times New Roman" w:eastAsiaTheme="minorEastAsia" w:hAnsi="Times New Roman" w:cs="Times New Roman"/>
          <w:sz w:val="24"/>
          <w:szCs w:val="24"/>
          <w:vertAlign w:val="subscript"/>
        </w:rPr>
        <w:t>t</w:t>
      </w:r>
      <w:r w:rsidRPr="00E91DE7">
        <w:rPr>
          <w:rFonts w:ascii="Times New Roman" w:eastAsiaTheme="minorEastAsia" w:hAnsi="Times New Roman" w:cs="Times New Roman"/>
          <w:sz w:val="24"/>
          <w:szCs w:val="24"/>
        </w:rPr>
        <w:t xml:space="preserve"> - стоимость одного года статистической жизни в году t.</w:t>
      </w:r>
      <w:r w:rsidR="0044714D" w:rsidRPr="00E91DE7">
        <w:rPr>
          <w:rFonts w:ascii="Times New Roman" w:eastAsiaTheme="minorEastAsia" w:hAnsi="Times New Roman" w:cs="Times New Roman"/>
          <w:sz w:val="24"/>
          <w:szCs w:val="24"/>
        </w:rPr>
        <w:t xml:space="preserve"> </w:t>
      </w:r>
      <w:r w:rsidR="00B65949" w:rsidRPr="00E91DE7">
        <w:rPr>
          <w:rFonts w:ascii="Times New Roman" w:eastAsiaTheme="minorEastAsia" w:hAnsi="Times New Roman" w:cs="Times New Roman"/>
          <w:sz w:val="24"/>
          <w:szCs w:val="24"/>
        </w:rPr>
        <w:t xml:space="preserve">Расчёты, произведённые А. В. Короленко, показали, что наибольший размер упущенной социально-экономической выгоды страны </w:t>
      </w:r>
      <w:r w:rsidR="0044714D" w:rsidRPr="00E91DE7">
        <w:rPr>
          <w:rFonts w:ascii="Times New Roman" w:eastAsiaTheme="minorEastAsia" w:hAnsi="Times New Roman" w:cs="Times New Roman"/>
          <w:sz w:val="24"/>
          <w:szCs w:val="24"/>
        </w:rPr>
        <w:t>был</w:t>
      </w:r>
      <w:r w:rsidR="00B65949" w:rsidRPr="00E91DE7">
        <w:rPr>
          <w:rFonts w:ascii="Times New Roman" w:eastAsiaTheme="minorEastAsia" w:hAnsi="Times New Roman" w:cs="Times New Roman"/>
          <w:sz w:val="24"/>
          <w:szCs w:val="24"/>
        </w:rPr>
        <w:t xml:space="preserve"> выявлен для смертности от внешних причин – 2,45% общего объёма ВРП.</w:t>
      </w:r>
      <w:r w:rsidR="0044714D" w:rsidRPr="00E91DE7">
        <w:rPr>
          <w:rFonts w:ascii="Times New Roman" w:eastAsiaTheme="minorEastAsia" w:hAnsi="Times New Roman" w:cs="Times New Roman"/>
          <w:sz w:val="24"/>
          <w:szCs w:val="24"/>
        </w:rPr>
        <w:t xml:space="preserve"> На ВРП также в большей степени влияют болезни системы кровообращения (1,72%) и новообразования (0,83%).</w:t>
      </w:r>
    </w:p>
    <w:p w14:paraId="185784ED" w14:textId="1874EB96" w:rsidR="00E74FAA" w:rsidRPr="00E91DE7" w:rsidRDefault="00B65949" w:rsidP="00D614D9">
      <w:pPr>
        <w:pStyle w:val="a3"/>
        <w:spacing w:after="0" w:line="240" w:lineRule="auto"/>
        <w:ind w:left="0" w:firstLine="709"/>
        <w:contextualSpacing w:val="0"/>
        <w:jc w:val="both"/>
        <w:rPr>
          <w:rFonts w:ascii="Times New Roman" w:hAnsi="Times New Roman" w:cs="Times New Roman"/>
          <w:sz w:val="24"/>
          <w:szCs w:val="24"/>
        </w:rPr>
      </w:pPr>
      <w:r w:rsidRPr="00E91DE7">
        <w:rPr>
          <w:rFonts w:ascii="Times New Roman" w:hAnsi="Times New Roman" w:cs="Times New Roman"/>
          <w:sz w:val="24"/>
          <w:szCs w:val="24"/>
        </w:rPr>
        <w:t>Приведённые результаты показывают</w:t>
      </w:r>
      <w:r w:rsidR="00E74FAA" w:rsidRPr="00E91DE7">
        <w:rPr>
          <w:rFonts w:ascii="Times New Roman" w:hAnsi="Times New Roman" w:cs="Times New Roman"/>
          <w:sz w:val="24"/>
          <w:szCs w:val="24"/>
        </w:rPr>
        <w:t>,</w:t>
      </w:r>
      <w:r w:rsidRPr="00E91DE7">
        <w:rPr>
          <w:rFonts w:ascii="Times New Roman" w:hAnsi="Times New Roman" w:cs="Times New Roman"/>
          <w:sz w:val="24"/>
          <w:szCs w:val="24"/>
        </w:rPr>
        <w:t xml:space="preserve"> что</w:t>
      </w:r>
      <w:r w:rsidR="00E74FAA" w:rsidRPr="00E91DE7">
        <w:rPr>
          <w:rFonts w:ascii="Times New Roman" w:hAnsi="Times New Roman" w:cs="Times New Roman"/>
          <w:sz w:val="24"/>
          <w:szCs w:val="24"/>
        </w:rPr>
        <w:t xml:space="preserve"> преждевременные демографические потери наносят ущерб экономике. В научной литературе встречаются несколько методических подходов к оценке социально-экономических потерь от преждевременной смертности, которые можно разделить на две группы</w:t>
      </w:r>
      <w:r w:rsidR="00C15FDD" w:rsidRPr="00E91DE7">
        <w:rPr>
          <w:rFonts w:ascii="Times New Roman" w:hAnsi="Times New Roman" w:cs="Times New Roman"/>
          <w:sz w:val="24"/>
          <w:szCs w:val="24"/>
        </w:rPr>
        <w:t xml:space="preserve"> [3,4]</w:t>
      </w:r>
      <w:r w:rsidR="00E74FAA" w:rsidRPr="00E91DE7">
        <w:rPr>
          <w:rFonts w:ascii="Times New Roman" w:hAnsi="Times New Roman" w:cs="Times New Roman"/>
          <w:sz w:val="24"/>
          <w:szCs w:val="24"/>
        </w:rPr>
        <w:t>:</w:t>
      </w:r>
    </w:p>
    <w:p w14:paraId="70932C3F" w14:textId="56767B96" w:rsidR="00E74FAA" w:rsidRPr="00E91DE7" w:rsidRDefault="00E74FAA" w:rsidP="00D614D9">
      <w:pPr>
        <w:pStyle w:val="a3"/>
        <w:spacing w:after="0" w:line="240" w:lineRule="auto"/>
        <w:ind w:left="0" w:firstLine="709"/>
        <w:contextualSpacing w:val="0"/>
        <w:jc w:val="both"/>
        <w:rPr>
          <w:rFonts w:ascii="Times New Roman" w:hAnsi="Times New Roman" w:cs="Times New Roman"/>
          <w:sz w:val="24"/>
          <w:szCs w:val="24"/>
        </w:rPr>
      </w:pPr>
      <w:r w:rsidRPr="00E91DE7">
        <w:rPr>
          <w:rFonts w:ascii="Times New Roman" w:hAnsi="Times New Roman" w:cs="Times New Roman"/>
          <w:sz w:val="24"/>
          <w:szCs w:val="24"/>
        </w:rPr>
        <w:t>— Доходный подход - в основе лежит совокупный доход, который человек мог бы заработать за всю свою жизнь, если бы не умер.</w:t>
      </w:r>
      <w:r w:rsidRPr="00E91DE7">
        <w:rPr>
          <w:rFonts w:ascii="Times New Roman" w:hAnsi="Times New Roman" w:cs="Times New Roman"/>
          <w:sz w:val="20"/>
          <w:szCs w:val="20"/>
        </w:rPr>
        <w:t xml:space="preserve"> </w:t>
      </w:r>
      <w:r w:rsidRPr="00E91DE7">
        <w:rPr>
          <w:rFonts w:ascii="Times New Roman" w:hAnsi="Times New Roman" w:cs="Times New Roman"/>
          <w:sz w:val="24"/>
          <w:szCs w:val="24"/>
        </w:rPr>
        <w:t>К данному подходу относится любой метод, основанный на определении ожидаемого дохода;</w:t>
      </w:r>
    </w:p>
    <w:p w14:paraId="591556E9" w14:textId="47ABF438" w:rsidR="00E74FAA" w:rsidRPr="00E91DE7" w:rsidRDefault="00E74FAA" w:rsidP="00D614D9">
      <w:pPr>
        <w:pStyle w:val="a3"/>
        <w:spacing w:after="0" w:line="240" w:lineRule="auto"/>
        <w:ind w:left="0" w:firstLine="709"/>
        <w:contextualSpacing w:val="0"/>
        <w:jc w:val="both"/>
        <w:rPr>
          <w:rFonts w:ascii="Times New Roman" w:hAnsi="Times New Roman" w:cs="Times New Roman"/>
          <w:sz w:val="24"/>
          <w:szCs w:val="24"/>
        </w:rPr>
      </w:pPr>
      <w:r w:rsidRPr="00E91DE7">
        <w:rPr>
          <w:rFonts w:ascii="Times New Roman" w:hAnsi="Times New Roman" w:cs="Times New Roman"/>
          <w:sz w:val="24"/>
          <w:szCs w:val="24"/>
        </w:rPr>
        <w:t>— Затратный подход - представлен оценкой стоимости жизни с учетом материальных издержек на подготовку индивида к трудовой, производственной или общественной деятельности. Расчёт совокупности издержек осуществляется либо прямым статистическим способом, либо внедрением нормативных способов.</w:t>
      </w:r>
    </w:p>
    <w:p w14:paraId="22B40363" w14:textId="2B3A6925" w:rsidR="00E74FAA" w:rsidRPr="00E91DE7" w:rsidRDefault="00E74FAA" w:rsidP="00D614D9">
      <w:pPr>
        <w:pStyle w:val="a3"/>
        <w:spacing w:after="0" w:line="240" w:lineRule="auto"/>
        <w:ind w:left="0" w:firstLine="709"/>
        <w:contextualSpacing w:val="0"/>
        <w:jc w:val="both"/>
        <w:rPr>
          <w:rFonts w:ascii="Times New Roman" w:eastAsiaTheme="minorEastAsia" w:hAnsi="Times New Roman" w:cs="Times New Roman"/>
          <w:sz w:val="24"/>
          <w:szCs w:val="24"/>
        </w:rPr>
      </w:pPr>
      <w:r w:rsidRPr="00E91DE7">
        <w:rPr>
          <w:rFonts w:ascii="Times New Roman" w:eastAsiaTheme="minorEastAsia" w:hAnsi="Times New Roman" w:cs="Times New Roman"/>
          <w:sz w:val="24"/>
          <w:szCs w:val="24"/>
        </w:rPr>
        <w:t>Экономические потери производства и потребления из-за преждевременной смертности занятого в экономике региона населения рассчитываются по трём дифференцирующим признакам: возраст (x), пол (s) и класс причин смерти (d). Для этого используется формула:</w:t>
      </w:r>
    </w:p>
    <w:p w14:paraId="6EF29F2A" w14:textId="77777777" w:rsidR="00E74FAA" w:rsidRPr="00E91DE7" w:rsidRDefault="00544984" w:rsidP="00D614D9">
      <w:pPr>
        <w:pStyle w:val="a3"/>
        <w:spacing w:after="0" w:line="240" w:lineRule="auto"/>
        <w:ind w:left="0" w:firstLine="709"/>
        <w:contextualSpacing w:val="0"/>
        <w:jc w:val="center"/>
        <w:rPr>
          <w:rFonts w:ascii="Times New Roman" w:eastAsiaTheme="minorEastAsia" w:hAnsi="Times New Roman" w:cs="Times New Roman"/>
          <w:sz w:val="24"/>
          <w:szCs w:val="24"/>
        </w:rPr>
      </w:pP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lang w:val="en-US"/>
              </w:rPr>
              <m:t>GRPL</m:t>
            </m:r>
          </m:e>
          <m:sub>
            <m:r>
              <w:rPr>
                <w:rFonts w:ascii="Cambria Math" w:eastAsiaTheme="minorEastAsia" w:hAnsi="Cambria Math" w:cs="Times New Roman"/>
                <w:sz w:val="24"/>
                <w:szCs w:val="24"/>
              </w:rPr>
              <m:t>x,s,d</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x,s,d</m:t>
            </m:r>
          </m:sub>
        </m:sSub>
        <m:r>
          <w:rPr>
            <w:rFonts w:ascii="Cambria Math" w:eastAsiaTheme="minorEastAsia" w:hAnsi="Cambria Math" w:cs="Times New Roman"/>
            <w:sz w:val="24"/>
            <w:szCs w:val="24"/>
          </w:rPr>
          <m:t>*</m:t>
        </m:r>
        <m:f>
          <m:fPr>
            <m:ctrlPr>
              <w:rPr>
                <w:rFonts w:ascii="Cambria Math" w:eastAsiaTheme="minorEastAsia" w:hAnsi="Cambria Math" w:cs="Times New Roman"/>
                <w:i/>
                <w:sz w:val="24"/>
                <w:szCs w:val="24"/>
              </w:rPr>
            </m:ctrlPr>
          </m:fPr>
          <m:num>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x,s</m:t>
                </m:r>
              </m:sub>
            </m:sSub>
          </m:num>
          <m:den>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P</m:t>
                </m:r>
              </m:e>
              <m:sub>
                <m:r>
                  <w:rPr>
                    <w:rFonts w:ascii="Cambria Math" w:eastAsiaTheme="minorEastAsia" w:hAnsi="Cambria Math" w:cs="Times New Roman"/>
                    <w:sz w:val="24"/>
                    <w:szCs w:val="24"/>
                  </w:rPr>
                  <m:t>x,s</m:t>
                </m:r>
              </m:sub>
            </m:sSub>
          </m:den>
        </m:f>
        <m:r>
          <w:rPr>
            <w:rFonts w:ascii="Cambria Math" w:eastAsiaTheme="minorEastAsia" w:hAnsi="Cambria Math" w:cs="Times New Roman"/>
            <w:sz w:val="24"/>
            <w:szCs w:val="24"/>
          </w:rPr>
          <m:t>*</m:t>
        </m:r>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GRP*k</m:t>
            </m:r>
          </m:num>
          <m:den>
            <m:r>
              <w:rPr>
                <w:rFonts w:ascii="Cambria Math" w:eastAsiaTheme="minorEastAsia" w:hAnsi="Cambria Math" w:cs="Times New Roman"/>
                <w:sz w:val="24"/>
                <w:szCs w:val="24"/>
              </w:rPr>
              <m:t>W</m:t>
            </m:r>
          </m:den>
        </m:f>
        <m:r>
          <w:rPr>
            <w:rFonts w:ascii="Cambria Math" w:eastAsiaTheme="minorEastAsia" w:hAnsi="Cambria Math" w:cs="Times New Roman"/>
            <w:sz w:val="24"/>
            <w:szCs w:val="24"/>
          </w:rPr>
          <m:t>*0,5</m:t>
        </m:r>
      </m:oMath>
      <w:r w:rsidR="00E74FAA" w:rsidRPr="00E91DE7">
        <w:rPr>
          <w:rFonts w:ascii="Times New Roman" w:eastAsiaTheme="minorEastAsia" w:hAnsi="Times New Roman" w:cs="Times New Roman"/>
          <w:sz w:val="24"/>
          <w:szCs w:val="24"/>
        </w:rPr>
        <w:t xml:space="preserve"> ,</w:t>
      </w:r>
    </w:p>
    <w:p w14:paraId="6CD102EB" w14:textId="77777777" w:rsidR="00E74FAA" w:rsidRPr="00E91DE7" w:rsidRDefault="00E74FAA" w:rsidP="00D614D9">
      <w:pPr>
        <w:pStyle w:val="a3"/>
        <w:spacing w:after="0" w:line="240" w:lineRule="auto"/>
        <w:ind w:left="0" w:firstLine="709"/>
        <w:contextualSpacing w:val="0"/>
        <w:jc w:val="both"/>
        <w:rPr>
          <w:rFonts w:ascii="Times New Roman" w:eastAsiaTheme="minorEastAsia" w:hAnsi="Times New Roman" w:cs="Times New Roman"/>
          <w:sz w:val="24"/>
          <w:szCs w:val="24"/>
        </w:rPr>
      </w:pPr>
      <w:r w:rsidRPr="00E91DE7">
        <w:rPr>
          <w:rFonts w:ascii="Times New Roman" w:eastAsiaTheme="minorEastAsia" w:hAnsi="Times New Roman" w:cs="Times New Roman"/>
          <w:sz w:val="24"/>
          <w:szCs w:val="24"/>
        </w:rPr>
        <w:t>где GRPL</w:t>
      </w:r>
      <w:r w:rsidRPr="00E91DE7">
        <w:rPr>
          <w:rFonts w:ascii="Times New Roman" w:eastAsiaTheme="minorEastAsia" w:hAnsi="Times New Roman" w:cs="Times New Roman"/>
          <w:sz w:val="24"/>
          <w:szCs w:val="24"/>
          <w:vertAlign w:val="subscript"/>
        </w:rPr>
        <w:t xml:space="preserve">x,s,d </w:t>
      </w:r>
      <w:r w:rsidRPr="00E91DE7">
        <w:rPr>
          <w:rFonts w:ascii="Times New Roman" w:eastAsiaTheme="minorEastAsia" w:hAnsi="Times New Roman" w:cs="Times New Roman"/>
          <w:sz w:val="24"/>
          <w:szCs w:val="24"/>
        </w:rPr>
        <w:t>- потери ВРП за год в результате преждевременной смертности населения; D</w:t>
      </w:r>
      <w:r w:rsidRPr="00E91DE7">
        <w:rPr>
          <w:rFonts w:ascii="Times New Roman" w:eastAsiaTheme="minorEastAsia" w:hAnsi="Times New Roman" w:cs="Times New Roman"/>
          <w:sz w:val="24"/>
          <w:szCs w:val="24"/>
          <w:vertAlign w:val="subscript"/>
        </w:rPr>
        <w:t xml:space="preserve">x,s,d </w:t>
      </w:r>
      <w:r w:rsidRPr="00E91DE7">
        <w:rPr>
          <w:rFonts w:ascii="Times New Roman" w:eastAsiaTheme="minorEastAsia" w:hAnsi="Times New Roman" w:cs="Times New Roman"/>
          <w:sz w:val="24"/>
          <w:szCs w:val="24"/>
        </w:rPr>
        <w:t>- число умерших в регионе за год; W</w:t>
      </w:r>
      <w:r w:rsidRPr="00E91DE7">
        <w:rPr>
          <w:rFonts w:ascii="Times New Roman" w:eastAsiaTheme="minorEastAsia" w:hAnsi="Times New Roman" w:cs="Times New Roman"/>
          <w:sz w:val="24"/>
          <w:szCs w:val="24"/>
          <w:vertAlign w:val="subscript"/>
        </w:rPr>
        <w:t>x,s</w:t>
      </w:r>
      <w:r w:rsidRPr="00E91DE7">
        <w:rPr>
          <w:rFonts w:ascii="Times New Roman" w:eastAsiaTheme="minorEastAsia" w:hAnsi="Times New Roman" w:cs="Times New Roman"/>
          <w:sz w:val="24"/>
          <w:szCs w:val="24"/>
        </w:rPr>
        <w:t xml:space="preserve"> - численность занятых в регионе в отчетном году; P</w:t>
      </w:r>
      <w:r w:rsidRPr="00E91DE7">
        <w:rPr>
          <w:rFonts w:ascii="Times New Roman" w:eastAsiaTheme="minorEastAsia" w:hAnsi="Times New Roman" w:cs="Times New Roman"/>
          <w:sz w:val="24"/>
          <w:szCs w:val="24"/>
          <w:vertAlign w:val="subscript"/>
        </w:rPr>
        <w:t>x,s</w:t>
      </w:r>
      <w:r w:rsidRPr="00E91DE7">
        <w:rPr>
          <w:rFonts w:ascii="Times New Roman" w:eastAsiaTheme="minorEastAsia" w:hAnsi="Times New Roman" w:cs="Times New Roman"/>
          <w:sz w:val="24"/>
          <w:szCs w:val="24"/>
        </w:rPr>
        <w:t xml:space="preserve"> - численность населения в регионе в отчетном году; GRP - валовой региональный продукт в отчетном году; k - дефлятор ВРП, к базовому году; W - общее число занятых в регионе за отчетный год; 0,5 - коэффициент распределения времени наступления смертей в течение отчетного года.</w:t>
      </w:r>
    </w:p>
    <w:p w14:paraId="2969EA88" w14:textId="4E97A8FA" w:rsidR="00E74FAA" w:rsidRPr="00E91DE7" w:rsidRDefault="00E74FAA" w:rsidP="00D614D9">
      <w:pPr>
        <w:pStyle w:val="a3"/>
        <w:spacing w:after="0" w:line="240" w:lineRule="auto"/>
        <w:ind w:left="0" w:firstLine="709"/>
        <w:contextualSpacing w:val="0"/>
        <w:jc w:val="both"/>
        <w:rPr>
          <w:rFonts w:ascii="Times New Roman" w:eastAsiaTheme="minorEastAsia" w:hAnsi="Times New Roman" w:cs="Times New Roman"/>
          <w:sz w:val="24"/>
          <w:szCs w:val="24"/>
        </w:rPr>
      </w:pPr>
      <w:r w:rsidRPr="00E91DE7">
        <w:rPr>
          <w:rFonts w:ascii="Times New Roman" w:eastAsiaTheme="minorEastAsia" w:hAnsi="Times New Roman" w:cs="Times New Roman"/>
          <w:sz w:val="24"/>
          <w:szCs w:val="24"/>
        </w:rPr>
        <w:t>С помощью расчёта экономических потерь производства из-за преждевременной смертности можно высчитать экономические потери потенциальных лет потерянной жизни от смертности населения за период возможного дожития по формуле:</w:t>
      </w:r>
    </w:p>
    <w:p w14:paraId="5F57324E" w14:textId="77777777" w:rsidR="00E74FAA" w:rsidRPr="00E91DE7" w:rsidRDefault="00E74FAA" w:rsidP="00D614D9">
      <w:pPr>
        <w:pStyle w:val="a3"/>
        <w:spacing w:after="0" w:line="240" w:lineRule="auto"/>
        <w:ind w:left="0" w:firstLine="709"/>
        <w:contextualSpacing w:val="0"/>
        <w:jc w:val="center"/>
        <w:rPr>
          <w:rFonts w:ascii="Times New Roman" w:eastAsiaTheme="minorEastAsia" w:hAnsi="Times New Roman" w:cs="Times New Roman"/>
          <w:i/>
          <w:sz w:val="24"/>
          <w:szCs w:val="24"/>
        </w:rPr>
      </w:pPr>
      <m:oMath>
        <m:r>
          <w:rPr>
            <w:rFonts w:ascii="Cambria Math" w:eastAsiaTheme="minorEastAsia" w:hAnsi="Cambria Math" w:cs="Times New Roman"/>
            <w:sz w:val="24"/>
            <w:szCs w:val="24"/>
          </w:rPr>
          <m:t>ЭПГПЖ=</m:t>
        </m:r>
        <m:sSub>
          <m:sSubPr>
            <m:ctrlPr>
              <w:rPr>
                <w:rFonts w:ascii="Cambria Math" w:eastAsiaTheme="minorEastAsia" w:hAnsi="Cambria Math" w:cs="Times New Roman"/>
                <w:sz w:val="24"/>
                <w:szCs w:val="24"/>
              </w:rPr>
            </m:ctrlPr>
          </m:sSubPr>
          <m:e>
            <m:r>
              <m:rPr>
                <m:sty m:val="p"/>
              </m:rPr>
              <w:rPr>
                <w:rFonts w:ascii="Cambria Math" w:eastAsiaTheme="minorEastAsia" w:hAnsi="Cambria Math" w:cs="Times New Roman"/>
                <w:sz w:val="24"/>
                <w:szCs w:val="24"/>
              </w:rPr>
              <m:t>GRPL</m:t>
            </m:r>
          </m:e>
          <m:sub>
            <m:r>
              <m:rPr>
                <m:sty m:val="p"/>
              </m:rPr>
              <w:rPr>
                <w:rFonts w:ascii="Cambria Math" w:eastAsiaTheme="minorEastAsia" w:hAnsi="Cambria Math" w:cs="Times New Roman"/>
                <w:sz w:val="24"/>
                <w:szCs w:val="24"/>
                <w:vertAlign w:val="subscript"/>
              </w:rPr>
              <m:t>x,s,d</m:t>
            </m:r>
          </m:sub>
        </m:sSub>
        <m:r>
          <w:rPr>
            <w:rFonts w:ascii="Cambria Math" w:eastAsiaTheme="minorEastAsia" w:hAnsi="Cambria Math" w:cs="Times New Roman"/>
            <w:sz w:val="24"/>
            <w:szCs w:val="24"/>
          </w:rPr>
          <m:t>*2*</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a</m:t>
            </m:r>
          </m:e>
          <m:sub>
            <m:r>
              <w:rPr>
                <w:rFonts w:ascii="Cambria Math" w:eastAsiaTheme="minorEastAsia" w:hAnsi="Cambria Math" w:cs="Times New Roman"/>
                <w:sz w:val="24"/>
                <w:szCs w:val="24"/>
              </w:rPr>
              <m:t>x</m:t>
            </m:r>
          </m:sub>
        </m:sSub>
      </m:oMath>
      <w:r w:rsidRPr="00E91DE7">
        <w:rPr>
          <w:rFonts w:ascii="Times New Roman" w:eastAsiaTheme="minorEastAsia" w:hAnsi="Times New Roman" w:cs="Times New Roman"/>
          <w:i/>
          <w:sz w:val="24"/>
          <w:szCs w:val="24"/>
        </w:rPr>
        <w:t>,</w:t>
      </w:r>
    </w:p>
    <w:p w14:paraId="2F31BE71" w14:textId="1DF88C18" w:rsidR="00E74FAA" w:rsidRPr="00E91DE7" w:rsidRDefault="00E74FAA" w:rsidP="00D614D9">
      <w:pPr>
        <w:pStyle w:val="a3"/>
        <w:spacing w:after="0" w:line="240" w:lineRule="auto"/>
        <w:ind w:left="0" w:firstLine="709"/>
        <w:contextualSpacing w:val="0"/>
        <w:jc w:val="both"/>
        <w:rPr>
          <w:rFonts w:ascii="Times New Roman" w:eastAsiaTheme="minorEastAsia" w:hAnsi="Times New Roman" w:cs="Times New Roman"/>
          <w:iCs/>
          <w:sz w:val="24"/>
          <w:szCs w:val="24"/>
        </w:rPr>
      </w:pPr>
      <w:r w:rsidRPr="00E91DE7">
        <w:rPr>
          <w:rFonts w:ascii="Times New Roman" w:eastAsiaTheme="minorEastAsia" w:hAnsi="Times New Roman" w:cs="Times New Roman"/>
          <w:iCs/>
          <w:sz w:val="24"/>
          <w:szCs w:val="24"/>
        </w:rPr>
        <w:t>где 2 - коэффициент, нивелирующий поправочный коэффициент распределения времени наступления смертей в течение отчётного года; a</w:t>
      </w:r>
      <w:r w:rsidRPr="00E91DE7">
        <w:rPr>
          <w:rFonts w:ascii="Times New Roman" w:eastAsiaTheme="minorEastAsia" w:hAnsi="Times New Roman" w:cs="Times New Roman"/>
          <w:iCs/>
          <w:sz w:val="24"/>
          <w:szCs w:val="24"/>
          <w:vertAlign w:val="subscript"/>
        </w:rPr>
        <w:t>x</w:t>
      </w:r>
      <w:r w:rsidRPr="00E91DE7">
        <w:rPr>
          <w:rFonts w:ascii="Times New Roman" w:eastAsiaTheme="minorEastAsia" w:hAnsi="Times New Roman" w:cs="Times New Roman"/>
          <w:iCs/>
          <w:sz w:val="24"/>
          <w:szCs w:val="24"/>
        </w:rPr>
        <w:t xml:space="preserve"> - недожитые годы в возрастном интервале x.</w:t>
      </w:r>
      <w:r w:rsidR="002F1630" w:rsidRPr="00E91DE7">
        <w:rPr>
          <w:rFonts w:ascii="Times New Roman" w:eastAsiaTheme="minorEastAsia" w:hAnsi="Times New Roman" w:cs="Times New Roman"/>
          <w:iCs/>
          <w:sz w:val="24"/>
          <w:szCs w:val="24"/>
        </w:rPr>
        <w:t xml:space="preserve"> Исследование Козловой О. А. и Зубарева Н. Ю. показывает, что в период с 2009 по 2017 годы </w:t>
      </w:r>
      <w:r w:rsidR="00A53FD0" w:rsidRPr="00E91DE7">
        <w:rPr>
          <w:rFonts w:ascii="Times New Roman" w:eastAsiaTheme="minorEastAsia" w:hAnsi="Times New Roman" w:cs="Times New Roman"/>
          <w:iCs/>
          <w:sz w:val="24"/>
          <w:szCs w:val="24"/>
        </w:rPr>
        <w:t>снизились комплексные экономические потери по отношению к ВРП с 22,8% до 15,6%. Наибольшее сокращение доли экономических потерь в общей структуре наблюдается по классу внешних причин (с 40,8 % до 28,6 %), также сократилась доля потерь от смертности по причине болезней органов дыхания (с 4,6 % до 2,7 %). Незначительное снижение продемонстрировали экономические потери по причине смертности от болезней системы кровообращения (с 27,7 % до 26,9 %). Увеличение доли наблюдается по некоторым инфекционным и паразитарным болезням (с 5,4 % до 15,1 %), болезням органов пищеварения (с 7,6 % до 9,8 %) и новообразованиям (с 10,5 % до 11,4 %).</w:t>
      </w:r>
    </w:p>
    <w:p w14:paraId="1F5A1151" w14:textId="5A845244" w:rsidR="00906449" w:rsidRPr="00E91DE7" w:rsidRDefault="00906449" w:rsidP="00D614D9">
      <w:pPr>
        <w:pStyle w:val="a3"/>
        <w:spacing w:after="0" w:line="240" w:lineRule="auto"/>
        <w:ind w:left="0" w:firstLine="709"/>
        <w:contextualSpacing w:val="0"/>
        <w:jc w:val="both"/>
        <w:rPr>
          <w:rFonts w:ascii="Times New Roman" w:eastAsiaTheme="minorEastAsia" w:hAnsi="Times New Roman" w:cs="Times New Roman"/>
          <w:iCs/>
          <w:sz w:val="24"/>
          <w:szCs w:val="24"/>
        </w:rPr>
      </w:pPr>
      <w:r w:rsidRPr="00E91DE7">
        <w:rPr>
          <w:rFonts w:ascii="Times New Roman" w:eastAsiaTheme="minorEastAsia" w:hAnsi="Times New Roman" w:cs="Times New Roman"/>
          <w:iCs/>
          <w:sz w:val="24"/>
          <w:szCs w:val="24"/>
        </w:rPr>
        <w:t xml:space="preserve">Таким образом, методические основы анализа преждевременной смертности населения и оценки экономического ущерба от демографических потерь являются необходимыми для понимания значимости этой проблемы для экономики и социальной сферы. При расчёте показателей, позволяющих оценить смертность и связанный с ней ущерб, можно утверждать, что высокий уровень преждевременной смертности населения приводит к значительным экономическим потерям, которые могут быть уменьшены путем совершенствования здравоохранения и других социальных программ. </w:t>
      </w:r>
    </w:p>
    <w:p w14:paraId="2154EED8" w14:textId="525B9CC6" w:rsidR="00E60A0A" w:rsidRPr="00E91DE7" w:rsidRDefault="00E60A0A" w:rsidP="00D614D9">
      <w:pPr>
        <w:pStyle w:val="a3"/>
        <w:spacing w:after="0" w:line="240" w:lineRule="auto"/>
        <w:ind w:left="0" w:firstLine="709"/>
        <w:contextualSpacing w:val="0"/>
        <w:jc w:val="both"/>
        <w:rPr>
          <w:rFonts w:ascii="Times New Roman" w:eastAsiaTheme="minorEastAsia" w:hAnsi="Times New Roman" w:cs="Times New Roman"/>
          <w:iCs/>
          <w:sz w:val="24"/>
          <w:szCs w:val="24"/>
        </w:rPr>
      </w:pPr>
    </w:p>
    <w:p w14:paraId="71691E2D" w14:textId="05588109" w:rsidR="00E60A0A" w:rsidRPr="00E91DE7" w:rsidRDefault="00E60A0A" w:rsidP="00D614D9">
      <w:pPr>
        <w:pStyle w:val="a3"/>
        <w:spacing w:after="0" w:line="240" w:lineRule="auto"/>
        <w:ind w:left="0" w:firstLine="709"/>
        <w:contextualSpacing w:val="0"/>
        <w:jc w:val="center"/>
        <w:rPr>
          <w:rFonts w:ascii="Times New Roman" w:eastAsiaTheme="minorEastAsia" w:hAnsi="Times New Roman" w:cs="Times New Roman"/>
          <w:b/>
          <w:bCs/>
          <w:iCs/>
          <w:sz w:val="24"/>
          <w:szCs w:val="24"/>
        </w:rPr>
      </w:pPr>
      <w:r w:rsidRPr="00E91DE7">
        <w:rPr>
          <w:rFonts w:ascii="Times New Roman" w:eastAsiaTheme="minorEastAsia" w:hAnsi="Times New Roman" w:cs="Times New Roman"/>
          <w:b/>
          <w:bCs/>
          <w:iCs/>
          <w:sz w:val="24"/>
          <w:szCs w:val="24"/>
        </w:rPr>
        <w:lastRenderedPageBreak/>
        <w:t>Библиографический список</w:t>
      </w:r>
    </w:p>
    <w:p w14:paraId="32E1879E" w14:textId="61DD856A" w:rsidR="002869CA" w:rsidRPr="00E91DE7" w:rsidRDefault="002869CA" w:rsidP="00D614D9">
      <w:pPr>
        <w:pStyle w:val="a3"/>
        <w:spacing w:after="0" w:line="240" w:lineRule="auto"/>
        <w:ind w:left="0" w:firstLine="709"/>
        <w:contextualSpacing w:val="0"/>
        <w:jc w:val="both"/>
        <w:rPr>
          <w:rFonts w:ascii="Times New Roman" w:eastAsiaTheme="minorEastAsia" w:hAnsi="Times New Roman" w:cs="Times New Roman"/>
          <w:iCs/>
          <w:sz w:val="24"/>
          <w:szCs w:val="24"/>
        </w:rPr>
      </w:pPr>
      <w:r w:rsidRPr="00E91DE7">
        <w:rPr>
          <w:rFonts w:ascii="Times New Roman" w:eastAsiaTheme="minorEastAsia" w:hAnsi="Times New Roman" w:cs="Times New Roman"/>
          <w:iCs/>
          <w:sz w:val="24"/>
          <w:szCs w:val="24"/>
        </w:rPr>
        <w:t xml:space="preserve">1. Андреев Е. М. </w:t>
      </w:r>
      <w:r w:rsidRPr="00E91DE7">
        <w:rPr>
          <w:rFonts w:ascii="Times New Roman" w:eastAsiaTheme="minorEastAsia" w:hAnsi="Times New Roman" w:cs="Times New Roman"/>
          <w:iCs/>
          <w:sz w:val="24"/>
          <w:szCs w:val="24"/>
        </w:rPr>
        <w:t>Демографические показатели в майском (2018 г.) указе Президента</w:t>
      </w:r>
      <w:r w:rsidRPr="00E91DE7">
        <w:rPr>
          <w:rFonts w:ascii="Times New Roman" w:eastAsiaTheme="minorEastAsia" w:hAnsi="Times New Roman" w:cs="Times New Roman"/>
          <w:iCs/>
          <w:sz w:val="24"/>
          <w:szCs w:val="24"/>
        </w:rPr>
        <w:t xml:space="preserve"> // Н</w:t>
      </w:r>
      <w:r w:rsidRPr="00E91DE7">
        <w:rPr>
          <w:rFonts w:ascii="Times New Roman" w:eastAsiaTheme="minorEastAsia" w:hAnsi="Times New Roman" w:cs="Times New Roman"/>
          <w:iCs/>
          <w:sz w:val="24"/>
          <w:szCs w:val="24"/>
        </w:rPr>
        <w:t>аучн</w:t>
      </w:r>
      <w:r w:rsidRPr="00E91DE7">
        <w:rPr>
          <w:rFonts w:ascii="Times New Roman" w:eastAsiaTheme="minorEastAsia" w:hAnsi="Times New Roman" w:cs="Times New Roman"/>
          <w:iCs/>
          <w:sz w:val="24"/>
          <w:szCs w:val="24"/>
        </w:rPr>
        <w:t>ый</w:t>
      </w:r>
      <w:r w:rsidRPr="00E91DE7">
        <w:rPr>
          <w:rFonts w:ascii="Times New Roman" w:eastAsiaTheme="minorEastAsia" w:hAnsi="Times New Roman" w:cs="Times New Roman"/>
          <w:iCs/>
          <w:sz w:val="24"/>
          <w:szCs w:val="24"/>
        </w:rPr>
        <w:t xml:space="preserve"> семинар "Современная демография" МЛ НиЗ НИУ ВШЭ</w:t>
      </w:r>
      <w:r w:rsidRPr="00E91DE7">
        <w:rPr>
          <w:rFonts w:ascii="Times New Roman" w:eastAsiaTheme="minorEastAsia" w:hAnsi="Times New Roman" w:cs="Times New Roman"/>
          <w:iCs/>
          <w:sz w:val="24"/>
          <w:szCs w:val="24"/>
        </w:rPr>
        <w:t xml:space="preserve">, Москва, 7 февраля 2019 г. </w:t>
      </w:r>
      <w:r w:rsidRPr="00E91DE7">
        <w:rPr>
          <w:rFonts w:ascii="Times New Roman" w:eastAsiaTheme="minorEastAsia" w:hAnsi="Times New Roman" w:cs="Times New Roman"/>
          <w:iCs/>
          <w:sz w:val="24"/>
          <w:szCs w:val="24"/>
          <w:lang w:val="en-US"/>
        </w:rPr>
        <w:t>URL</w:t>
      </w:r>
      <w:r w:rsidRPr="00E91DE7">
        <w:rPr>
          <w:rFonts w:ascii="Times New Roman" w:eastAsiaTheme="minorEastAsia" w:hAnsi="Times New Roman" w:cs="Times New Roman"/>
          <w:iCs/>
          <w:sz w:val="24"/>
          <w:szCs w:val="24"/>
        </w:rPr>
        <w:t>:</w:t>
      </w:r>
      <w:r w:rsidRPr="00E91DE7">
        <w:rPr>
          <w:rFonts w:ascii="Times New Roman" w:eastAsiaTheme="minorEastAsia" w:hAnsi="Times New Roman" w:cs="Times New Roman"/>
          <w:iCs/>
          <w:sz w:val="24"/>
          <w:szCs w:val="24"/>
        </w:rPr>
        <w:t xml:space="preserve"> </w:t>
      </w:r>
      <w:r w:rsidRPr="00E91DE7">
        <w:rPr>
          <w:rFonts w:ascii="Times New Roman" w:eastAsiaTheme="minorEastAsia" w:hAnsi="Times New Roman" w:cs="Times New Roman"/>
          <w:iCs/>
          <w:sz w:val="24"/>
          <w:szCs w:val="24"/>
        </w:rPr>
        <w:t>https://demogr.hse.ru/data/2019/02/11/1207509529/Andreev_07-02-19.pdf</w:t>
      </w:r>
    </w:p>
    <w:p w14:paraId="111C8C52" w14:textId="43AF35C1" w:rsidR="002869CA" w:rsidRPr="00E91DE7" w:rsidRDefault="002869CA" w:rsidP="00D614D9">
      <w:pPr>
        <w:pStyle w:val="a3"/>
        <w:spacing w:after="0" w:line="240" w:lineRule="auto"/>
        <w:ind w:left="0" w:firstLine="709"/>
        <w:contextualSpacing w:val="0"/>
        <w:jc w:val="both"/>
        <w:rPr>
          <w:rFonts w:ascii="Times New Roman" w:eastAsiaTheme="minorEastAsia" w:hAnsi="Times New Roman" w:cs="Times New Roman"/>
          <w:iCs/>
          <w:sz w:val="24"/>
          <w:szCs w:val="24"/>
        </w:rPr>
      </w:pPr>
      <w:r w:rsidRPr="00E91DE7">
        <w:rPr>
          <w:rFonts w:ascii="Times New Roman" w:eastAsiaTheme="minorEastAsia" w:hAnsi="Times New Roman" w:cs="Times New Roman"/>
          <w:iCs/>
          <w:sz w:val="24"/>
          <w:szCs w:val="24"/>
        </w:rPr>
        <w:t xml:space="preserve">2. Каткова И. В., Рыбальченко С. И. </w:t>
      </w:r>
      <w:r w:rsidRPr="00E91DE7">
        <w:rPr>
          <w:rFonts w:ascii="Times New Roman" w:eastAsiaTheme="minorEastAsia" w:hAnsi="Times New Roman" w:cs="Times New Roman"/>
          <w:iCs/>
          <w:sz w:val="24"/>
          <w:szCs w:val="24"/>
        </w:rPr>
        <w:t>Преждевременная смертность и ожидаемая продолжительность здоровой жизни населения в контексте задач национального развития</w:t>
      </w:r>
      <w:r w:rsidRPr="00E91DE7">
        <w:rPr>
          <w:rFonts w:ascii="Times New Roman" w:eastAsiaTheme="minorEastAsia" w:hAnsi="Times New Roman" w:cs="Times New Roman"/>
          <w:iCs/>
          <w:sz w:val="24"/>
          <w:szCs w:val="24"/>
        </w:rPr>
        <w:t xml:space="preserve"> // Народонаселение. 2020. Т. 23. № 4. С. 83-92. </w:t>
      </w:r>
      <w:r w:rsidRPr="00E91DE7">
        <w:rPr>
          <w:rFonts w:ascii="Times New Roman" w:eastAsiaTheme="minorEastAsia" w:hAnsi="Times New Roman" w:cs="Times New Roman"/>
          <w:iCs/>
          <w:sz w:val="24"/>
          <w:szCs w:val="24"/>
        </w:rPr>
        <w:t>DOI: 10.19181/population.2020.23.4.8</w:t>
      </w:r>
    </w:p>
    <w:p w14:paraId="0F3FEA0D" w14:textId="6C086669" w:rsidR="002869CA" w:rsidRPr="00E91DE7" w:rsidRDefault="002869CA" w:rsidP="00B26FEB">
      <w:pPr>
        <w:pStyle w:val="a3"/>
        <w:spacing w:after="0" w:line="240" w:lineRule="auto"/>
        <w:ind w:left="0" w:firstLine="709"/>
        <w:contextualSpacing w:val="0"/>
        <w:jc w:val="both"/>
        <w:rPr>
          <w:rFonts w:ascii="Times New Roman" w:eastAsiaTheme="minorEastAsia" w:hAnsi="Times New Roman" w:cs="Times New Roman"/>
          <w:iCs/>
          <w:sz w:val="24"/>
          <w:szCs w:val="24"/>
        </w:rPr>
      </w:pPr>
      <w:r w:rsidRPr="00E91DE7">
        <w:rPr>
          <w:rFonts w:ascii="Times New Roman" w:eastAsiaTheme="minorEastAsia" w:hAnsi="Times New Roman" w:cs="Times New Roman"/>
          <w:iCs/>
          <w:sz w:val="24"/>
          <w:szCs w:val="24"/>
        </w:rPr>
        <w:t>3. Козлова О. А., Зубарев Н. Ю. К</w:t>
      </w:r>
      <w:r w:rsidRPr="00E91DE7">
        <w:rPr>
          <w:rFonts w:ascii="Times New Roman" w:eastAsiaTheme="minorEastAsia" w:hAnsi="Times New Roman" w:cs="Times New Roman"/>
          <w:iCs/>
          <w:sz w:val="24"/>
          <w:szCs w:val="24"/>
        </w:rPr>
        <w:t>омплексн</w:t>
      </w:r>
      <w:r w:rsidRPr="00E91DE7">
        <w:rPr>
          <w:rFonts w:ascii="Times New Roman" w:eastAsiaTheme="minorEastAsia" w:hAnsi="Times New Roman" w:cs="Times New Roman"/>
          <w:iCs/>
          <w:sz w:val="24"/>
          <w:szCs w:val="24"/>
        </w:rPr>
        <w:t>ая</w:t>
      </w:r>
      <w:r w:rsidRPr="00E91DE7">
        <w:rPr>
          <w:rFonts w:ascii="Times New Roman" w:eastAsiaTheme="minorEastAsia" w:hAnsi="Times New Roman" w:cs="Times New Roman"/>
          <w:iCs/>
          <w:sz w:val="24"/>
          <w:szCs w:val="24"/>
        </w:rPr>
        <w:t xml:space="preserve"> оценк</w:t>
      </w:r>
      <w:r w:rsidRPr="00E91DE7">
        <w:rPr>
          <w:rFonts w:ascii="Times New Roman" w:eastAsiaTheme="minorEastAsia" w:hAnsi="Times New Roman" w:cs="Times New Roman"/>
          <w:iCs/>
          <w:sz w:val="24"/>
          <w:szCs w:val="24"/>
        </w:rPr>
        <w:t>а</w:t>
      </w:r>
      <w:r w:rsidRPr="00E91DE7">
        <w:rPr>
          <w:rFonts w:ascii="Times New Roman" w:eastAsiaTheme="minorEastAsia" w:hAnsi="Times New Roman" w:cs="Times New Roman"/>
          <w:iCs/>
          <w:sz w:val="24"/>
          <w:szCs w:val="24"/>
        </w:rPr>
        <w:t xml:space="preserve"> экономических потерь региона от преждевременной смертности населения</w:t>
      </w:r>
      <w:r w:rsidRPr="00E91DE7">
        <w:rPr>
          <w:rFonts w:ascii="Times New Roman" w:eastAsiaTheme="minorEastAsia" w:hAnsi="Times New Roman" w:cs="Times New Roman"/>
          <w:iCs/>
          <w:sz w:val="24"/>
          <w:szCs w:val="24"/>
        </w:rPr>
        <w:t xml:space="preserve"> // </w:t>
      </w:r>
      <w:r w:rsidRPr="00E91DE7">
        <w:rPr>
          <w:rFonts w:ascii="Times New Roman" w:eastAsiaTheme="minorEastAsia" w:hAnsi="Times New Roman" w:cs="Times New Roman"/>
          <w:iCs/>
          <w:sz w:val="24"/>
          <w:szCs w:val="24"/>
        </w:rPr>
        <w:t>Экономика региона. 20</w:t>
      </w:r>
      <w:r w:rsidRPr="00E91DE7">
        <w:rPr>
          <w:rFonts w:ascii="Times New Roman" w:eastAsiaTheme="minorEastAsia" w:hAnsi="Times New Roman" w:cs="Times New Roman"/>
          <w:iCs/>
          <w:sz w:val="24"/>
          <w:szCs w:val="24"/>
        </w:rPr>
        <w:t>20</w:t>
      </w:r>
      <w:r w:rsidRPr="00E91DE7">
        <w:rPr>
          <w:rFonts w:ascii="Times New Roman" w:eastAsiaTheme="minorEastAsia" w:hAnsi="Times New Roman" w:cs="Times New Roman"/>
          <w:iCs/>
          <w:sz w:val="24"/>
          <w:szCs w:val="24"/>
        </w:rPr>
        <w:t>. Т. 1</w:t>
      </w:r>
      <w:r w:rsidRPr="00E91DE7">
        <w:rPr>
          <w:rFonts w:ascii="Times New Roman" w:eastAsiaTheme="minorEastAsia" w:hAnsi="Times New Roman" w:cs="Times New Roman"/>
          <w:iCs/>
          <w:sz w:val="24"/>
          <w:szCs w:val="24"/>
        </w:rPr>
        <w:t>6</w:t>
      </w:r>
      <w:r w:rsidRPr="00E91DE7">
        <w:rPr>
          <w:rFonts w:ascii="Times New Roman" w:eastAsiaTheme="minorEastAsia" w:hAnsi="Times New Roman" w:cs="Times New Roman"/>
          <w:iCs/>
          <w:sz w:val="24"/>
          <w:szCs w:val="24"/>
        </w:rPr>
        <w:t xml:space="preserve">. № </w:t>
      </w:r>
      <w:r w:rsidRPr="00E91DE7">
        <w:rPr>
          <w:rFonts w:ascii="Times New Roman" w:eastAsiaTheme="minorEastAsia" w:hAnsi="Times New Roman" w:cs="Times New Roman"/>
          <w:iCs/>
          <w:sz w:val="24"/>
          <w:szCs w:val="24"/>
        </w:rPr>
        <w:t>3</w:t>
      </w:r>
      <w:r w:rsidRPr="00E91DE7">
        <w:rPr>
          <w:rFonts w:ascii="Times New Roman" w:eastAsiaTheme="minorEastAsia" w:hAnsi="Times New Roman" w:cs="Times New Roman"/>
          <w:iCs/>
          <w:sz w:val="24"/>
          <w:szCs w:val="24"/>
        </w:rPr>
        <w:t xml:space="preserve">. С. </w:t>
      </w:r>
      <w:r w:rsidRPr="00E91DE7">
        <w:rPr>
          <w:rFonts w:ascii="Times New Roman" w:eastAsiaTheme="minorEastAsia" w:hAnsi="Times New Roman" w:cs="Times New Roman"/>
          <w:iCs/>
          <w:sz w:val="24"/>
          <w:szCs w:val="24"/>
        </w:rPr>
        <w:t>845</w:t>
      </w:r>
      <w:r w:rsidRPr="00E91DE7">
        <w:rPr>
          <w:rFonts w:ascii="Times New Roman" w:eastAsiaTheme="minorEastAsia" w:hAnsi="Times New Roman" w:cs="Times New Roman"/>
          <w:iCs/>
          <w:sz w:val="24"/>
          <w:szCs w:val="24"/>
        </w:rPr>
        <w:t>-</w:t>
      </w:r>
      <w:r w:rsidRPr="00E91DE7">
        <w:rPr>
          <w:rFonts w:ascii="Times New Roman" w:eastAsiaTheme="minorEastAsia" w:hAnsi="Times New Roman" w:cs="Times New Roman"/>
          <w:iCs/>
          <w:sz w:val="24"/>
          <w:szCs w:val="24"/>
        </w:rPr>
        <w:t>848</w:t>
      </w:r>
      <w:r w:rsidRPr="00E91DE7">
        <w:rPr>
          <w:rFonts w:ascii="Times New Roman" w:eastAsiaTheme="minorEastAsia" w:hAnsi="Times New Roman" w:cs="Times New Roman"/>
          <w:iCs/>
          <w:sz w:val="24"/>
          <w:szCs w:val="24"/>
        </w:rPr>
        <w:t>. DOI: 10.17059/ekon.reg.2020-3-13</w:t>
      </w:r>
    </w:p>
    <w:p w14:paraId="2202BA68" w14:textId="5A579454" w:rsidR="002869CA" w:rsidRPr="00E91DE7" w:rsidRDefault="002869CA" w:rsidP="00D614D9">
      <w:pPr>
        <w:pStyle w:val="a3"/>
        <w:spacing w:after="0" w:line="240" w:lineRule="auto"/>
        <w:ind w:left="0" w:firstLine="709"/>
        <w:contextualSpacing w:val="0"/>
        <w:jc w:val="both"/>
        <w:rPr>
          <w:rFonts w:ascii="Times New Roman" w:eastAsiaTheme="minorEastAsia" w:hAnsi="Times New Roman" w:cs="Times New Roman"/>
          <w:iCs/>
          <w:sz w:val="24"/>
          <w:szCs w:val="24"/>
        </w:rPr>
      </w:pPr>
      <w:r w:rsidRPr="00E91DE7">
        <w:rPr>
          <w:rFonts w:ascii="Times New Roman" w:eastAsiaTheme="minorEastAsia" w:hAnsi="Times New Roman" w:cs="Times New Roman"/>
          <w:iCs/>
          <w:sz w:val="24"/>
          <w:szCs w:val="24"/>
        </w:rPr>
        <w:t xml:space="preserve">4. Козлова О. А., Нифантова Р. В., Макарова М. Н. </w:t>
      </w:r>
      <w:r w:rsidRPr="00E91DE7">
        <w:rPr>
          <w:rFonts w:ascii="Times New Roman" w:eastAsiaTheme="minorEastAsia" w:hAnsi="Times New Roman" w:cs="Times New Roman"/>
          <w:iCs/>
          <w:sz w:val="24"/>
          <w:szCs w:val="24"/>
        </w:rPr>
        <w:t>Методические вопросы оценки экономического ущерба от смертности населения, занятого в экономике региона</w:t>
      </w:r>
      <w:r w:rsidRPr="00E91DE7">
        <w:rPr>
          <w:rFonts w:ascii="Times New Roman" w:eastAsiaTheme="minorEastAsia" w:hAnsi="Times New Roman" w:cs="Times New Roman"/>
          <w:iCs/>
          <w:sz w:val="24"/>
          <w:szCs w:val="24"/>
        </w:rPr>
        <w:t xml:space="preserve"> // Экономика региона. 2017. Т. 13. № 2. С. 511-523. </w:t>
      </w:r>
      <w:r w:rsidRPr="00E91DE7">
        <w:rPr>
          <w:rFonts w:ascii="Times New Roman" w:eastAsiaTheme="minorEastAsia" w:hAnsi="Times New Roman" w:cs="Times New Roman"/>
          <w:iCs/>
          <w:sz w:val="24"/>
          <w:szCs w:val="24"/>
        </w:rPr>
        <w:t>DOI: 10.17059/2017-2-16</w:t>
      </w:r>
    </w:p>
    <w:p w14:paraId="5DB5FEC6" w14:textId="4EB4BCB4" w:rsidR="002869CA" w:rsidRPr="00E91DE7" w:rsidRDefault="002869CA" w:rsidP="00D614D9">
      <w:pPr>
        <w:pStyle w:val="a3"/>
        <w:spacing w:after="0" w:line="240" w:lineRule="auto"/>
        <w:ind w:left="0" w:firstLine="709"/>
        <w:contextualSpacing w:val="0"/>
        <w:jc w:val="both"/>
        <w:rPr>
          <w:rFonts w:ascii="Times New Roman" w:eastAsiaTheme="minorEastAsia" w:hAnsi="Times New Roman" w:cs="Times New Roman"/>
          <w:iCs/>
          <w:sz w:val="24"/>
          <w:szCs w:val="24"/>
        </w:rPr>
      </w:pPr>
      <w:r w:rsidRPr="00E91DE7">
        <w:rPr>
          <w:rFonts w:ascii="Times New Roman" w:eastAsiaTheme="minorEastAsia" w:hAnsi="Times New Roman" w:cs="Times New Roman"/>
          <w:iCs/>
          <w:sz w:val="24"/>
          <w:szCs w:val="24"/>
        </w:rPr>
        <w:t xml:space="preserve">5. </w:t>
      </w:r>
      <w:r w:rsidRPr="00E91DE7">
        <w:rPr>
          <w:rFonts w:ascii="Times New Roman" w:eastAsiaTheme="minorEastAsia" w:hAnsi="Times New Roman" w:cs="Times New Roman"/>
          <w:iCs/>
          <w:sz w:val="24"/>
          <w:szCs w:val="24"/>
        </w:rPr>
        <w:t>Козлова О.</w:t>
      </w:r>
      <w:r w:rsidRPr="00E91DE7">
        <w:rPr>
          <w:rFonts w:ascii="Times New Roman" w:eastAsiaTheme="minorEastAsia" w:hAnsi="Times New Roman" w:cs="Times New Roman"/>
          <w:iCs/>
          <w:sz w:val="24"/>
          <w:szCs w:val="24"/>
        </w:rPr>
        <w:t xml:space="preserve"> </w:t>
      </w:r>
      <w:r w:rsidRPr="00E91DE7">
        <w:rPr>
          <w:rFonts w:ascii="Times New Roman" w:eastAsiaTheme="minorEastAsia" w:hAnsi="Times New Roman" w:cs="Times New Roman"/>
          <w:iCs/>
          <w:sz w:val="24"/>
          <w:szCs w:val="24"/>
        </w:rPr>
        <w:t>А., Секицки-Павленко О.</w:t>
      </w:r>
      <w:r w:rsidRPr="00E91DE7">
        <w:rPr>
          <w:rFonts w:ascii="Times New Roman" w:eastAsiaTheme="minorEastAsia" w:hAnsi="Times New Roman" w:cs="Times New Roman"/>
          <w:iCs/>
          <w:sz w:val="24"/>
          <w:szCs w:val="24"/>
        </w:rPr>
        <w:t xml:space="preserve"> </w:t>
      </w:r>
      <w:r w:rsidRPr="00E91DE7">
        <w:rPr>
          <w:rFonts w:ascii="Times New Roman" w:eastAsiaTheme="minorEastAsia" w:hAnsi="Times New Roman" w:cs="Times New Roman"/>
          <w:iCs/>
          <w:sz w:val="24"/>
          <w:szCs w:val="24"/>
        </w:rPr>
        <w:t>О.</w:t>
      </w:r>
      <w:r w:rsidRPr="00E91DE7">
        <w:rPr>
          <w:rFonts w:ascii="Times New Roman" w:eastAsiaTheme="minorEastAsia" w:hAnsi="Times New Roman" w:cs="Times New Roman"/>
          <w:iCs/>
          <w:sz w:val="24"/>
          <w:szCs w:val="24"/>
        </w:rPr>
        <w:t xml:space="preserve"> </w:t>
      </w:r>
      <w:r w:rsidRPr="00E91DE7">
        <w:rPr>
          <w:rFonts w:ascii="Times New Roman" w:eastAsiaTheme="minorEastAsia" w:hAnsi="Times New Roman" w:cs="Times New Roman"/>
          <w:iCs/>
          <w:sz w:val="24"/>
          <w:szCs w:val="24"/>
        </w:rPr>
        <w:t>Метод Салливана как один из инструментов качественной оценки общественного здоровья</w:t>
      </w:r>
      <w:r w:rsidRPr="00E91DE7">
        <w:rPr>
          <w:rFonts w:ascii="Times New Roman" w:eastAsiaTheme="minorEastAsia" w:hAnsi="Times New Roman" w:cs="Times New Roman"/>
          <w:iCs/>
          <w:sz w:val="24"/>
          <w:szCs w:val="24"/>
        </w:rPr>
        <w:t xml:space="preserve"> // </w:t>
      </w:r>
      <w:r w:rsidRPr="00E91DE7">
        <w:rPr>
          <w:rFonts w:ascii="Times New Roman" w:eastAsiaTheme="minorEastAsia" w:hAnsi="Times New Roman" w:cs="Times New Roman"/>
          <w:iCs/>
          <w:sz w:val="24"/>
          <w:szCs w:val="24"/>
        </w:rPr>
        <w:t>Социально-экономические и демографические аспекты реализации национальных проектов в регионе</w:t>
      </w:r>
      <w:r w:rsidRPr="00E91DE7">
        <w:rPr>
          <w:rFonts w:ascii="Times New Roman" w:eastAsiaTheme="minorEastAsia" w:hAnsi="Times New Roman" w:cs="Times New Roman"/>
          <w:iCs/>
          <w:sz w:val="24"/>
          <w:szCs w:val="24"/>
        </w:rPr>
        <w:t xml:space="preserve">: </w:t>
      </w:r>
      <w:r w:rsidRPr="00E91DE7">
        <w:rPr>
          <w:rFonts w:ascii="Times New Roman" w:eastAsiaTheme="minorEastAsia" w:hAnsi="Times New Roman" w:cs="Times New Roman"/>
          <w:iCs/>
          <w:sz w:val="24"/>
          <w:szCs w:val="24"/>
        </w:rPr>
        <w:t>сборник статей X Уральского демографического форума</w:t>
      </w:r>
      <w:r w:rsidRPr="00E91DE7">
        <w:rPr>
          <w:rFonts w:ascii="Times New Roman" w:eastAsiaTheme="minorEastAsia" w:hAnsi="Times New Roman" w:cs="Times New Roman"/>
          <w:iCs/>
          <w:sz w:val="24"/>
          <w:szCs w:val="24"/>
        </w:rPr>
        <w:t xml:space="preserve">, </w:t>
      </w:r>
      <w:r w:rsidRPr="00E91DE7">
        <w:rPr>
          <w:rFonts w:ascii="Times New Roman" w:eastAsiaTheme="minorEastAsia" w:hAnsi="Times New Roman" w:cs="Times New Roman"/>
          <w:iCs/>
          <w:sz w:val="24"/>
          <w:szCs w:val="24"/>
        </w:rPr>
        <w:t>10–11 июня 2019 г</w:t>
      </w:r>
      <w:r w:rsidRPr="00E91DE7">
        <w:rPr>
          <w:rFonts w:ascii="Times New Roman" w:eastAsiaTheme="minorEastAsia" w:hAnsi="Times New Roman" w:cs="Times New Roman"/>
          <w:iCs/>
          <w:sz w:val="24"/>
          <w:szCs w:val="24"/>
        </w:rPr>
        <w:t xml:space="preserve">. Екатеринбург: </w:t>
      </w:r>
      <w:r w:rsidRPr="00E91DE7">
        <w:rPr>
          <w:rFonts w:ascii="Times New Roman" w:eastAsiaTheme="minorEastAsia" w:hAnsi="Times New Roman" w:cs="Times New Roman"/>
          <w:iCs/>
          <w:sz w:val="24"/>
          <w:szCs w:val="24"/>
        </w:rPr>
        <w:t xml:space="preserve">Институт экономики </w:t>
      </w:r>
      <w:r w:rsidR="00544984">
        <w:rPr>
          <w:rFonts w:ascii="Times New Roman" w:eastAsiaTheme="minorEastAsia" w:hAnsi="Times New Roman" w:cs="Times New Roman"/>
          <w:iCs/>
          <w:sz w:val="24"/>
          <w:szCs w:val="24"/>
        </w:rPr>
        <w:t>УрО</w:t>
      </w:r>
      <w:r w:rsidRPr="00E91DE7">
        <w:rPr>
          <w:rFonts w:ascii="Times New Roman" w:eastAsiaTheme="minorEastAsia" w:hAnsi="Times New Roman" w:cs="Times New Roman"/>
          <w:iCs/>
          <w:sz w:val="24"/>
          <w:szCs w:val="24"/>
        </w:rPr>
        <w:t xml:space="preserve"> РАН</w:t>
      </w:r>
      <w:r w:rsidRPr="00E91DE7">
        <w:rPr>
          <w:rFonts w:ascii="Times New Roman" w:eastAsiaTheme="minorEastAsia" w:hAnsi="Times New Roman" w:cs="Times New Roman"/>
          <w:iCs/>
          <w:sz w:val="24"/>
          <w:szCs w:val="24"/>
        </w:rPr>
        <w:t>, 2019. Т. 1. С. 166-171.</w:t>
      </w:r>
    </w:p>
    <w:p w14:paraId="29FBC75A" w14:textId="3BDB671C" w:rsidR="002869CA" w:rsidRPr="00E91DE7" w:rsidRDefault="002869CA" w:rsidP="00D614D9">
      <w:pPr>
        <w:pStyle w:val="a3"/>
        <w:spacing w:after="0" w:line="240" w:lineRule="auto"/>
        <w:ind w:left="0" w:firstLine="709"/>
        <w:contextualSpacing w:val="0"/>
        <w:jc w:val="both"/>
        <w:rPr>
          <w:rFonts w:ascii="Times New Roman" w:eastAsiaTheme="minorEastAsia" w:hAnsi="Times New Roman" w:cs="Times New Roman"/>
          <w:iCs/>
          <w:sz w:val="24"/>
          <w:szCs w:val="24"/>
          <w:lang w:val="en-US"/>
        </w:rPr>
      </w:pPr>
      <w:r w:rsidRPr="00E91DE7">
        <w:rPr>
          <w:rFonts w:ascii="Times New Roman" w:eastAsiaTheme="minorEastAsia" w:hAnsi="Times New Roman" w:cs="Times New Roman"/>
          <w:iCs/>
          <w:sz w:val="24"/>
          <w:szCs w:val="24"/>
        </w:rPr>
        <w:t xml:space="preserve">6. Короленко А. В. </w:t>
      </w:r>
      <w:r w:rsidRPr="00E91DE7">
        <w:rPr>
          <w:rFonts w:ascii="Times New Roman" w:eastAsiaTheme="minorEastAsia" w:hAnsi="Times New Roman" w:cs="Times New Roman"/>
          <w:iCs/>
          <w:sz w:val="24"/>
          <w:szCs w:val="24"/>
        </w:rPr>
        <w:t>Анализ демографических потерь вследствие смертности населения Вологодской области</w:t>
      </w:r>
      <w:r w:rsidRPr="00E91DE7">
        <w:rPr>
          <w:rFonts w:ascii="Times New Roman" w:eastAsiaTheme="minorEastAsia" w:hAnsi="Times New Roman" w:cs="Times New Roman"/>
          <w:iCs/>
          <w:sz w:val="24"/>
          <w:szCs w:val="24"/>
        </w:rPr>
        <w:t xml:space="preserve"> // </w:t>
      </w:r>
      <w:r w:rsidRPr="00E91DE7">
        <w:rPr>
          <w:rFonts w:ascii="Times New Roman" w:eastAsiaTheme="minorEastAsia" w:hAnsi="Times New Roman" w:cs="Times New Roman"/>
          <w:iCs/>
          <w:sz w:val="24"/>
          <w:szCs w:val="24"/>
        </w:rPr>
        <w:t>Международная научная конференция студентов, аспирантов и молодых учёных «Ломоносов-2016»</w:t>
      </w:r>
      <w:r w:rsidRPr="00E91DE7">
        <w:rPr>
          <w:rFonts w:ascii="Times New Roman" w:eastAsiaTheme="minorEastAsia" w:hAnsi="Times New Roman" w:cs="Times New Roman"/>
          <w:iCs/>
          <w:sz w:val="24"/>
          <w:szCs w:val="24"/>
        </w:rPr>
        <w:t xml:space="preserve">, Москва, 14 апреля 2016. </w:t>
      </w:r>
      <w:r w:rsidRPr="00E91DE7">
        <w:rPr>
          <w:rFonts w:ascii="Times New Roman" w:eastAsiaTheme="minorEastAsia" w:hAnsi="Times New Roman" w:cs="Times New Roman"/>
          <w:iCs/>
          <w:sz w:val="24"/>
          <w:szCs w:val="24"/>
          <w:lang w:val="en-US"/>
        </w:rPr>
        <w:t>URL:</w:t>
      </w:r>
      <w:r w:rsidRPr="00E91DE7">
        <w:rPr>
          <w:rFonts w:ascii="Times New Roman" w:eastAsiaTheme="minorEastAsia" w:hAnsi="Times New Roman" w:cs="Times New Roman"/>
          <w:iCs/>
          <w:sz w:val="24"/>
          <w:szCs w:val="24"/>
          <w:lang w:val="en-US"/>
        </w:rPr>
        <w:t xml:space="preserve"> </w:t>
      </w:r>
      <w:r w:rsidRPr="00E91DE7">
        <w:rPr>
          <w:rFonts w:ascii="Times New Roman" w:eastAsiaTheme="minorEastAsia" w:hAnsi="Times New Roman" w:cs="Times New Roman"/>
          <w:iCs/>
          <w:sz w:val="24"/>
          <w:szCs w:val="24"/>
          <w:lang w:val="en-US"/>
        </w:rPr>
        <w:t>https://www.vscc.ac.ru/files/www/research/grant141803120/conference14042016.pdf</w:t>
      </w:r>
    </w:p>
    <w:p w14:paraId="3B1B7DDE" w14:textId="7C82033A" w:rsidR="002869CA" w:rsidRPr="00E91DE7" w:rsidRDefault="002869CA" w:rsidP="00D614D9">
      <w:pPr>
        <w:pStyle w:val="a3"/>
        <w:spacing w:after="0" w:line="240" w:lineRule="auto"/>
        <w:ind w:left="0" w:firstLine="709"/>
        <w:contextualSpacing w:val="0"/>
        <w:jc w:val="both"/>
        <w:rPr>
          <w:rFonts w:ascii="Times New Roman" w:eastAsiaTheme="minorEastAsia" w:hAnsi="Times New Roman" w:cs="Times New Roman"/>
          <w:iCs/>
          <w:sz w:val="24"/>
          <w:szCs w:val="24"/>
        </w:rPr>
      </w:pPr>
      <w:r w:rsidRPr="00E91DE7">
        <w:rPr>
          <w:rFonts w:ascii="Times New Roman" w:eastAsiaTheme="minorEastAsia" w:hAnsi="Times New Roman" w:cs="Times New Roman"/>
          <w:iCs/>
          <w:sz w:val="24"/>
          <w:szCs w:val="24"/>
        </w:rPr>
        <w:t xml:space="preserve">7. </w:t>
      </w:r>
      <w:r w:rsidRPr="00E91DE7">
        <w:rPr>
          <w:rFonts w:ascii="Times New Roman" w:eastAsiaTheme="minorEastAsia" w:hAnsi="Times New Roman" w:cs="Times New Roman"/>
          <w:iCs/>
          <w:sz w:val="24"/>
          <w:szCs w:val="24"/>
        </w:rPr>
        <w:t>Короленко А. В.</w:t>
      </w:r>
      <w:r w:rsidRPr="00E91DE7">
        <w:rPr>
          <w:rFonts w:ascii="Times New Roman" w:eastAsiaTheme="minorEastAsia" w:hAnsi="Times New Roman" w:cs="Times New Roman"/>
          <w:iCs/>
          <w:sz w:val="24"/>
          <w:szCs w:val="24"/>
        </w:rPr>
        <w:t xml:space="preserve"> </w:t>
      </w:r>
      <w:r w:rsidRPr="00E91DE7">
        <w:rPr>
          <w:rFonts w:ascii="Times New Roman" w:eastAsiaTheme="minorEastAsia" w:hAnsi="Times New Roman" w:cs="Times New Roman"/>
          <w:iCs/>
          <w:sz w:val="24"/>
          <w:szCs w:val="24"/>
        </w:rPr>
        <w:t>Динамика смертности населения России в контексте концепции эпидемиологического перехода</w:t>
      </w:r>
      <w:r w:rsidRPr="00E91DE7">
        <w:rPr>
          <w:rFonts w:ascii="Times New Roman" w:eastAsiaTheme="minorEastAsia" w:hAnsi="Times New Roman" w:cs="Times New Roman"/>
          <w:iCs/>
          <w:sz w:val="24"/>
          <w:szCs w:val="24"/>
        </w:rPr>
        <w:t xml:space="preserve"> // </w:t>
      </w:r>
      <w:r w:rsidRPr="00E91DE7">
        <w:rPr>
          <w:rFonts w:ascii="Times New Roman" w:eastAsiaTheme="minorEastAsia" w:hAnsi="Times New Roman" w:cs="Times New Roman"/>
          <w:iCs/>
          <w:sz w:val="24"/>
          <w:szCs w:val="24"/>
        </w:rPr>
        <w:t>Экономические и социальные перемены: факты, тенденции, прогноз</w:t>
      </w:r>
      <w:r w:rsidRPr="00E91DE7">
        <w:rPr>
          <w:rFonts w:ascii="Times New Roman" w:eastAsiaTheme="minorEastAsia" w:hAnsi="Times New Roman" w:cs="Times New Roman"/>
          <w:iCs/>
          <w:sz w:val="24"/>
          <w:szCs w:val="24"/>
        </w:rPr>
        <w:t xml:space="preserve">. 2015. № 4 (40). С. 192-210. </w:t>
      </w:r>
      <w:r w:rsidRPr="00E91DE7">
        <w:rPr>
          <w:rFonts w:ascii="Times New Roman" w:eastAsiaTheme="minorEastAsia" w:hAnsi="Times New Roman" w:cs="Times New Roman"/>
          <w:iCs/>
          <w:sz w:val="24"/>
          <w:szCs w:val="24"/>
        </w:rPr>
        <w:t>DOI: 10.15838/esc/2015.4.40.14</w:t>
      </w:r>
    </w:p>
    <w:p w14:paraId="28B89401" w14:textId="1D7CDB8A" w:rsidR="002869CA" w:rsidRPr="00E91DE7" w:rsidRDefault="002869CA" w:rsidP="001D4B71">
      <w:pPr>
        <w:pStyle w:val="a3"/>
        <w:spacing w:after="0" w:line="240" w:lineRule="auto"/>
        <w:ind w:left="0" w:firstLine="709"/>
        <w:contextualSpacing w:val="0"/>
        <w:jc w:val="both"/>
        <w:rPr>
          <w:rFonts w:ascii="Times New Roman" w:eastAsiaTheme="minorEastAsia" w:hAnsi="Times New Roman" w:cs="Times New Roman"/>
          <w:iCs/>
          <w:sz w:val="24"/>
          <w:szCs w:val="24"/>
        </w:rPr>
      </w:pPr>
      <w:r w:rsidRPr="00E91DE7">
        <w:rPr>
          <w:rFonts w:ascii="Times New Roman" w:eastAsiaTheme="minorEastAsia" w:hAnsi="Times New Roman" w:cs="Times New Roman"/>
          <w:iCs/>
          <w:sz w:val="24"/>
          <w:szCs w:val="24"/>
        </w:rPr>
        <w:t xml:space="preserve">8. </w:t>
      </w:r>
      <w:r w:rsidRPr="00E91DE7">
        <w:rPr>
          <w:rFonts w:ascii="Times New Roman" w:eastAsiaTheme="minorEastAsia" w:hAnsi="Times New Roman" w:cs="Times New Roman"/>
          <w:iCs/>
          <w:sz w:val="24"/>
          <w:szCs w:val="24"/>
        </w:rPr>
        <w:t>Методические аспекты оценки заболеваемости, распространенности, летальности и смертности при COVID-19</w:t>
      </w:r>
      <w:r w:rsidRPr="00E91DE7">
        <w:rPr>
          <w:rFonts w:ascii="Times New Roman" w:eastAsiaTheme="minorEastAsia" w:hAnsi="Times New Roman" w:cs="Times New Roman"/>
          <w:iCs/>
          <w:sz w:val="24"/>
          <w:szCs w:val="24"/>
        </w:rPr>
        <w:t xml:space="preserve"> / </w:t>
      </w:r>
      <w:r w:rsidRPr="00E91DE7">
        <w:rPr>
          <w:rFonts w:ascii="Times New Roman" w:eastAsiaTheme="minorEastAsia" w:hAnsi="Times New Roman" w:cs="Times New Roman"/>
          <w:iCs/>
          <w:sz w:val="24"/>
          <w:szCs w:val="24"/>
        </w:rPr>
        <w:t>Драпкина О. М., Самородская И. В., Сивцева М. Г. [и др.]</w:t>
      </w:r>
      <w:r w:rsidRPr="00E91DE7">
        <w:rPr>
          <w:rFonts w:ascii="Times New Roman" w:eastAsiaTheme="minorEastAsia" w:hAnsi="Times New Roman" w:cs="Times New Roman"/>
          <w:iCs/>
          <w:sz w:val="24"/>
          <w:szCs w:val="24"/>
        </w:rPr>
        <w:t xml:space="preserve"> // </w:t>
      </w:r>
      <w:r w:rsidRPr="00E91DE7">
        <w:rPr>
          <w:rFonts w:ascii="Times New Roman" w:eastAsiaTheme="minorEastAsia" w:hAnsi="Times New Roman" w:cs="Times New Roman"/>
          <w:iCs/>
          <w:sz w:val="24"/>
          <w:szCs w:val="24"/>
        </w:rPr>
        <w:t>Кардиоваскулярная терапия и профилактика</w:t>
      </w:r>
      <w:r w:rsidRPr="00E91DE7">
        <w:rPr>
          <w:rFonts w:ascii="Times New Roman" w:eastAsiaTheme="minorEastAsia" w:hAnsi="Times New Roman" w:cs="Times New Roman"/>
          <w:iCs/>
          <w:sz w:val="24"/>
          <w:szCs w:val="24"/>
        </w:rPr>
        <w:t xml:space="preserve">. 2020. Т. 19. № 3. С. 302-309. </w:t>
      </w:r>
      <w:r w:rsidRPr="00E91DE7">
        <w:rPr>
          <w:rFonts w:ascii="Times New Roman" w:eastAsiaTheme="minorEastAsia" w:hAnsi="Times New Roman" w:cs="Times New Roman"/>
          <w:iCs/>
          <w:sz w:val="24"/>
          <w:szCs w:val="24"/>
        </w:rPr>
        <w:t>DOI: 10.15829/1728-8800-2020-2585</w:t>
      </w:r>
    </w:p>
    <w:p w14:paraId="4C12A27C" w14:textId="2B2F0766" w:rsidR="002869CA" w:rsidRPr="00E91DE7" w:rsidRDefault="002869CA" w:rsidP="00D614D9">
      <w:pPr>
        <w:pStyle w:val="a3"/>
        <w:spacing w:after="0" w:line="240" w:lineRule="auto"/>
        <w:ind w:left="0" w:firstLine="709"/>
        <w:contextualSpacing w:val="0"/>
        <w:jc w:val="both"/>
        <w:rPr>
          <w:rFonts w:ascii="Times New Roman" w:eastAsiaTheme="minorEastAsia" w:hAnsi="Times New Roman" w:cs="Times New Roman"/>
          <w:iCs/>
          <w:sz w:val="24"/>
          <w:szCs w:val="24"/>
          <w:lang w:val="en-US"/>
        </w:rPr>
      </w:pPr>
      <w:r w:rsidRPr="00E91DE7">
        <w:rPr>
          <w:rFonts w:ascii="Times New Roman" w:eastAsiaTheme="minorEastAsia" w:hAnsi="Times New Roman" w:cs="Times New Roman"/>
          <w:iCs/>
          <w:sz w:val="24"/>
          <w:szCs w:val="24"/>
        </w:rPr>
        <w:t xml:space="preserve">9. </w:t>
      </w:r>
      <w:r w:rsidRPr="00E91DE7">
        <w:rPr>
          <w:rFonts w:ascii="Times New Roman" w:eastAsiaTheme="minorEastAsia" w:hAnsi="Times New Roman" w:cs="Times New Roman"/>
          <w:iCs/>
          <w:sz w:val="24"/>
          <w:szCs w:val="24"/>
        </w:rPr>
        <w:t>Методические рекомендации по использованию показателя «Потерянные годы потенциальной жизни» (</w:t>
      </w:r>
      <w:r w:rsidRPr="00E91DE7">
        <w:rPr>
          <w:rFonts w:ascii="Times New Roman" w:eastAsiaTheme="minorEastAsia" w:hAnsi="Times New Roman" w:cs="Times New Roman"/>
          <w:iCs/>
          <w:sz w:val="24"/>
          <w:szCs w:val="24"/>
        </w:rPr>
        <w:t>ПГПЖ</w:t>
      </w:r>
      <w:r w:rsidRPr="00E91DE7">
        <w:rPr>
          <w:rFonts w:ascii="Times New Roman" w:eastAsiaTheme="minorEastAsia" w:hAnsi="Times New Roman" w:cs="Times New Roman"/>
          <w:iCs/>
          <w:sz w:val="24"/>
          <w:szCs w:val="24"/>
        </w:rPr>
        <w:t>) для обоснования приоритетных проблем здоровья</w:t>
      </w:r>
      <w:r w:rsidRPr="00E91DE7">
        <w:rPr>
          <w:rFonts w:ascii="Times New Roman" w:eastAsiaTheme="minorEastAsia" w:hAnsi="Times New Roman" w:cs="Times New Roman"/>
          <w:iCs/>
          <w:sz w:val="24"/>
          <w:szCs w:val="24"/>
        </w:rPr>
        <w:t xml:space="preserve"> н</w:t>
      </w:r>
      <w:r w:rsidRPr="00E91DE7">
        <w:rPr>
          <w:rFonts w:ascii="Times New Roman" w:eastAsiaTheme="minorEastAsia" w:hAnsi="Times New Roman" w:cs="Times New Roman"/>
          <w:iCs/>
          <w:sz w:val="24"/>
          <w:szCs w:val="24"/>
        </w:rPr>
        <w:t xml:space="preserve">аселения </w:t>
      </w:r>
      <w:r w:rsidRPr="00E91DE7">
        <w:rPr>
          <w:rFonts w:ascii="Times New Roman" w:eastAsiaTheme="minorEastAsia" w:hAnsi="Times New Roman" w:cs="Times New Roman"/>
          <w:iCs/>
          <w:sz w:val="24"/>
          <w:szCs w:val="24"/>
        </w:rPr>
        <w:t>России</w:t>
      </w:r>
      <w:r w:rsidRPr="00E91DE7">
        <w:rPr>
          <w:rFonts w:ascii="Times New Roman" w:eastAsiaTheme="minorEastAsia" w:hAnsi="Times New Roman" w:cs="Times New Roman"/>
          <w:iCs/>
          <w:sz w:val="24"/>
          <w:szCs w:val="24"/>
        </w:rPr>
        <w:t xml:space="preserve"> на федеральном, региональном и муниципальном уровнях</w:t>
      </w:r>
      <w:r w:rsidRPr="00E91DE7">
        <w:rPr>
          <w:rFonts w:ascii="Times New Roman" w:eastAsiaTheme="minorEastAsia" w:hAnsi="Times New Roman" w:cs="Times New Roman"/>
          <w:iCs/>
          <w:sz w:val="24"/>
          <w:szCs w:val="24"/>
        </w:rPr>
        <w:t xml:space="preserve">. </w:t>
      </w:r>
      <w:r w:rsidRPr="00E91DE7">
        <w:rPr>
          <w:rFonts w:ascii="Times New Roman" w:eastAsiaTheme="minorEastAsia" w:hAnsi="Times New Roman" w:cs="Times New Roman"/>
          <w:iCs/>
          <w:sz w:val="24"/>
          <w:szCs w:val="24"/>
          <w:lang w:val="en-US"/>
        </w:rPr>
        <w:t>URL:</w:t>
      </w:r>
      <w:r w:rsidRPr="00E91DE7">
        <w:rPr>
          <w:rFonts w:ascii="Times New Roman" w:eastAsiaTheme="minorEastAsia" w:hAnsi="Times New Roman" w:cs="Times New Roman"/>
          <w:iCs/>
          <w:sz w:val="24"/>
          <w:szCs w:val="24"/>
          <w:lang w:val="en-US"/>
        </w:rPr>
        <w:t xml:space="preserve"> </w:t>
      </w:r>
      <w:r w:rsidRPr="00E91DE7">
        <w:rPr>
          <w:rFonts w:ascii="Times New Roman" w:eastAsiaTheme="minorEastAsia" w:hAnsi="Times New Roman" w:cs="Times New Roman"/>
          <w:iCs/>
          <w:sz w:val="24"/>
          <w:szCs w:val="24"/>
          <w:lang w:val="en-US"/>
        </w:rPr>
        <w:t>https://mednet.ru/images/stories/files/materialy_konferencii_i_seminarov/2010/kadry2014/sessiya/metod.pdf</w:t>
      </w:r>
    </w:p>
    <w:p w14:paraId="01F04AC3" w14:textId="1C18DE08" w:rsidR="002869CA" w:rsidRPr="00E91DE7" w:rsidRDefault="002869CA" w:rsidP="00D614D9">
      <w:pPr>
        <w:pStyle w:val="a3"/>
        <w:spacing w:after="0" w:line="240" w:lineRule="auto"/>
        <w:ind w:left="0" w:firstLine="709"/>
        <w:contextualSpacing w:val="0"/>
        <w:jc w:val="both"/>
        <w:rPr>
          <w:rFonts w:ascii="Times New Roman" w:eastAsiaTheme="minorEastAsia" w:hAnsi="Times New Roman" w:cs="Times New Roman"/>
          <w:iCs/>
          <w:sz w:val="24"/>
          <w:szCs w:val="24"/>
          <w:lang w:val="en-US"/>
        </w:rPr>
      </w:pPr>
      <w:r w:rsidRPr="00E91DE7">
        <w:rPr>
          <w:rFonts w:ascii="Times New Roman" w:eastAsiaTheme="minorEastAsia" w:hAnsi="Times New Roman" w:cs="Times New Roman"/>
          <w:iCs/>
          <w:sz w:val="24"/>
          <w:szCs w:val="24"/>
        </w:rPr>
        <w:t xml:space="preserve">10. Методологические пояснения. </w:t>
      </w:r>
      <w:r w:rsidRPr="00E91DE7">
        <w:rPr>
          <w:rFonts w:ascii="Times New Roman" w:eastAsiaTheme="minorEastAsia" w:hAnsi="Times New Roman" w:cs="Times New Roman"/>
          <w:iCs/>
          <w:sz w:val="24"/>
          <w:szCs w:val="24"/>
          <w:lang w:val="en-US"/>
        </w:rPr>
        <w:t xml:space="preserve">URL: </w:t>
      </w:r>
      <w:r w:rsidRPr="00E91DE7">
        <w:rPr>
          <w:rFonts w:ascii="Times New Roman" w:eastAsiaTheme="minorEastAsia" w:hAnsi="Times New Roman" w:cs="Times New Roman"/>
          <w:iCs/>
          <w:sz w:val="24"/>
          <w:szCs w:val="24"/>
          <w:lang w:val="en-US"/>
        </w:rPr>
        <w:t>https://rosstat.gov.ru/storage/mediabank/metod-poyasn_demo.htm</w:t>
      </w:r>
    </w:p>
    <w:p w14:paraId="7A70DAE6" w14:textId="0080DD39" w:rsidR="002869CA" w:rsidRPr="00E91DE7" w:rsidRDefault="002869CA" w:rsidP="00D614D9">
      <w:pPr>
        <w:pStyle w:val="a3"/>
        <w:spacing w:after="0" w:line="240" w:lineRule="auto"/>
        <w:ind w:left="0" w:firstLine="709"/>
        <w:contextualSpacing w:val="0"/>
        <w:jc w:val="both"/>
        <w:rPr>
          <w:rFonts w:ascii="Times New Roman" w:eastAsiaTheme="minorEastAsia" w:hAnsi="Times New Roman" w:cs="Times New Roman"/>
          <w:iCs/>
          <w:sz w:val="24"/>
          <w:szCs w:val="24"/>
        </w:rPr>
      </w:pPr>
      <w:r w:rsidRPr="00E91DE7">
        <w:rPr>
          <w:rFonts w:ascii="Times New Roman" w:eastAsiaTheme="minorEastAsia" w:hAnsi="Times New Roman" w:cs="Times New Roman"/>
          <w:iCs/>
          <w:sz w:val="24"/>
          <w:szCs w:val="24"/>
        </w:rPr>
        <w:t xml:space="preserve">11. Морев М. В., </w:t>
      </w:r>
      <w:r w:rsidRPr="00E91DE7">
        <w:rPr>
          <w:rFonts w:ascii="Times New Roman" w:eastAsiaTheme="minorEastAsia" w:hAnsi="Times New Roman" w:cs="Times New Roman"/>
          <w:iCs/>
          <w:sz w:val="24"/>
          <w:szCs w:val="24"/>
        </w:rPr>
        <w:t>Короленко А. В.</w:t>
      </w:r>
      <w:r w:rsidRPr="00E91DE7">
        <w:rPr>
          <w:rFonts w:ascii="Times New Roman" w:eastAsiaTheme="minorEastAsia" w:hAnsi="Times New Roman" w:cs="Times New Roman"/>
          <w:iCs/>
          <w:sz w:val="24"/>
          <w:szCs w:val="24"/>
        </w:rPr>
        <w:t xml:space="preserve"> </w:t>
      </w:r>
      <w:r w:rsidRPr="00E91DE7">
        <w:rPr>
          <w:rFonts w:ascii="Times New Roman" w:eastAsiaTheme="minorEastAsia" w:hAnsi="Times New Roman" w:cs="Times New Roman"/>
          <w:iCs/>
          <w:sz w:val="24"/>
          <w:szCs w:val="24"/>
        </w:rPr>
        <w:t>Оценка демографических и социально-экономических потерь вследствие преждевременной смертности населения России и Вологодской области</w:t>
      </w:r>
      <w:r w:rsidRPr="00E91DE7">
        <w:rPr>
          <w:rFonts w:ascii="Times New Roman" w:eastAsiaTheme="minorEastAsia" w:hAnsi="Times New Roman" w:cs="Times New Roman"/>
          <w:iCs/>
          <w:sz w:val="24"/>
          <w:szCs w:val="24"/>
        </w:rPr>
        <w:t xml:space="preserve"> // </w:t>
      </w:r>
      <w:r w:rsidRPr="00E91DE7">
        <w:rPr>
          <w:rFonts w:ascii="Times New Roman" w:eastAsiaTheme="minorEastAsia" w:hAnsi="Times New Roman" w:cs="Times New Roman"/>
          <w:iCs/>
          <w:sz w:val="24"/>
          <w:szCs w:val="24"/>
        </w:rPr>
        <w:t>Проблемы прогнозирования</w:t>
      </w:r>
      <w:r w:rsidRPr="00E91DE7">
        <w:rPr>
          <w:rFonts w:ascii="Times New Roman" w:eastAsiaTheme="minorEastAsia" w:hAnsi="Times New Roman" w:cs="Times New Roman"/>
          <w:iCs/>
          <w:sz w:val="24"/>
          <w:szCs w:val="24"/>
        </w:rPr>
        <w:t>. 2018. № 2 (167). С. 110-123.</w:t>
      </w:r>
    </w:p>
    <w:p w14:paraId="6D77A5AA" w14:textId="221B5D66" w:rsidR="00E60A0A" w:rsidRPr="00E91DE7" w:rsidRDefault="00E60A0A" w:rsidP="00D614D9">
      <w:pPr>
        <w:pStyle w:val="a3"/>
        <w:spacing w:after="0" w:line="240" w:lineRule="auto"/>
        <w:ind w:left="0" w:firstLine="709"/>
        <w:contextualSpacing w:val="0"/>
        <w:jc w:val="both"/>
        <w:rPr>
          <w:rFonts w:ascii="Times New Roman" w:eastAsiaTheme="minorEastAsia" w:hAnsi="Times New Roman" w:cs="Times New Roman"/>
          <w:iCs/>
          <w:sz w:val="24"/>
          <w:szCs w:val="24"/>
        </w:rPr>
      </w:pPr>
    </w:p>
    <w:p w14:paraId="06108A8F" w14:textId="62AB63E3" w:rsidR="00E60A0A" w:rsidRPr="00E91DE7" w:rsidRDefault="00E60A0A" w:rsidP="00D614D9">
      <w:pPr>
        <w:pStyle w:val="a3"/>
        <w:spacing w:after="0" w:line="240" w:lineRule="auto"/>
        <w:ind w:left="0" w:firstLine="709"/>
        <w:contextualSpacing w:val="0"/>
        <w:jc w:val="center"/>
        <w:rPr>
          <w:rFonts w:ascii="Times New Roman" w:eastAsiaTheme="minorEastAsia" w:hAnsi="Times New Roman" w:cs="Times New Roman"/>
          <w:b/>
          <w:bCs/>
          <w:iCs/>
          <w:sz w:val="24"/>
          <w:szCs w:val="24"/>
        </w:rPr>
      </w:pPr>
      <w:r w:rsidRPr="00E91DE7">
        <w:rPr>
          <w:rFonts w:ascii="Times New Roman" w:eastAsiaTheme="minorEastAsia" w:hAnsi="Times New Roman" w:cs="Times New Roman"/>
          <w:b/>
          <w:bCs/>
          <w:iCs/>
          <w:sz w:val="24"/>
          <w:szCs w:val="24"/>
        </w:rPr>
        <w:t>Информация об авторе</w:t>
      </w:r>
    </w:p>
    <w:p w14:paraId="6423D753" w14:textId="68BC0E27" w:rsidR="00960DDE" w:rsidRPr="00E91DE7" w:rsidRDefault="00960DDE" w:rsidP="00D614D9">
      <w:pPr>
        <w:pStyle w:val="a3"/>
        <w:spacing w:after="0" w:line="240" w:lineRule="auto"/>
        <w:ind w:left="0" w:firstLine="709"/>
        <w:contextualSpacing w:val="0"/>
        <w:jc w:val="both"/>
        <w:rPr>
          <w:rFonts w:ascii="Times New Roman" w:eastAsiaTheme="minorEastAsia" w:hAnsi="Times New Roman" w:cs="Times New Roman"/>
          <w:iCs/>
          <w:sz w:val="24"/>
          <w:szCs w:val="24"/>
        </w:rPr>
      </w:pPr>
      <w:r w:rsidRPr="00E91DE7">
        <w:rPr>
          <w:rFonts w:ascii="Times New Roman" w:eastAsiaTheme="minorEastAsia" w:hAnsi="Times New Roman" w:cs="Times New Roman"/>
          <w:iCs/>
          <w:sz w:val="24"/>
          <w:szCs w:val="24"/>
        </w:rPr>
        <w:t xml:space="preserve">Колесов Александр Анатольевич (Россия, Вологда) – инженер-исследователь, Федеральное государственное бюджетное учреждение науки Вологодский научный центр Российской академии наук (Россия, 160014, г. Вологда, ул. Горького, д. 56а, </w:t>
      </w:r>
      <w:r w:rsidRPr="00E91DE7">
        <w:rPr>
          <w:rFonts w:ascii="Times New Roman" w:eastAsiaTheme="minorEastAsia" w:hAnsi="Times New Roman" w:cs="Times New Roman"/>
          <w:iCs/>
          <w:sz w:val="24"/>
          <w:szCs w:val="24"/>
          <w:lang w:val="en-US"/>
        </w:rPr>
        <w:t>aleks</w:t>
      </w:r>
      <w:r w:rsidRPr="00E91DE7">
        <w:rPr>
          <w:rFonts w:ascii="Times New Roman" w:eastAsiaTheme="minorEastAsia" w:hAnsi="Times New Roman" w:cs="Times New Roman"/>
          <w:iCs/>
          <w:sz w:val="24"/>
          <w:szCs w:val="24"/>
        </w:rPr>
        <w:t>.</w:t>
      </w:r>
      <w:r w:rsidRPr="00E91DE7">
        <w:rPr>
          <w:rFonts w:ascii="Times New Roman" w:eastAsiaTheme="minorEastAsia" w:hAnsi="Times New Roman" w:cs="Times New Roman"/>
          <w:iCs/>
          <w:sz w:val="24"/>
          <w:szCs w:val="24"/>
          <w:lang w:val="en-US"/>
        </w:rPr>
        <w:t>kolesov</w:t>
      </w:r>
      <w:r w:rsidRPr="00E91DE7">
        <w:rPr>
          <w:rFonts w:ascii="Times New Roman" w:eastAsiaTheme="minorEastAsia" w:hAnsi="Times New Roman" w:cs="Times New Roman"/>
          <w:iCs/>
          <w:sz w:val="24"/>
          <w:szCs w:val="24"/>
        </w:rPr>
        <w:t>@</w:t>
      </w:r>
      <w:r w:rsidRPr="00E91DE7">
        <w:rPr>
          <w:rFonts w:ascii="Times New Roman" w:eastAsiaTheme="minorEastAsia" w:hAnsi="Times New Roman" w:cs="Times New Roman"/>
          <w:iCs/>
          <w:sz w:val="24"/>
          <w:szCs w:val="24"/>
          <w:lang w:val="en-US"/>
        </w:rPr>
        <w:t>bk</w:t>
      </w:r>
      <w:r w:rsidRPr="00E91DE7">
        <w:rPr>
          <w:rFonts w:ascii="Times New Roman" w:eastAsiaTheme="minorEastAsia" w:hAnsi="Times New Roman" w:cs="Times New Roman"/>
          <w:iCs/>
          <w:sz w:val="24"/>
          <w:szCs w:val="24"/>
        </w:rPr>
        <w:t>.</w:t>
      </w:r>
      <w:r w:rsidRPr="00E91DE7">
        <w:rPr>
          <w:rFonts w:ascii="Times New Roman" w:eastAsiaTheme="minorEastAsia" w:hAnsi="Times New Roman" w:cs="Times New Roman"/>
          <w:iCs/>
          <w:sz w:val="24"/>
          <w:szCs w:val="24"/>
          <w:lang w:val="en-US"/>
        </w:rPr>
        <w:t>ru</w:t>
      </w:r>
      <w:r w:rsidRPr="00E91DE7">
        <w:rPr>
          <w:rFonts w:ascii="Times New Roman" w:eastAsiaTheme="minorEastAsia" w:hAnsi="Times New Roman" w:cs="Times New Roman"/>
          <w:iCs/>
          <w:sz w:val="24"/>
          <w:szCs w:val="24"/>
        </w:rPr>
        <w:t>)</w:t>
      </w:r>
    </w:p>
    <w:p w14:paraId="689B8F83" w14:textId="24D030BC" w:rsidR="00960DDE" w:rsidRPr="00E91DE7" w:rsidRDefault="00960DDE" w:rsidP="00D614D9">
      <w:pPr>
        <w:pStyle w:val="a3"/>
        <w:spacing w:after="0" w:line="240" w:lineRule="auto"/>
        <w:ind w:left="0" w:firstLine="709"/>
        <w:contextualSpacing w:val="0"/>
        <w:jc w:val="both"/>
        <w:rPr>
          <w:rFonts w:ascii="Times New Roman" w:eastAsiaTheme="minorEastAsia" w:hAnsi="Times New Roman" w:cs="Times New Roman"/>
          <w:iCs/>
          <w:sz w:val="24"/>
          <w:szCs w:val="24"/>
        </w:rPr>
      </w:pPr>
    </w:p>
    <w:p w14:paraId="61EA5FA8" w14:textId="77777777" w:rsidR="00960DDE" w:rsidRPr="00E91DE7" w:rsidRDefault="00960DDE" w:rsidP="00D614D9">
      <w:pPr>
        <w:pStyle w:val="a3"/>
        <w:spacing w:after="0" w:line="240" w:lineRule="auto"/>
        <w:ind w:left="0" w:firstLine="709"/>
        <w:contextualSpacing w:val="0"/>
        <w:jc w:val="both"/>
        <w:rPr>
          <w:rFonts w:ascii="Times New Roman" w:eastAsiaTheme="minorEastAsia" w:hAnsi="Times New Roman" w:cs="Times New Roman"/>
          <w:iCs/>
          <w:sz w:val="24"/>
          <w:szCs w:val="24"/>
        </w:rPr>
      </w:pPr>
    </w:p>
    <w:p w14:paraId="32D8CF97" w14:textId="77777777" w:rsidR="00E45EDD" w:rsidRPr="0004795E" w:rsidRDefault="00E45EDD" w:rsidP="00D614D9">
      <w:pPr>
        <w:pStyle w:val="a3"/>
        <w:spacing w:after="0" w:line="360" w:lineRule="auto"/>
        <w:ind w:left="0" w:firstLine="709"/>
        <w:contextualSpacing w:val="0"/>
        <w:jc w:val="right"/>
        <w:rPr>
          <w:rFonts w:ascii="Times New Roman" w:hAnsi="Times New Roman" w:cs="Times New Roman"/>
          <w:b/>
          <w:bCs/>
          <w:sz w:val="24"/>
          <w:szCs w:val="24"/>
          <w:lang w:val="en-US"/>
        </w:rPr>
      </w:pPr>
      <w:r w:rsidRPr="0004795E">
        <w:rPr>
          <w:rFonts w:ascii="Times New Roman" w:hAnsi="Times New Roman" w:cs="Times New Roman"/>
          <w:b/>
          <w:bCs/>
          <w:sz w:val="24"/>
          <w:szCs w:val="24"/>
          <w:lang w:val="en-US"/>
        </w:rPr>
        <w:t>Kolesov A. A.</w:t>
      </w:r>
    </w:p>
    <w:p w14:paraId="70E72DE8" w14:textId="014E4D27" w:rsidR="00960DDE" w:rsidRPr="0004795E" w:rsidRDefault="00E45EDD" w:rsidP="00D614D9">
      <w:pPr>
        <w:pStyle w:val="a3"/>
        <w:spacing w:after="0" w:line="360" w:lineRule="auto"/>
        <w:ind w:left="0" w:firstLine="709"/>
        <w:contextualSpacing w:val="0"/>
        <w:jc w:val="center"/>
        <w:rPr>
          <w:rFonts w:ascii="Times New Roman" w:hAnsi="Times New Roman" w:cs="Times New Roman"/>
          <w:sz w:val="28"/>
          <w:szCs w:val="28"/>
          <w:lang w:val="en-US"/>
        </w:rPr>
      </w:pPr>
      <w:r w:rsidRPr="0004795E">
        <w:rPr>
          <w:rFonts w:ascii="Times New Roman" w:hAnsi="Times New Roman" w:cs="Times New Roman"/>
          <w:b/>
          <w:bCs/>
          <w:caps/>
          <w:sz w:val="24"/>
          <w:szCs w:val="24"/>
          <w:lang w:val="en-US"/>
        </w:rPr>
        <w:t>METHODOLOGICAL FOUNDATIONS OF THE ANALYSIS OF PREMATURE MORTALITY OF THE POPULATION AND ASSESSMENT OF ECONOMIC DAMAGE FROM DEMOGRAPHIC LOSSES</w:t>
      </w:r>
    </w:p>
    <w:p w14:paraId="6FD91FF4" w14:textId="1F76300C" w:rsidR="00960DDE" w:rsidRPr="0004795E" w:rsidRDefault="002932FA" w:rsidP="00D614D9">
      <w:pPr>
        <w:pStyle w:val="a3"/>
        <w:spacing w:after="0" w:line="240" w:lineRule="auto"/>
        <w:ind w:left="0" w:firstLine="709"/>
        <w:contextualSpacing w:val="0"/>
        <w:jc w:val="both"/>
        <w:rPr>
          <w:rFonts w:ascii="Times New Roman" w:hAnsi="Times New Roman" w:cs="Times New Roman"/>
          <w:sz w:val="24"/>
          <w:szCs w:val="24"/>
          <w:lang w:val="en-US"/>
        </w:rPr>
      </w:pPr>
      <w:r w:rsidRPr="0004795E">
        <w:rPr>
          <w:rFonts w:ascii="Times New Roman" w:hAnsi="Times New Roman" w:cs="Times New Roman"/>
          <w:b/>
          <w:bCs/>
          <w:sz w:val="24"/>
          <w:szCs w:val="24"/>
          <w:lang w:val="en-US"/>
        </w:rPr>
        <w:lastRenderedPageBreak/>
        <w:t>Abstract</w:t>
      </w:r>
      <w:r w:rsidR="00960DDE" w:rsidRPr="0004795E">
        <w:rPr>
          <w:rFonts w:ascii="Times New Roman" w:hAnsi="Times New Roman" w:cs="Times New Roman"/>
          <w:b/>
          <w:bCs/>
          <w:sz w:val="24"/>
          <w:szCs w:val="24"/>
          <w:lang w:val="en-US"/>
        </w:rPr>
        <w:t>.</w:t>
      </w:r>
      <w:r w:rsidR="00960DDE" w:rsidRPr="0004795E">
        <w:rPr>
          <w:rFonts w:ascii="Times New Roman" w:hAnsi="Times New Roman" w:cs="Times New Roman"/>
          <w:sz w:val="24"/>
          <w:szCs w:val="24"/>
          <w:lang w:val="en-US"/>
        </w:rPr>
        <w:t xml:space="preserve"> </w:t>
      </w:r>
      <w:r w:rsidR="00797718" w:rsidRPr="0004795E">
        <w:rPr>
          <w:rFonts w:ascii="Times New Roman" w:hAnsi="Times New Roman" w:cs="Times New Roman"/>
          <w:i/>
          <w:iCs/>
          <w:sz w:val="24"/>
          <w:szCs w:val="24"/>
          <w:lang w:val="en-US"/>
        </w:rPr>
        <w:t xml:space="preserve">The article </w:t>
      </w:r>
      <w:r w:rsidR="00B51CA8" w:rsidRPr="0004795E">
        <w:rPr>
          <w:rFonts w:ascii="Times New Roman" w:hAnsi="Times New Roman" w:cs="Times New Roman"/>
          <w:i/>
          <w:iCs/>
          <w:sz w:val="24"/>
          <w:szCs w:val="24"/>
          <w:lang w:val="en-US"/>
        </w:rPr>
        <w:t>discusses the methods</w:t>
      </w:r>
      <w:r w:rsidR="00797718" w:rsidRPr="0004795E">
        <w:rPr>
          <w:rFonts w:ascii="Times New Roman" w:hAnsi="Times New Roman" w:cs="Times New Roman"/>
          <w:i/>
          <w:iCs/>
          <w:sz w:val="24"/>
          <w:szCs w:val="24"/>
          <w:lang w:val="en-US"/>
        </w:rPr>
        <w:t xml:space="preserve"> used for the analysis of mortality, premature mortality and assessment of economic damage. Examples of calculation of these indicators with their results are given. In conclusion, it is noted that these methods are necessary to understand the significance of the problem and its solution.</w:t>
      </w:r>
    </w:p>
    <w:p w14:paraId="77ABCB73" w14:textId="6138F2AA" w:rsidR="00960DDE" w:rsidRPr="0004795E" w:rsidRDefault="002932FA" w:rsidP="00D614D9">
      <w:pPr>
        <w:pStyle w:val="a3"/>
        <w:spacing w:after="0" w:line="240" w:lineRule="auto"/>
        <w:ind w:left="0" w:firstLine="709"/>
        <w:contextualSpacing w:val="0"/>
        <w:jc w:val="both"/>
        <w:rPr>
          <w:rFonts w:ascii="Times New Roman" w:hAnsi="Times New Roman" w:cs="Times New Roman"/>
          <w:sz w:val="28"/>
          <w:szCs w:val="28"/>
          <w:lang w:val="en-US"/>
        </w:rPr>
      </w:pPr>
      <w:r w:rsidRPr="0004795E">
        <w:rPr>
          <w:rFonts w:ascii="Times New Roman" w:hAnsi="Times New Roman" w:cs="Times New Roman"/>
          <w:b/>
          <w:bCs/>
          <w:sz w:val="24"/>
          <w:szCs w:val="24"/>
          <w:lang w:val="en-US"/>
        </w:rPr>
        <w:t>Key words</w:t>
      </w:r>
      <w:r w:rsidR="00960DDE" w:rsidRPr="0004795E">
        <w:rPr>
          <w:rFonts w:ascii="Times New Roman" w:hAnsi="Times New Roman" w:cs="Times New Roman"/>
          <w:b/>
          <w:bCs/>
          <w:sz w:val="24"/>
          <w:szCs w:val="24"/>
          <w:lang w:val="en-US"/>
        </w:rPr>
        <w:t>:</w:t>
      </w:r>
      <w:r w:rsidR="00960DDE" w:rsidRPr="0004795E">
        <w:rPr>
          <w:rFonts w:ascii="Times New Roman" w:hAnsi="Times New Roman" w:cs="Times New Roman"/>
          <w:sz w:val="24"/>
          <w:szCs w:val="24"/>
          <w:lang w:val="en-US"/>
        </w:rPr>
        <w:t xml:space="preserve"> </w:t>
      </w:r>
      <w:r w:rsidR="002F0BB0" w:rsidRPr="0004795E">
        <w:rPr>
          <w:rFonts w:ascii="Times New Roman" w:hAnsi="Times New Roman" w:cs="Times New Roman"/>
          <w:i/>
          <w:iCs/>
          <w:sz w:val="24"/>
          <w:szCs w:val="24"/>
          <w:lang w:val="en-US"/>
        </w:rPr>
        <w:t>demographic indicators, premature mortality, assessment, methodology</w:t>
      </w:r>
    </w:p>
    <w:p w14:paraId="32BF9357" w14:textId="14A8E5B4" w:rsidR="007A2F42" w:rsidRPr="0004795E" w:rsidRDefault="00544984" w:rsidP="00D614D9">
      <w:pPr>
        <w:spacing w:after="0" w:line="240" w:lineRule="auto"/>
        <w:rPr>
          <w:rFonts w:ascii="Times New Roman" w:hAnsi="Times New Roman" w:cs="Times New Roman"/>
          <w:sz w:val="20"/>
          <w:szCs w:val="20"/>
          <w:lang w:val="en-US"/>
        </w:rPr>
      </w:pPr>
    </w:p>
    <w:p w14:paraId="09019607" w14:textId="2B72B68A" w:rsidR="00960DDE" w:rsidRPr="0004795E" w:rsidRDefault="002932FA" w:rsidP="00D614D9">
      <w:pPr>
        <w:pStyle w:val="a3"/>
        <w:spacing w:after="0" w:line="240" w:lineRule="auto"/>
        <w:ind w:left="0" w:firstLine="709"/>
        <w:contextualSpacing w:val="0"/>
        <w:jc w:val="center"/>
        <w:rPr>
          <w:rFonts w:ascii="Times New Roman" w:eastAsiaTheme="minorEastAsia" w:hAnsi="Times New Roman" w:cs="Times New Roman"/>
          <w:b/>
          <w:bCs/>
          <w:iCs/>
          <w:sz w:val="24"/>
          <w:szCs w:val="24"/>
          <w:lang w:val="en-US"/>
        </w:rPr>
      </w:pPr>
      <w:r w:rsidRPr="0004795E">
        <w:rPr>
          <w:rFonts w:ascii="Times New Roman" w:eastAsiaTheme="minorEastAsia" w:hAnsi="Times New Roman" w:cs="Times New Roman"/>
          <w:b/>
          <w:bCs/>
          <w:iCs/>
          <w:sz w:val="24"/>
          <w:szCs w:val="24"/>
          <w:lang w:val="en-US"/>
        </w:rPr>
        <w:t>Information about the author</w:t>
      </w:r>
    </w:p>
    <w:p w14:paraId="1CE54151" w14:textId="6822834F" w:rsidR="00960DDE" w:rsidRPr="0004795E" w:rsidRDefault="002932FA" w:rsidP="00D614D9">
      <w:pPr>
        <w:pStyle w:val="a3"/>
        <w:spacing w:after="0" w:line="240" w:lineRule="auto"/>
        <w:ind w:left="0" w:firstLine="709"/>
        <w:contextualSpacing w:val="0"/>
        <w:jc w:val="both"/>
        <w:rPr>
          <w:rFonts w:ascii="Times New Roman" w:eastAsiaTheme="minorEastAsia" w:hAnsi="Times New Roman" w:cs="Times New Roman"/>
          <w:iCs/>
          <w:sz w:val="24"/>
          <w:szCs w:val="24"/>
          <w:lang w:val="en-US"/>
        </w:rPr>
      </w:pPr>
      <w:r w:rsidRPr="0004795E">
        <w:rPr>
          <w:rFonts w:ascii="Times New Roman" w:eastAsiaTheme="minorEastAsia" w:hAnsi="Times New Roman" w:cs="Times New Roman"/>
          <w:iCs/>
          <w:sz w:val="24"/>
          <w:szCs w:val="24"/>
          <w:lang w:val="en-US"/>
        </w:rPr>
        <w:t>Kolesov Aleksandr Anatolyevich</w:t>
      </w:r>
      <w:r w:rsidR="00960DDE" w:rsidRPr="0004795E">
        <w:rPr>
          <w:rFonts w:ascii="Times New Roman" w:eastAsiaTheme="minorEastAsia" w:hAnsi="Times New Roman" w:cs="Times New Roman"/>
          <w:iCs/>
          <w:sz w:val="24"/>
          <w:szCs w:val="24"/>
          <w:lang w:val="en-US"/>
        </w:rPr>
        <w:t xml:space="preserve"> (</w:t>
      </w:r>
      <w:r w:rsidRPr="0004795E">
        <w:rPr>
          <w:rFonts w:ascii="Times New Roman" w:eastAsiaTheme="minorEastAsia" w:hAnsi="Times New Roman" w:cs="Times New Roman"/>
          <w:iCs/>
          <w:sz w:val="24"/>
          <w:szCs w:val="24"/>
          <w:lang w:val="en-US"/>
        </w:rPr>
        <w:t>Russia, Vologda</w:t>
      </w:r>
      <w:r w:rsidR="00960DDE" w:rsidRPr="0004795E">
        <w:rPr>
          <w:rFonts w:ascii="Times New Roman" w:eastAsiaTheme="minorEastAsia" w:hAnsi="Times New Roman" w:cs="Times New Roman"/>
          <w:iCs/>
          <w:sz w:val="24"/>
          <w:szCs w:val="24"/>
          <w:lang w:val="en-US"/>
        </w:rPr>
        <w:t xml:space="preserve">) – </w:t>
      </w:r>
      <w:r w:rsidRPr="0004795E">
        <w:rPr>
          <w:rFonts w:ascii="Times New Roman" w:eastAsiaTheme="minorEastAsia" w:hAnsi="Times New Roman" w:cs="Times New Roman"/>
          <w:iCs/>
          <w:sz w:val="24"/>
          <w:szCs w:val="24"/>
          <w:lang w:val="en-US"/>
        </w:rPr>
        <w:t>research engineer</w:t>
      </w:r>
      <w:r w:rsidR="00960DDE" w:rsidRPr="0004795E">
        <w:rPr>
          <w:rFonts w:ascii="Times New Roman" w:eastAsiaTheme="minorEastAsia" w:hAnsi="Times New Roman" w:cs="Times New Roman"/>
          <w:iCs/>
          <w:sz w:val="24"/>
          <w:szCs w:val="24"/>
          <w:lang w:val="en-US"/>
        </w:rPr>
        <w:t xml:space="preserve">, </w:t>
      </w:r>
      <w:r w:rsidRPr="0004795E">
        <w:rPr>
          <w:rFonts w:ascii="Times New Roman" w:eastAsiaTheme="minorEastAsia" w:hAnsi="Times New Roman" w:cs="Times New Roman"/>
          <w:iCs/>
          <w:sz w:val="24"/>
          <w:szCs w:val="24"/>
          <w:lang w:val="en-US"/>
        </w:rPr>
        <w:t>Vologda Research Center of the Russian Academy of Sciences</w:t>
      </w:r>
      <w:r w:rsidR="00960DDE" w:rsidRPr="0004795E">
        <w:rPr>
          <w:rFonts w:ascii="Times New Roman" w:eastAsiaTheme="minorEastAsia" w:hAnsi="Times New Roman" w:cs="Times New Roman"/>
          <w:iCs/>
          <w:sz w:val="24"/>
          <w:szCs w:val="24"/>
          <w:lang w:val="en-US"/>
        </w:rPr>
        <w:t xml:space="preserve"> (</w:t>
      </w:r>
      <w:r w:rsidRPr="0004795E">
        <w:rPr>
          <w:rFonts w:ascii="Times New Roman" w:eastAsiaTheme="minorEastAsia" w:hAnsi="Times New Roman" w:cs="Times New Roman"/>
          <w:iCs/>
          <w:sz w:val="24"/>
          <w:szCs w:val="24"/>
          <w:lang w:val="en-US"/>
        </w:rPr>
        <w:t>56A, Gorky Street, Vologda, Russian Federation, 160014,</w:t>
      </w:r>
      <w:r w:rsidR="00960DDE" w:rsidRPr="0004795E">
        <w:rPr>
          <w:rFonts w:ascii="Times New Roman" w:eastAsiaTheme="minorEastAsia" w:hAnsi="Times New Roman" w:cs="Times New Roman"/>
          <w:iCs/>
          <w:sz w:val="24"/>
          <w:szCs w:val="24"/>
          <w:lang w:val="en-US"/>
        </w:rPr>
        <w:t xml:space="preserve"> aleks.kolesov@bk.ru)</w:t>
      </w:r>
    </w:p>
    <w:p w14:paraId="2E80E5A9" w14:textId="5234F804" w:rsidR="00960DDE" w:rsidRPr="0004795E" w:rsidRDefault="00960DDE" w:rsidP="00D614D9">
      <w:pPr>
        <w:spacing w:after="0" w:line="240" w:lineRule="auto"/>
        <w:rPr>
          <w:rFonts w:ascii="Times New Roman" w:hAnsi="Times New Roman" w:cs="Times New Roman"/>
          <w:sz w:val="20"/>
          <w:szCs w:val="20"/>
          <w:lang w:val="en-US"/>
        </w:rPr>
      </w:pPr>
    </w:p>
    <w:p w14:paraId="551B8B84" w14:textId="5A1DA4CF" w:rsidR="00960DDE" w:rsidRPr="0004795E" w:rsidRDefault="002932FA" w:rsidP="00D614D9">
      <w:pPr>
        <w:spacing w:after="0" w:line="240" w:lineRule="auto"/>
        <w:jc w:val="center"/>
        <w:rPr>
          <w:rFonts w:ascii="Times New Roman" w:hAnsi="Times New Roman" w:cs="Times New Roman"/>
          <w:sz w:val="20"/>
          <w:szCs w:val="20"/>
          <w:lang w:val="en-US"/>
        </w:rPr>
      </w:pPr>
      <w:r w:rsidRPr="0004795E">
        <w:rPr>
          <w:rFonts w:ascii="Times New Roman" w:eastAsiaTheme="minorEastAsia" w:hAnsi="Times New Roman" w:cs="Times New Roman"/>
          <w:b/>
          <w:bCs/>
          <w:iCs/>
          <w:sz w:val="24"/>
          <w:szCs w:val="24"/>
          <w:lang w:val="en-US"/>
        </w:rPr>
        <w:t>References</w:t>
      </w:r>
    </w:p>
    <w:p w14:paraId="3AF4DE5A" w14:textId="75603847" w:rsidR="00E91DE7" w:rsidRPr="0004795E" w:rsidRDefault="00E91DE7" w:rsidP="00CB1055">
      <w:pPr>
        <w:spacing w:after="0" w:line="240" w:lineRule="auto"/>
        <w:ind w:firstLine="709"/>
        <w:jc w:val="both"/>
        <w:rPr>
          <w:rFonts w:ascii="Times New Roman" w:eastAsiaTheme="minorEastAsia" w:hAnsi="Times New Roman" w:cs="Times New Roman"/>
          <w:iCs/>
          <w:sz w:val="24"/>
          <w:szCs w:val="24"/>
          <w:lang w:val="en-US"/>
        </w:rPr>
      </w:pPr>
      <w:r w:rsidRPr="0004795E">
        <w:rPr>
          <w:rFonts w:ascii="Times New Roman" w:eastAsiaTheme="minorEastAsia" w:hAnsi="Times New Roman" w:cs="Times New Roman"/>
          <w:iCs/>
          <w:sz w:val="24"/>
          <w:szCs w:val="24"/>
          <w:lang w:val="en-US"/>
        </w:rPr>
        <w:t>1. Andreev E. M. Demographic indicators in the May (2018) Presidential Decree // Scientific seminar "Modern Demography" NIH HSE, Moscow, February 7, 2019 URL: https://demogr.hse.ru/data/2019/02/11/1207509529/Andreev_07-02-19.pdf</w:t>
      </w:r>
    </w:p>
    <w:p w14:paraId="5F02F976" w14:textId="77777777" w:rsidR="00E91DE7" w:rsidRPr="0004795E" w:rsidRDefault="00E91DE7" w:rsidP="00CB1055">
      <w:pPr>
        <w:spacing w:after="0" w:line="240" w:lineRule="auto"/>
        <w:ind w:firstLine="709"/>
        <w:jc w:val="both"/>
        <w:rPr>
          <w:rFonts w:ascii="Times New Roman" w:eastAsiaTheme="minorEastAsia" w:hAnsi="Times New Roman" w:cs="Times New Roman"/>
          <w:iCs/>
          <w:sz w:val="24"/>
          <w:szCs w:val="24"/>
          <w:lang w:val="en-US"/>
        </w:rPr>
      </w:pPr>
      <w:r w:rsidRPr="0004795E">
        <w:rPr>
          <w:rFonts w:ascii="Times New Roman" w:eastAsiaTheme="minorEastAsia" w:hAnsi="Times New Roman" w:cs="Times New Roman"/>
          <w:iCs/>
          <w:sz w:val="24"/>
          <w:szCs w:val="24"/>
          <w:lang w:val="en-US"/>
        </w:rPr>
        <w:t>2. Katkova I. V., Rybalchenko S. I. Premature mortality and healthy life expectancy in the context of national development tasks // Population. 2020. Vol. 23. No. 4. pp. 83-92. DOI: 10.19181/population.2020.23.4.8</w:t>
      </w:r>
    </w:p>
    <w:p w14:paraId="10290ABF" w14:textId="77777777" w:rsidR="00E91DE7" w:rsidRPr="0004795E" w:rsidRDefault="00E91DE7" w:rsidP="00CB1055">
      <w:pPr>
        <w:spacing w:after="0" w:line="240" w:lineRule="auto"/>
        <w:ind w:firstLine="709"/>
        <w:jc w:val="both"/>
        <w:rPr>
          <w:rFonts w:ascii="Times New Roman" w:eastAsiaTheme="minorEastAsia" w:hAnsi="Times New Roman" w:cs="Times New Roman"/>
          <w:iCs/>
          <w:sz w:val="24"/>
          <w:szCs w:val="24"/>
          <w:lang w:val="en-US"/>
        </w:rPr>
      </w:pPr>
      <w:r w:rsidRPr="0004795E">
        <w:rPr>
          <w:rFonts w:ascii="Times New Roman" w:eastAsiaTheme="minorEastAsia" w:hAnsi="Times New Roman" w:cs="Times New Roman"/>
          <w:iCs/>
          <w:sz w:val="24"/>
          <w:szCs w:val="24"/>
          <w:lang w:val="en-US"/>
        </w:rPr>
        <w:t>3. Kozlova O. A., Zubarev N. Y. Comprehensive assessment of economic losses of the region from premature mortality of the population // The economy of the region. 2020. Vol. 16. No. 3. pp. 845-848. DOI: 10.17059/ekon.reg.2020-3-13</w:t>
      </w:r>
    </w:p>
    <w:p w14:paraId="118E03ED" w14:textId="77777777" w:rsidR="00E91DE7" w:rsidRPr="0004795E" w:rsidRDefault="00E91DE7" w:rsidP="00CB1055">
      <w:pPr>
        <w:spacing w:after="0" w:line="240" w:lineRule="auto"/>
        <w:ind w:firstLine="709"/>
        <w:jc w:val="both"/>
        <w:rPr>
          <w:rFonts w:ascii="Times New Roman" w:eastAsiaTheme="minorEastAsia" w:hAnsi="Times New Roman" w:cs="Times New Roman"/>
          <w:iCs/>
          <w:sz w:val="24"/>
          <w:szCs w:val="24"/>
          <w:lang w:val="en-US"/>
        </w:rPr>
      </w:pPr>
      <w:r w:rsidRPr="0004795E">
        <w:rPr>
          <w:rFonts w:ascii="Times New Roman" w:eastAsiaTheme="minorEastAsia" w:hAnsi="Times New Roman" w:cs="Times New Roman"/>
          <w:iCs/>
          <w:sz w:val="24"/>
          <w:szCs w:val="24"/>
          <w:lang w:val="en-US"/>
        </w:rPr>
        <w:t>4. Kozlova O. A., Nifantova R. V., Makarova M. N. Methodological issues of assessing economic damage from mortality of the population employed in the economy of the region // The economy of the region. 2017. Vol. 13. No. 2. pp. 511-523. DOI: 10.17059/2017-2-16</w:t>
      </w:r>
    </w:p>
    <w:p w14:paraId="103959F7" w14:textId="21DB3919" w:rsidR="00E91DE7" w:rsidRPr="0004795E" w:rsidRDefault="00E91DE7" w:rsidP="00CB1055">
      <w:pPr>
        <w:spacing w:after="0" w:line="240" w:lineRule="auto"/>
        <w:ind w:firstLine="709"/>
        <w:jc w:val="both"/>
        <w:rPr>
          <w:rFonts w:ascii="Times New Roman" w:eastAsiaTheme="minorEastAsia" w:hAnsi="Times New Roman" w:cs="Times New Roman"/>
          <w:iCs/>
          <w:sz w:val="24"/>
          <w:szCs w:val="24"/>
          <w:lang w:val="en-US"/>
        </w:rPr>
      </w:pPr>
      <w:r w:rsidRPr="0004795E">
        <w:rPr>
          <w:rFonts w:ascii="Times New Roman" w:eastAsiaTheme="minorEastAsia" w:hAnsi="Times New Roman" w:cs="Times New Roman"/>
          <w:iCs/>
          <w:sz w:val="24"/>
          <w:szCs w:val="24"/>
          <w:lang w:val="en-US"/>
        </w:rPr>
        <w:t>5. Kozlova O. A., Sekicki-Pavlenko O. O. Sullivan's method as one of the tools of qualitative assessment of public health // Socio-economic and demographic aspects of the implementation of national projects in the region: collection of articles of the X Ural Demographic Forum, June 10-11, 2019</w:t>
      </w:r>
      <w:r w:rsidR="0004795E">
        <w:rPr>
          <w:rFonts w:ascii="Times New Roman" w:eastAsiaTheme="minorEastAsia" w:hAnsi="Times New Roman" w:cs="Times New Roman"/>
          <w:iCs/>
          <w:sz w:val="24"/>
          <w:szCs w:val="24"/>
          <w:lang w:val="en-US"/>
        </w:rPr>
        <w:t>.</w:t>
      </w:r>
      <w:r w:rsidRPr="0004795E">
        <w:rPr>
          <w:rFonts w:ascii="Times New Roman" w:eastAsiaTheme="minorEastAsia" w:hAnsi="Times New Roman" w:cs="Times New Roman"/>
          <w:iCs/>
          <w:sz w:val="24"/>
          <w:szCs w:val="24"/>
          <w:lang w:val="en-US"/>
        </w:rPr>
        <w:t xml:space="preserve"> Yekaterinburg: Institute of Economics of the Ural Branch of the Russian Academy of Sciences, 2019. Vol. 1. pp. 166-171.</w:t>
      </w:r>
    </w:p>
    <w:p w14:paraId="033D1B6C" w14:textId="77777777" w:rsidR="00E91DE7" w:rsidRPr="0004795E" w:rsidRDefault="00E91DE7" w:rsidP="00CB1055">
      <w:pPr>
        <w:spacing w:after="0" w:line="240" w:lineRule="auto"/>
        <w:ind w:firstLine="709"/>
        <w:jc w:val="both"/>
        <w:rPr>
          <w:rFonts w:ascii="Times New Roman" w:eastAsiaTheme="minorEastAsia" w:hAnsi="Times New Roman" w:cs="Times New Roman"/>
          <w:iCs/>
          <w:sz w:val="24"/>
          <w:szCs w:val="24"/>
          <w:lang w:val="en-US"/>
        </w:rPr>
      </w:pPr>
      <w:r w:rsidRPr="0004795E">
        <w:rPr>
          <w:rFonts w:ascii="Times New Roman" w:eastAsiaTheme="minorEastAsia" w:hAnsi="Times New Roman" w:cs="Times New Roman"/>
          <w:iCs/>
          <w:sz w:val="24"/>
          <w:szCs w:val="24"/>
          <w:lang w:val="en-US"/>
        </w:rPr>
        <w:t>6. Korolenko A.V. Analysis of demographic losses due to mortality of the Vologda Oblast population // International Scientific Conference of students, postgraduates and young scientists "Lomonosov-2016", Moscow, April 14, 2016. URL: https://www.vscc.ac.ru/files/www/research/grant141803120/conference14042016.pdf</w:t>
      </w:r>
    </w:p>
    <w:p w14:paraId="5A51A4AC" w14:textId="77777777" w:rsidR="00E91DE7" w:rsidRPr="0004795E" w:rsidRDefault="00E91DE7" w:rsidP="00CB1055">
      <w:pPr>
        <w:spacing w:after="0" w:line="240" w:lineRule="auto"/>
        <w:ind w:firstLine="709"/>
        <w:jc w:val="both"/>
        <w:rPr>
          <w:rFonts w:ascii="Times New Roman" w:eastAsiaTheme="minorEastAsia" w:hAnsi="Times New Roman" w:cs="Times New Roman"/>
          <w:iCs/>
          <w:sz w:val="24"/>
          <w:szCs w:val="24"/>
          <w:lang w:val="en-US"/>
        </w:rPr>
      </w:pPr>
      <w:r w:rsidRPr="0004795E">
        <w:rPr>
          <w:rFonts w:ascii="Times New Roman" w:eastAsiaTheme="minorEastAsia" w:hAnsi="Times New Roman" w:cs="Times New Roman"/>
          <w:iCs/>
          <w:sz w:val="24"/>
          <w:szCs w:val="24"/>
          <w:lang w:val="en-US"/>
        </w:rPr>
        <w:t>7. Korolenko A.V. The dynamics of mortality in Russia in the context of the concept of epidemiological transition // Economic and social changes: facts, trends, forecast. 2015. No. 4 (40). pp. 192-210. DOI: 10.15838/esc/2015.4.40.14</w:t>
      </w:r>
    </w:p>
    <w:p w14:paraId="09273B4C" w14:textId="77777777" w:rsidR="00E91DE7" w:rsidRPr="0004795E" w:rsidRDefault="00E91DE7" w:rsidP="00CB1055">
      <w:pPr>
        <w:spacing w:after="0" w:line="240" w:lineRule="auto"/>
        <w:ind w:firstLine="709"/>
        <w:jc w:val="both"/>
        <w:rPr>
          <w:rFonts w:ascii="Times New Roman" w:eastAsiaTheme="minorEastAsia" w:hAnsi="Times New Roman" w:cs="Times New Roman"/>
          <w:iCs/>
          <w:sz w:val="24"/>
          <w:szCs w:val="24"/>
          <w:lang w:val="en-US"/>
        </w:rPr>
      </w:pPr>
      <w:r w:rsidRPr="0004795E">
        <w:rPr>
          <w:rFonts w:ascii="Times New Roman" w:eastAsiaTheme="minorEastAsia" w:hAnsi="Times New Roman" w:cs="Times New Roman"/>
          <w:iCs/>
          <w:sz w:val="24"/>
          <w:szCs w:val="24"/>
          <w:lang w:val="en-US"/>
        </w:rPr>
        <w:t>8. Methodological aspects of assessing morbidity, prevalence, mortality and mortality in COVID-19 / Drapkina O. M., Samorodskaya I. V., Sivtseva M. G. [et al.] // Cardiovascular therapy and prevention. 2020. Vol. 19. No. 3. pp. 302-309. DOI: 10.15829/1728-8800-2020-2585</w:t>
      </w:r>
    </w:p>
    <w:p w14:paraId="411A90CD" w14:textId="4B90D66C" w:rsidR="00E91DE7" w:rsidRPr="0004795E" w:rsidRDefault="00E91DE7" w:rsidP="00CB1055">
      <w:pPr>
        <w:spacing w:after="0" w:line="240" w:lineRule="auto"/>
        <w:ind w:firstLine="709"/>
        <w:jc w:val="both"/>
        <w:rPr>
          <w:rFonts w:ascii="Times New Roman" w:eastAsiaTheme="minorEastAsia" w:hAnsi="Times New Roman" w:cs="Times New Roman"/>
          <w:iCs/>
          <w:sz w:val="24"/>
          <w:szCs w:val="24"/>
          <w:lang w:val="en-US"/>
        </w:rPr>
      </w:pPr>
      <w:r w:rsidRPr="0004795E">
        <w:rPr>
          <w:rFonts w:ascii="Times New Roman" w:eastAsiaTheme="minorEastAsia" w:hAnsi="Times New Roman" w:cs="Times New Roman"/>
          <w:iCs/>
          <w:sz w:val="24"/>
          <w:szCs w:val="24"/>
          <w:lang w:val="en-US"/>
        </w:rPr>
        <w:t>9. Methodological recommendations on the use of the indicator "</w:t>
      </w:r>
      <w:r w:rsidR="0004795E" w:rsidRPr="0004795E">
        <w:rPr>
          <w:rFonts w:ascii="Times New Roman" w:hAnsi="Times New Roman" w:cs="Times New Roman"/>
          <w:sz w:val="24"/>
          <w:szCs w:val="24"/>
          <w:lang w:val="en-US"/>
        </w:rPr>
        <w:t>Potential Years of Life Lost</w:t>
      </w:r>
      <w:r w:rsidR="0004795E" w:rsidRPr="0004795E">
        <w:rPr>
          <w:rFonts w:ascii="Times New Roman" w:eastAsiaTheme="minorEastAsia" w:hAnsi="Times New Roman" w:cs="Times New Roman"/>
          <w:iCs/>
          <w:sz w:val="24"/>
          <w:szCs w:val="24"/>
          <w:lang w:val="en-US"/>
        </w:rPr>
        <w:t xml:space="preserve"> </w:t>
      </w:r>
      <w:r w:rsidRPr="0004795E">
        <w:rPr>
          <w:rFonts w:ascii="Times New Roman" w:eastAsiaTheme="minorEastAsia" w:hAnsi="Times New Roman" w:cs="Times New Roman"/>
          <w:iCs/>
          <w:sz w:val="24"/>
          <w:szCs w:val="24"/>
          <w:lang w:val="en-US"/>
        </w:rPr>
        <w:t>(P</w:t>
      </w:r>
      <w:r w:rsidR="0004795E">
        <w:rPr>
          <w:rFonts w:ascii="Times New Roman" w:eastAsiaTheme="minorEastAsia" w:hAnsi="Times New Roman" w:cs="Times New Roman"/>
          <w:iCs/>
          <w:sz w:val="24"/>
          <w:szCs w:val="24"/>
          <w:lang w:val="en-US"/>
        </w:rPr>
        <w:t>YLL</w:t>
      </w:r>
      <w:r w:rsidRPr="0004795E">
        <w:rPr>
          <w:rFonts w:ascii="Times New Roman" w:eastAsiaTheme="minorEastAsia" w:hAnsi="Times New Roman" w:cs="Times New Roman"/>
          <w:iCs/>
          <w:sz w:val="24"/>
          <w:szCs w:val="24"/>
          <w:lang w:val="en-US"/>
        </w:rPr>
        <w:t>) to substantiate priority health problems of the Russian population at the federal, regional and municipal levels. URL: https://mednet.ru/images/stories/files/materialy_konferencii_i_seminarov/2010/kadry2014/sessiya/metod.pdf</w:t>
      </w:r>
    </w:p>
    <w:p w14:paraId="3331D92C" w14:textId="77777777" w:rsidR="00E91DE7" w:rsidRPr="0004795E" w:rsidRDefault="00E91DE7" w:rsidP="00CB1055">
      <w:pPr>
        <w:spacing w:after="0" w:line="240" w:lineRule="auto"/>
        <w:ind w:firstLine="709"/>
        <w:jc w:val="both"/>
        <w:rPr>
          <w:rFonts w:ascii="Times New Roman" w:eastAsiaTheme="minorEastAsia" w:hAnsi="Times New Roman" w:cs="Times New Roman"/>
          <w:iCs/>
          <w:sz w:val="24"/>
          <w:szCs w:val="24"/>
          <w:lang w:val="en-US"/>
        </w:rPr>
      </w:pPr>
      <w:r w:rsidRPr="0004795E">
        <w:rPr>
          <w:rFonts w:ascii="Times New Roman" w:eastAsiaTheme="minorEastAsia" w:hAnsi="Times New Roman" w:cs="Times New Roman"/>
          <w:iCs/>
          <w:sz w:val="24"/>
          <w:szCs w:val="24"/>
          <w:lang w:val="en-US"/>
        </w:rPr>
        <w:t>10. Methodological explanations. URL: https://rosstat.gov.ru/storage/mediabank/metod-poyasn_demo.htm</w:t>
      </w:r>
    </w:p>
    <w:p w14:paraId="177122FE" w14:textId="1A653884" w:rsidR="00960DDE" w:rsidRPr="0004795E" w:rsidRDefault="00E91DE7" w:rsidP="00CB1055">
      <w:pPr>
        <w:spacing w:after="0" w:line="240" w:lineRule="auto"/>
        <w:ind w:firstLine="709"/>
        <w:jc w:val="both"/>
        <w:rPr>
          <w:rFonts w:ascii="Times New Roman" w:eastAsiaTheme="minorEastAsia" w:hAnsi="Times New Roman" w:cs="Times New Roman"/>
          <w:iCs/>
          <w:sz w:val="24"/>
          <w:szCs w:val="24"/>
          <w:lang w:val="en-US"/>
        </w:rPr>
      </w:pPr>
      <w:r w:rsidRPr="0004795E">
        <w:rPr>
          <w:rFonts w:ascii="Times New Roman" w:eastAsiaTheme="minorEastAsia" w:hAnsi="Times New Roman" w:cs="Times New Roman"/>
          <w:iCs/>
          <w:sz w:val="24"/>
          <w:szCs w:val="24"/>
          <w:lang w:val="en-US"/>
        </w:rPr>
        <w:t>11. Morev M. V., Korolenko A.V. Assessment of demographic and socio-economic losses due to premature mortality of the population of Russia and the Vologda oblast // Problems of forecasting. 2018. No. 2 (167). pp. 110-123.</w:t>
      </w:r>
    </w:p>
    <w:sectPr w:rsidR="00960DDE" w:rsidRPr="0004795E">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8F0423B" w14:textId="77777777" w:rsidR="00E74FAA" w:rsidRDefault="00E74FAA" w:rsidP="00E74FAA">
      <w:pPr>
        <w:spacing w:after="0" w:line="240" w:lineRule="auto"/>
      </w:pPr>
      <w:r>
        <w:separator/>
      </w:r>
    </w:p>
  </w:endnote>
  <w:endnote w:type="continuationSeparator" w:id="0">
    <w:p w14:paraId="2139F073" w14:textId="77777777" w:rsidR="00E74FAA" w:rsidRDefault="00E74FAA" w:rsidP="00E74FA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E4F2844" w14:textId="77777777" w:rsidR="00E74FAA" w:rsidRDefault="00E74FAA" w:rsidP="00E74FAA">
      <w:pPr>
        <w:spacing w:after="0" w:line="240" w:lineRule="auto"/>
      </w:pPr>
      <w:r>
        <w:separator/>
      </w:r>
    </w:p>
  </w:footnote>
  <w:footnote w:type="continuationSeparator" w:id="0">
    <w:p w14:paraId="0634AF91" w14:textId="77777777" w:rsidR="00E74FAA" w:rsidRDefault="00E74FAA" w:rsidP="00E74FAA">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33E00"/>
    <w:rsid w:val="0004795E"/>
    <w:rsid w:val="000A2767"/>
    <w:rsid w:val="00125F78"/>
    <w:rsid w:val="001D4B71"/>
    <w:rsid w:val="00214FBE"/>
    <w:rsid w:val="0027723E"/>
    <w:rsid w:val="002869CA"/>
    <w:rsid w:val="002932FA"/>
    <w:rsid w:val="002F0BB0"/>
    <w:rsid w:val="002F1630"/>
    <w:rsid w:val="003D14CC"/>
    <w:rsid w:val="00444497"/>
    <w:rsid w:val="0044714D"/>
    <w:rsid w:val="00476BF6"/>
    <w:rsid w:val="004C7F05"/>
    <w:rsid w:val="00544984"/>
    <w:rsid w:val="005B24D7"/>
    <w:rsid w:val="005B4851"/>
    <w:rsid w:val="006F6328"/>
    <w:rsid w:val="0070687C"/>
    <w:rsid w:val="00737E93"/>
    <w:rsid w:val="00797718"/>
    <w:rsid w:val="00833E00"/>
    <w:rsid w:val="00906449"/>
    <w:rsid w:val="009241AE"/>
    <w:rsid w:val="00960DDE"/>
    <w:rsid w:val="009B6E5A"/>
    <w:rsid w:val="009C7B26"/>
    <w:rsid w:val="00A53FD0"/>
    <w:rsid w:val="00AA3AB0"/>
    <w:rsid w:val="00AB52F1"/>
    <w:rsid w:val="00AF55D0"/>
    <w:rsid w:val="00B26FEB"/>
    <w:rsid w:val="00B357E1"/>
    <w:rsid w:val="00B51CA8"/>
    <w:rsid w:val="00B65949"/>
    <w:rsid w:val="00B92678"/>
    <w:rsid w:val="00C15FDD"/>
    <w:rsid w:val="00CA0DBD"/>
    <w:rsid w:val="00CB1055"/>
    <w:rsid w:val="00CE3FD3"/>
    <w:rsid w:val="00D0719A"/>
    <w:rsid w:val="00D22899"/>
    <w:rsid w:val="00D614D9"/>
    <w:rsid w:val="00E04C4E"/>
    <w:rsid w:val="00E176C5"/>
    <w:rsid w:val="00E45EDD"/>
    <w:rsid w:val="00E60A0A"/>
    <w:rsid w:val="00E74FAA"/>
    <w:rsid w:val="00E91DE7"/>
    <w:rsid w:val="00F314C0"/>
    <w:rsid w:val="00F37E8F"/>
    <w:rsid w:val="00FB6E7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504696"/>
  <w15:chartTrackingRefBased/>
  <w15:docId w15:val="{53ECC21B-456E-4C81-B26B-424F52480B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74FAA"/>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74FAA"/>
    <w:pPr>
      <w:spacing w:after="200" w:line="276" w:lineRule="auto"/>
      <w:ind w:left="720"/>
      <w:contextualSpacing/>
    </w:pPr>
  </w:style>
  <w:style w:type="table" w:styleId="a4">
    <w:name w:val="Table Grid"/>
    <w:basedOn w:val="a1"/>
    <w:uiPriority w:val="59"/>
    <w:rsid w:val="00E74FA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footnote text"/>
    <w:basedOn w:val="a"/>
    <w:link w:val="a6"/>
    <w:uiPriority w:val="99"/>
    <w:semiHidden/>
    <w:unhideWhenUsed/>
    <w:rsid w:val="00E74FAA"/>
    <w:pPr>
      <w:spacing w:after="0" w:line="240" w:lineRule="auto"/>
    </w:pPr>
    <w:rPr>
      <w:sz w:val="20"/>
      <w:szCs w:val="20"/>
    </w:rPr>
  </w:style>
  <w:style w:type="character" w:customStyle="1" w:styleId="a6">
    <w:name w:val="Текст сноски Знак"/>
    <w:basedOn w:val="a0"/>
    <w:link w:val="a5"/>
    <w:uiPriority w:val="99"/>
    <w:semiHidden/>
    <w:rsid w:val="00E74FAA"/>
    <w:rPr>
      <w:sz w:val="20"/>
      <w:szCs w:val="20"/>
    </w:rPr>
  </w:style>
  <w:style w:type="character" w:styleId="a7">
    <w:name w:val="footnote reference"/>
    <w:basedOn w:val="a0"/>
    <w:uiPriority w:val="99"/>
    <w:semiHidden/>
    <w:unhideWhenUsed/>
    <w:rsid w:val="00E74FAA"/>
    <w:rPr>
      <w:vertAlign w:val="superscript"/>
    </w:rPr>
  </w:style>
  <w:style w:type="character" w:styleId="a8">
    <w:name w:val="Hyperlink"/>
    <w:basedOn w:val="a0"/>
    <w:uiPriority w:val="99"/>
    <w:unhideWhenUsed/>
    <w:rsid w:val="00960DDE"/>
    <w:rPr>
      <w:color w:val="0563C1" w:themeColor="hyperlink"/>
      <w:u w:val="single"/>
    </w:rPr>
  </w:style>
  <w:style w:type="character" w:styleId="a9">
    <w:name w:val="Unresolved Mention"/>
    <w:basedOn w:val="a0"/>
    <w:uiPriority w:val="99"/>
    <w:semiHidden/>
    <w:unhideWhenUsed/>
    <w:rsid w:val="00960DD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39758512">
      <w:bodyDiv w:val="1"/>
      <w:marLeft w:val="0"/>
      <w:marRight w:val="0"/>
      <w:marTop w:val="0"/>
      <w:marBottom w:val="0"/>
      <w:divBdr>
        <w:top w:val="none" w:sz="0" w:space="0" w:color="auto"/>
        <w:left w:val="none" w:sz="0" w:space="0" w:color="auto"/>
        <w:bottom w:val="none" w:sz="0" w:space="0" w:color="auto"/>
        <w:right w:val="none" w:sz="0" w:space="0" w:color="auto"/>
      </w:divBdr>
    </w:div>
    <w:div w:id="19186331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6373F18-D113-472C-AB70-28D3D64758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718</TotalTime>
  <Pages>6</Pages>
  <Words>2999</Words>
  <Characters>17097</Characters>
  <Application>Microsoft Office Word</Application>
  <DocSecurity>0</DocSecurity>
  <Lines>142</Lines>
  <Paragraphs>40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20056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c:creator>
  <cp:keywords/>
  <dc:description/>
  <cp:lastModifiedBy>A</cp:lastModifiedBy>
  <cp:revision>35</cp:revision>
  <dcterms:created xsi:type="dcterms:W3CDTF">2023-05-31T11:00:00Z</dcterms:created>
  <dcterms:modified xsi:type="dcterms:W3CDTF">2023-06-06T11:42:00Z</dcterms:modified>
</cp:coreProperties>
</file>