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6830" w:rsidRPr="00A566EE" w:rsidRDefault="00A566EE" w:rsidP="009E171E">
      <w:pPr>
        <w:jc w:val="center"/>
        <w:rPr>
          <w:rFonts w:ascii="Times New Roman" w:hAnsi="Times New Roman" w:cs="Times New Roman"/>
          <w:sz w:val="28"/>
          <w:szCs w:val="28"/>
        </w:rPr>
      </w:pPr>
      <w:r w:rsidRPr="00A566EE">
        <w:rPr>
          <w:rFonts w:ascii="Times New Roman" w:hAnsi="Times New Roman" w:cs="Times New Roman"/>
          <w:sz w:val="28"/>
          <w:szCs w:val="28"/>
        </w:rPr>
        <w:t>ТЕМА:  ПОДХОДЫ К МЕТОДАМ ОЦЕНКИ КОНКУРЕНТОСПОСОБНОСТИ ПРЕДПРИЯТИЙ ПРОМЫШЛЕННОГО КОМПЛЕКСА</w:t>
      </w:r>
    </w:p>
    <w:p w:rsidR="00A566EE" w:rsidRPr="008655C1" w:rsidRDefault="00A566EE" w:rsidP="00A566EE">
      <w:pPr>
        <w:spacing w:after="0" w:line="360" w:lineRule="auto"/>
        <w:jc w:val="right"/>
        <w:rPr>
          <w:rFonts w:cs="Times New Roman"/>
          <w:b/>
          <w:i/>
          <w:iCs/>
          <w:sz w:val="24"/>
          <w:szCs w:val="24"/>
        </w:rPr>
      </w:pPr>
      <w:r>
        <w:rPr>
          <w:rFonts w:cs="Times New Roman"/>
          <w:b/>
          <w:i/>
          <w:iCs/>
          <w:sz w:val="24"/>
          <w:szCs w:val="24"/>
        </w:rPr>
        <w:t>Булатова Айгуль Айратовна</w:t>
      </w:r>
    </w:p>
    <w:p w:rsidR="00A566EE" w:rsidRPr="008655C1" w:rsidRDefault="00A566EE" w:rsidP="00A566EE">
      <w:pPr>
        <w:spacing w:after="0" w:line="360" w:lineRule="auto"/>
        <w:jc w:val="right"/>
        <w:rPr>
          <w:rFonts w:cs="Times New Roman"/>
          <w:i/>
          <w:iCs/>
          <w:sz w:val="24"/>
          <w:szCs w:val="24"/>
        </w:rPr>
      </w:pPr>
      <w:r>
        <w:rPr>
          <w:rFonts w:cs="Times New Roman"/>
          <w:i/>
          <w:iCs/>
          <w:sz w:val="24"/>
          <w:szCs w:val="24"/>
        </w:rPr>
        <w:t>Студентка гр.9408</w:t>
      </w:r>
    </w:p>
    <w:p w:rsidR="00A566EE" w:rsidRPr="008655C1" w:rsidRDefault="00A566EE" w:rsidP="00A566EE">
      <w:pPr>
        <w:spacing w:after="0" w:line="360" w:lineRule="auto"/>
        <w:jc w:val="right"/>
        <w:rPr>
          <w:rFonts w:cs="Times New Roman"/>
          <w:i/>
          <w:iCs/>
          <w:sz w:val="24"/>
          <w:szCs w:val="24"/>
          <w:shd w:val="clear" w:color="auto" w:fill="FFFFFF"/>
        </w:rPr>
      </w:pPr>
      <w:r w:rsidRPr="008655C1">
        <w:rPr>
          <w:rFonts w:cs="Times New Roman"/>
          <w:i/>
          <w:iCs/>
          <w:sz w:val="24"/>
          <w:szCs w:val="24"/>
          <w:shd w:val="clear" w:color="auto" w:fill="FFFFFF"/>
        </w:rPr>
        <w:t>Казанский национальный исследовательский технический университет им. А.Н. Туполева–КАИ.</w:t>
      </w:r>
    </w:p>
    <w:p w:rsidR="00A566EE" w:rsidRPr="008655C1" w:rsidRDefault="00A566EE" w:rsidP="00A566EE">
      <w:pPr>
        <w:spacing w:after="0" w:line="360" w:lineRule="auto"/>
        <w:jc w:val="right"/>
        <w:rPr>
          <w:rFonts w:cs="Times New Roman"/>
          <w:i/>
          <w:iCs/>
          <w:sz w:val="24"/>
          <w:szCs w:val="24"/>
          <w:shd w:val="clear" w:color="auto" w:fill="FFFFFF"/>
        </w:rPr>
      </w:pPr>
      <w:r w:rsidRPr="008655C1">
        <w:rPr>
          <w:rFonts w:cs="Times New Roman"/>
          <w:i/>
          <w:iCs/>
          <w:sz w:val="24"/>
          <w:szCs w:val="24"/>
          <w:shd w:val="clear" w:color="auto" w:fill="FFFFFF"/>
        </w:rPr>
        <w:t xml:space="preserve">Научный руководитель: </w:t>
      </w:r>
      <w:r>
        <w:rPr>
          <w:rFonts w:cs="Times New Roman"/>
          <w:i/>
          <w:iCs/>
          <w:sz w:val="24"/>
          <w:szCs w:val="24"/>
          <w:shd w:val="clear" w:color="auto" w:fill="FFFFFF"/>
        </w:rPr>
        <w:t>Снегуренко Александр Павлович</w:t>
      </w:r>
    </w:p>
    <w:p w:rsidR="00A566EE" w:rsidRPr="008655C1" w:rsidRDefault="00A566EE" w:rsidP="00A566EE">
      <w:pPr>
        <w:spacing w:after="0" w:line="360" w:lineRule="auto"/>
        <w:jc w:val="right"/>
        <w:rPr>
          <w:rFonts w:cs="Times New Roman"/>
          <w:i/>
          <w:iCs/>
          <w:sz w:val="24"/>
          <w:szCs w:val="24"/>
          <w:shd w:val="clear" w:color="auto" w:fill="FFFFFF"/>
        </w:rPr>
      </w:pPr>
      <w:r>
        <w:rPr>
          <w:rFonts w:cs="Times New Roman"/>
          <w:i/>
          <w:iCs/>
          <w:sz w:val="24"/>
          <w:szCs w:val="24"/>
          <w:shd w:val="clear" w:color="auto" w:fill="FFFFFF"/>
        </w:rPr>
        <w:t>К.т</w:t>
      </w:r>
      <w:r w:rsidRPr="008655C1">
        <w:rPr>
          <w:rFonts w:cs="Times New Roman"/>
          <w:i/>
          <w:iCs/>
          <w:sz w:val="24"/>
          <w:szCs w:val="24"/>
          <w:shd w:val="clear" w:color="auto" w:fill="FFFFFF"/>
        </w:rPr>
        <w:t>.н., доцент</w:t>
      </w:r>
    </w:p>
    <w:p w:rsidR="00A566EE" w:rsidRPr="008655C1" w:rsidRDefault="00A566EE" w:rsidP="00A566EE">
      <w:pPr>
        <w:spacing w:after="0" w:line="360" w:lineRule="auto"/>
        <w:jc w:val="right"/>
        <w:rPr>
          <w:rFonts w:cs="Times New Roman"/>
          <w:i/>
          <w:iCs/>
          <w:sz w:val="24"/>
          <w:szCs w:val="24"/>
        </w:rPr>
      </w:pPr>
      <w:r w:rsidRPr="008655C1">
        <w:rPr>
          <w:rFonts w:cs="Times New Roman"/>
          <w:i/>
          <w:iCs/>
          <w:sz w:val="24"/>
          <w:szCs w:val="24"/>
          <w:shd w:val="clear" w:color="auto" w:fill="FFFFFF"/>
        </w:rPr>
        <w:t>Казанский национальный исследовательский технический университет им. А.Н. Туполева–КАИ.</w:t>
      </w:r>
    </w:p>
    <w:p w:rsidR="00421CEC" w:rsidRPr="00421CEC" w:rsidRDefault="00421CEC" w:rsidP="00421CEC">
      <w:pPr>
        <w:spacing w:after="0" w:line="240" w:lineRule="auto"/>
        <w:ind w:firstLine="709"/>
        <w:jc w:val="both"/>
        <w:rPr>
          <w:rFonts w:cstheme="minorHAnsi"/>
          <w:i/>
          <w:color w:val="333333"/>
          <w:sz w:val="24"/>
          <w:szCs w:val="24"/>
          <w:shd w:val="clear" w:color="auto" w:fill="FFFFFF"/>
        </w:rPr>
      </w:pPr>
      <w:r w:rsidRPr="00421CEC">
        <w:rPr>
          <w:rFonts w:cstheme="minorHAnsi"/>
          <w:i/>
          <w:iCs/>
          <w:sz w:val="24"/>
          <w:szCs w:val="24"/>
        </w:rPr>
        <w:t xml:space="preserve">Аннотация: </w:t>
      </w:r>
      <w:r w:rsidRPr="00421CEC">
        <w:rPr>
          <w:rFonts w:cstheme="minorHAnsi"/>
          <w:bCs/>
          <w:i/>
          <w:color w:val="333333"/>
          <w:sz w:val="24"/>
          <w:szCs w:val="24"/>
          <w:shd w:val="clear" w:color="auto" w:fill="FFFFFF"/>
        </w:rPr>
        <w:t>Оценка</w:t>
      </w:r>
      <w:r w:rsidRPr="00421CEC">
        <w:rPr>
          <w:rFonts w:cstheme="minorHAnsi"/>
          <w:i/>
          <w:color w:val="333333"/>
          <w:sz w:val="24"/>
          <w:szCs w:val="24"/>
          <w:shd w:val="clear" w:color="auto" w:fill="FFFFFF"/>
        </w:rPr>
        <w:t> </w:t>
      </w:r>
      <w:r w:rsidRPr="00421CEC">
        <w:rPr>
          <w:rFonts w:cstheme="minorHAnsi"/>
          <w:bCs/>
          <w:i/>
          <w:color w:val="333333"/>
          <w:sz w:val="24"/>
          <w:szCs w:val="24"/>
          <w:shd w:val="clear" w:color="auto" w:fill="FFFFFF"/>
        </w:rPr>
        <w:t>конкурентоспособности</w:t>
      </w:r>
      <w:r w:rsidRPr="00421CEC">
        <w:rPr>
          <w:rFonts w:cstheme="minorHAnsi"/>
          <w:i/>
          <w:color w:val="333333"/>
          <w:sz w:val="24"/>
          <w:szCs w:val="24"/>
          <w:shd w:val="clear" w:color="auto" w:fill="FFFFFF"/>
        </w:rPr>
        <w:t> </w:t>
      </w:r>
      <w:r w:rsidRPr="00421CEC">
        <w:rPr>
          <w:rFonts w:cstheme="minorHAnsi"/>
          <w:bCs/>
          <w:i/>
          <w:color w:val="333333"/>
          <w:sz w:val="24"/>
          <w:szCs w:val="24"/>
          <w:shd w:val="clear" w:color="auto" w:fill="FFFFFF"/>
        </w:rPr>
        <w:t>предприятия</w:t>
      </w:r>
      <w:r w:rsidRPr="00421CEC">
        <w:rPr>
          <w:rFonts w:cstheme="minorHAnsi"/>
          <w:i/>
          <w:color w:val="333333"/>
          <w:sz w:val="24"/>
          <w:szCs w:val="24"/>
          <w:shd w:val="clear" w:color="auto" w:fill="FFFFFF"/>
        </w:rPr>
        <w:t> заключается в определении и последующем анализе набора ключевых показателей деятельности хозяйствующего субъекта в целях выявления основных конкурентных преимуществ </w:t>
      </w:r>
      <w:r w:rsidRPr="00421CEC">
        <w:rPr>
          <w:rFonts w:cstheme="minorHAnsi"/>
          <w:bCs/>
          <w:i/>
          <w:color w:val="333333"/>
          <w:sz w:val="24"/>
          <w:szCs w:val="24"/>
          <w:shd w:val="clear" w:color="auto" w:fill="FFFFFF"/>
        </w:rPr>
        <w:t>организации</w:t>
      </w:r>
      <w:r w:rsidRPr="00421CEC">
        <w:rPr>
          <w:rFonts w:cstheme="minorHAnsi"/>
          <w:i/>
          <w:color w:val="333333"/>
          <w:sz w:val="24"/>
          <w:szCs w:val="24"/>
          <w:shd w:val="clear" w:color="auto" w:fill="FFFFFF"/>
        </w:rPr>
        <w:t>, определения ее текущей конкурентной позиции на рынке и выработки комплекса эффективных решений, направленных на обеспечение дальнейшего развития </w:t>
      </w:r>
      <w:r w:rsidRPr="00421CEC">
        <w:rPr>
          <w:rFonts w:cstheme="minorHAnsi"/>
          <w:bCs/>
          <w:i/>
          <w:color w:val="333333"/>
          <w:sz w:val="24"/>
          <w:szCs w:val="24"/>
          <w:shd w:val="clear" w:color="auto" w:fill="FFFFFF"/>
        </w:rPr>
        <w:t>предприятия</w:t>
      </w:r>
      <w:r w:rsidRPr="00421CEC">
        <w:rPr>
          <w:rFonts w:cstheme="minorHAnsi"/>
          <w:i/>
          <w:color w:val="333333"/>
          <w:sz w:val="24"/>
          <w:szCs w:val="24"/>
          <w:shd w:val="clear" w:color="auto" w:fill="FFFFFF"/>
        </w:rPr>
        <w:t>.</w:t>
      </w:r>
    </w:p>
    <w:p w:rsidR="00421CEC" w:rsidRPr="008655C1" w:rsidRDefault="00421CEC" w:rsidP="00421CEC">
      <w:pPr>
        <w:spacing w:after="0" w:line="240" w:lineRule="auto"/>
        <w:ind w:firstLine="709"/>
        <w:jc w:val="both"/>
        <w:rPr>
          <w:rFonts w:cs="Times New Roman"/>
          <w:i/>
          <w:iCs/>
          <w:sz w:val="24"/>
          <w:szCs w:val="24"/>
        </w:rPr>
      </w:pPr>
      <w:r w:rsidRPr="00180C18">
        <w:rPr>
          <w:rFonts w:cs="Times New Roman"/>
          <w:b/>
          <w:i/>
          <w:iCs/>
          <w:sz w:val="24"/>
          <w:szCs w:val="24"/>
        </w:rPr>
        <w:t>Ключевые слова:</w:t>
      </w:r>
      <w:r>
        <w:rPr>
          <w:rFonts w:cs="Times New Roman"/>
          <w:b/>
          <w:i/>
          <w:iCs/>
          <w:sz w:val="24"/>
          <w:szCs w:val="24"/>
        </w:rPr>
        <w:t xml:space="preserve"> </w:t>
      </w:r>
      <w:r>
        <w:rPr>
          <w:rFonts w:cs="Times New Roman"/>
          <w:i/>
          <w:iCs/>
          <w:sz w:val="24"/>
          <w:szCs w:val="24"/>
        </w:rPr>
        <w:t>предприятие, конкуренция, оценка, методы, промышленность.</w:t>
      </w:r>
    </w:p>
    <w:p w:rsidR="00A566EE" w:rsidRDefault="00A566EE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Современными конкурентными преимуществами являются быстрота доставки и качество обслуживания. Но эти конкурентные преимущества не являются основным фактором конкурентоспособности, а только его дополняют. Основным конкурентным преимуществом остается конкурентоспособность продукции. Это объясняется тем, что в начале должна выделиться на рынке продукция и привлечь целевую аудиторию, а далее подключаются быстрота доставки при необходимости и качество обслуживания при продаже интересуемой продукции. Отсюда следует, что для роста прибыли компании необходимо повысить конкурентоспособность своей продукции, а потом вкладывать в маркетинговое продвижение и улучшать логистику поставки.</w:t>
      </w: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Понятие конкурентоспособности продукции имеет множество трактовок среди отечественных и иностранных авторов в силу распространенности исследований термина в научной среде и значимого уровня практической значимости. </w:t>
      </w: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Имеется три основных подхода определения понятия «конкурентоспособность продукции». Ряд авторов основываются в определении термина на сравнении продукции с аналогичными товарами конкурентов на рынке по потребительским свойствам. Другим подходом при определении конкурентоспособности продукции берется позиция по удовлетворению потребностей потребителей. Третий подход при определении изучаемого термина проводится с учетом внешних факторов.</w:t>
      </w: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Многие авторы, такие как </w:t>
      </w:r>
      <w:r w:rsidRPr="00CA4157">
        <w:rPr>
          <w:rFonts w:ascii="Times New Roman" w:hAnsi="Times New Roman" w:cs="Times New Roman"/>
          <w:sz w:val="28"/>
          <w:szCs w:val="28"/>
        </w:rPr>
        <w:t>Л. Н. Родионова, О. Г. Кантор, Ю. Р. Хакимова</w:t>
      </w:r>
      <w:r>
        <w:rPr>
          <w:rFonts w:ascii="Times New Roman" w:hAnsi="Times New Roman" w:cs="Times New Roman"/>
          <w:sz w:val="28"/>
          <w:szCs w:val="28"/>
        </w:rPr>
        <w:t>, рассматривают конкурентоспособность продукции как способность продукции конкурировать на потребительском рынке за счет определенных характеристик, которые выделяют продукцию среди аналогов конкурентов и которые тем самым привлекают к себе конкретных потребителей.</w:t>
      </w: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конкурентоспособность продукции влияют различные факторы. Фактор конкурентоспособности – это причина, наличие </w:t>
      </w:r>
      <w:r w:rsidRPr="005B0C40">
        <w:rPr>
          <w:rFonts w:ascii="Times New Roman" w:hAnsi="Times New Roman" w:cs="Times New Roman"/>
          <w:sz w:val="28"/>
          <w:szCs w:val="28"/>
        </w:rPr>
        <w:t>которой необходимо и достаточно для</w:t>
      </w:r>
      <w:r>
        <w:rPr>
          <w:rFonts w:ascii="Times New Roman" w:hAnsi="Times New Roman" w:cs="Times New Roman"/>
          <w:sz w:val="28"/>
          <w:szCs w:val="28"/>
        </w:rPr>
        <w:t xml:space="preserve"> изменения одного или нескольких </w:t>
      </w:r>
      <w:r w:rsidRPr="005B0C40">
        <w:rPr>
          <w:rFonts w:ascii="Times New Roman" w:hAnsi="Times New Roman" w:cs="Times New Roman"/>
          <w:sz w:val="28"/>
          <w:szCs w:val="28"/>
        </w:rPr>
        <w:t>критериев конкурентоспособности</w:t>
      </w:r>
      <w:r>
        <w:rPr>
          <w:rFonts w:ascii="Times New Roman" w:hAnsi="Times New Roman" w:cs="Times New Roman"/>
          <w:sz w:val="28"/>
          <w:szCs w:val="28"/>
        </w:rPr>
        <w:t xml:space="preserve"> продукции</w:t>
      </w:r>
      <w:r w:rsidRPr="005B0C40">
        <w:rPr>
          <w:rFonts w:ascii="Times New Roman" w:hAnsi="Times New Roman" w:cs="Times New Roman"/>
          <w:sz w:val="28"/>
          <w:szCs w:val="28"/>
        </w:rPr>
        <w:t>.</w:t>
      </w: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 следует смешивать понятия «фактор конкурентоспособности» и «критерий конкурентоспособности». </w:t>
      </w: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таблице 1 указана взаимосвязь между факторами и критериями конкурентоспособности продукции.</w:t>
      </w:r>
    </w:p>
    <w:p w:rsidR="00CA4157" w:rsidRDefault="00CA4157" w:rsidP="00CA415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Таблица 1</w:t>
      </w:r>
    </w:p>
    <w:p w:rsidR="00CA4157" w:rsidRDefault="00CA4157" w:rsidP="00CA415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Факторы и критерии конкурентоспособности продукции</w:t>
      </w:r>
    </w:p>
    <w:tbl>
      <w:tblPr>
        <w:tblStyle w:val="a6"/>
        <w:tblW w:w="0" w:type="auto"/>
        <w:tblLook w:val="04A0"/>
      </w:tblPr>
      <w:tblGrid>
        <w:gridCol w:w="4785"/>
        <w:gridCol w:w="4786"/>
      </w:tblGrid>
      <w:tr w:rsidR="00CA4157" w:rsidTr="008559A7">
        <w:trPr>
          <w:trHeight w:val="396"/>
        </w:trPr>
        <w:tc>
          <w:tcPr>
            <w:tcW w:w="4785" w:type="dxa"/>
          </w:tcPr>
          <w:p w:rsidR="00CA4157" w:rsidRPr="005B0C40" w:rsidRDefault="00CA4157" w:rsidP="008559A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Фактор</w:t>
            </w:r>
          </w:p>
        </w:tc>
        <w:tc>
          <w:tcPr>
            <w:tcW w:w="4786" w:type="dxa"/>
          </w:tcPr>
          <w:p w:rsidR="00CA4157" w:rsidRPr="005B0C40" w:rsidRDefault="00CA4157" w:rsidP="008559A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Критерий</w:t>
            </w:r>
          </w:p>
        </w:tc>
      </w:tr>
      <w:tr w:rsidR="00CA4157" w:rsidTr="008559A7">
        <w:tc>
          <w:tcPr>
            <w:tcW w:w="4785" w:type="dxa"/>
          </w:tcPr>
          <w:p w:rsidR="00CA4157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 xml:space="preserve">1. Производственный: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1.1. </w:t>
            </w: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 xml:space="preserve">имидж предприятия, </w:t>
            </w:r>
          </w:p>
          <w:p w:rsidR="00CA4157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1.2. </w:t>
            </w: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 xml:space="preserve">сертифицированная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регулярная </w:t>
            </w: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 xml:space="preserve">система качества, </w:t>
            </w:r>
          </w:p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1.3. </w:t>
            </w: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ащитные меры</w:t>
            </w: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альсификации</w:t>
            </w:r>
          </w:p>
        </w:tc>
        <w:tc>
          <w:tcPr>
            <w:tcW w:w="4786" w:type="dxa"/>
          </w:tcPr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1. Имидж товара</w:t>
            </w:r>
          </w:p>
          <w:p w:rsidR="00CA4157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 xml:space="preserve">2. Уровень качества </w:t>
            </w:r>
          </w:p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2.1. Стабильность уровня</w:t>
            </w:r>
          </w:p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3. Подлинность товара</w:t>
            </w:r>
          </w:p>
        </w:tc>
      </w:tr>
      <w:tr w:rsidR="00CA4157" w:rsidTr="008559A7">
        <w:tc>
          <w:tcPr>
            <w:tcW w:w="4785" w:type="dxa"/>
          </w:tcPr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2. Сбытовой: количество посредников</w:t>
            </w:r>
          </w:p>
        </w:tc>
        <w:tc>
          <w:tcPr>
            <w:tcW w:w="4786" w:type="dxa"/>
          </w:tcPr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4. Цена потребления товара</w:t>
            </w:r>
          </w:p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4.1. Цена товара</w:t>
            </w:r>
          </w:p>
        </w:tc>
      </w:tr>
      <w:tr w:rsidR="00CA4157" w:rsidTr="008559A7">
        <w:tc>
          <w:tcPr>
            <w:tcW w:w="4785" w:type="dxa"/>
          </w:tcPr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3. Сервисный: продолжительность срока гарантии на продукцию</w:t>
            </w:r>
          </w:p>
        </w:tc>
        <w:tc>
          <w:tcPr>
            <w:tcW w:w="4786" w:type="dxa"/>
          </w:tcPr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4.2. Текущие затраты</w:t>
            </w:r>
          </w:p>
        </w:tc>
      </w:tr>
      <w:tr w:rsidR="00CA4157" w:rsidTr="008559A7">
        <w:trPr>
          <w:trHeight w:val="327"/>
        </w:trPr>
        <w:tc>
          <w:tcPr>
            <w:tcW w:w="4785" w:type="dxa"/>
          </w:tcPr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4. Рыночный: рыночная новизна</w:t>
            </w:r>
          </w:p>
        </w:tc>
        <w:tc>
          <w:tcPr>
            <w:tcW w:w="4786" w:type="dxa"/>
          </w:tcPr>
          <w:p w:rsidR="00CA4157" w:rsidRPr="005B0C40" w:rsidRDefault="00CA4157" w:rsidP="00855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0C40">
              <w:rPr>
                <w:rFonts w:ascii="Times New Roman" w:hAnsi="Times New Roman" w:cs="Times New Roman"/>
                <w:sz w:val="24"/>
                <w:szCs w:val="24"/>
              </w:rPr>
              <w:t>5. Потребительская новизна</w:t>
            </w:r>
          </w:p>
        </w:tc>
      </w:tr>
    </w:tbl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Критерии конкурентоспособности продукции оцениваются по конкурентным преимуществам товара и его конкурентным позиционированием на рынке.</w:t>
      </w: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Конкурентное преимущество продукции характеризуется качественными и стоимостными характеристиками, которые представляют определенное превосходство товара над аналогами конкурентов в удовлетворении потребностей приобретателей. Преимущество выражается через критерии конкурентоспособности или опосредованно через факторы, с помощью оценки упаковки, улучшенного сырья, технологии и другого.</w:t>
      </w: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Конкурентным позиционированием объекта является его положение на рынке относительно аналогов. Какое это положение оценивается по факторам и критериям конкурентоспособности продукции. </w:t>
      </w:r>
      <w:r w:rsidRPr="005B0C40">
        <w:rPr>
          <w:rFonts w:ascii="Times New Roman" w:hAnsi="Times New Roman" w:cs="Times New Roman"/>
          <w:sz w:val="28"/>
          <w:szCs w:val="28"/>
        </w:rPr>
        <w:t>Для наглядного сопоставления товаров по конкурентоспособности,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B0C40">
        <w:rPr>
          <w:rFonts w:ascii="Times New Roman" w:hAnsi="Times New Roman" w:cs="Times New Roman"/>
          <w:sz w:val="28"/>
          <w:szCs w:val="28"/>
        </w:rPr>
        <w:t xml:space="preserve">оцененной по </w:t>
      </w:r>
      <w:r>
        <w:rPr>
          <w:rFonts w:ascii="Times New Roman" w:hAnsi="Times New Roman" w:cs="Times New Roman"/>
          <w:sz w:val="28"/>
          <w:szCs w:val="28"/>
        </w:rPr>
        <w:t xml:space="preserve">показателям согласно критерий, используют прямоугольную систему координат, где обычно сопоставляется комплексный показатель качества и продажная цена в системе. В рамках </w:t>
      </w:r>
      <w:r w:rsidRPr="005B0C40">
        <w:rPr>
          <w:rFonts w:ascii="Times New Roman" w:hAnsi="Times New Roman" w:cs="Times New Roman"/>
          <w:sz w:val="28"/>
          <w:szCs w:val="28"/>
        </w:rPr>
        <w:t>системы вычерчивается прям</w:t>
      </w:r>
      <w:r>
        <w:rPr>
          <w:rFonts w:ascii="Times New Roman" w:hAnsi="Times New Roman" w:cs="Times New Roman"/>
          <w:sz w:val="28"/>
          <w:szCs w:val="28"/>
        </w:rPr>
        <w:t>оугольник с четырьмя секторами – квадра</w:t>
      </w:r>
      <w:r w:rsidRPr="005B0C40">
        <w:rPr>
          <w:rFonts w:ascii="Times New Roman" w:hAnsi="Times New Roman" w:cs="Times New Roman"/>
          <w:sz w:val="28"/>
          <w:szCs w:val="28"/>
        </w:rPr>
        <w:t>тами</w:t>
      </w:r>
      <w:r>
        <w:rPr>
          <w:rFonts w:ascii="Times New Roman" w:hAnsi="Times New Roman" w:cs="Times New Roman"/>
          <w:sz w:val="28"/>
          <w:szCs w:val="28"/>
        </w:rPr>
        <w:t xml:space="preserve"> (рис.1)</w:t>
      </w:r>
      <w:r w:rsidRPr="005B0C40">
        <w:rPr>
          <w:rFonts w:ascii="Times New Roman" w:hAnsi="Times New Roman" w:cs="Times New Roman"/>
          <w:sz w:val="28"/>
          <w:szCs w:val="28"/>
        </w:rPr>
        <w:t>.</w:t>
      </w:r>
    </w:p>
    <w:p w:rsidR="00CA4157" w:rsidRPr="005B0C40" w:rsidRDefault="009D6830" w:rsidP="00CA4157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12" o:spid="_x0000_s1031" type="#_x0000_t32" style="position:absolute;left:0;text-align:left;margin-left:171.25pt;margin-top:22.9pt;width:0;height:133.6pt;flip:y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" strokecolor="black [3040]">
            <v:stroke endarrow="open"/>
          </v:shape>
        </w:pict>
      </w:r>
      <w:r w:rsidR="00CA4157" w:rsidRPr="005B0C40">
        <w:rPr>
          <w:rFonts w:ascii="Times New Roman" w:hAnsi="Times New Roman" w:cs="Times New Roman"/>
          <w:i/>
          <w:sz w:val="28"/>
          <w:szCs w:val="28"/>
        </w:rPr>
        <w:t>Качество</w:t>
      </w:r>
    </w:p>
    <w:p w:rsidR="00CA4157" w:rsidRDefault="00CA4157" w:rsidP="00CA41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A4157" w:rsidRDefault="009D6830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10" o:spid="_x0000_s1029" style="position:absolute;left:0;text-align:left;margin-left:240.5pt;margin-top:3.3pt;width:52.9pt;height:45.75pt;z-index:2516633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" fillcolor="white [3201]" strokecolor="black [3213]" strokeweight="2pt">
            <v:textbox>
              <w:txbxContent>
                <w:p w:rsidR="00CA4157" w:rsidRDefault="00CA4157" w:rsidP="00CA4157">
                  <w:pPr>
                    <w:jc w:val="center"/>
                  </w:pPr>
                  <w:r>
                    <w:t>3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11" o:spid="_x0000_s1030" style="position:absolute;left:0;text-align:left;margin-left:189.75pt;margin-top:3.3pt;width:50.7pt;height:45.8pt;z-index:25166438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" fillcolor="white [3201]" strokecolor="black [3213]" strokeweight="2pt">
            <v:textbox>
              <w:txbxContent>
                <w:p w:rsidR="00CA4157" w:rsidRDefault="00CA4157" w:rsidP="00CA4157">
                  <w:pPr>
                    <w:jc w:val="center"/>
                  </w:pPr>
                  <w:r>
                    <w:t>2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9" o:spid="_x0000_s1028" style="position:absolute;left:0;text-align:left;margin-left:240.45pt;margin-top:49.15pt;width:52.9pt;height:43.6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" fillcolor="white [3201]" strokecolor="black [3213]" strokeweight="2pt">
            <v:textbox>
              <w:txbxContent>
                <w:p w:rsidR="00CA4157" w:rsidRDefault="00CA4157" w:rsidP="00CA4157">
                  <w:pPr>
                    <w:jc w:val="center"/>
                  </w:pPr>
                  <w:r>
                    <w:t>4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8" o:spid="_x0000_s1027" style="position:absolute;left:0;text-align:left;margin-left:189.75pt;margin-top:49.15pt;width:52.9pt;height:43.6pt;z-index:2516613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" fillcolor="white [3201]" strokecolor="black [3213]" strokeweight="2pt">
            <v:textbox>
              <w:txbxContent>
                <w:p w:rsidR="00CA4157" w:rsidRDefault="00CA4157" w:rsidP="00CA4157">
                  <w:pPr>
                    <w:jc w:val="center"/>
                  </w:pPr>
                  <w:r>
                    <w:t>1</w:t>
                  </w:r>
                </w:p>
              </w:txbxContent>
            </v:textbox>
          </v:rect>
        </w:pict>
      </w: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A4157" w:rsidRPr="005B0C40" w:rsidRDefault="009D6830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D6830"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4" o:spid="_x0000_s1026" type="#_x0000_t32" style="position:absolute;left:0;text-align:left;margin-left:171.3pt;margin-top:12.1pt;width:160.35pt;height:.05pt;flip:y;z-index:251658240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" strokecolor="black [3040]">
            <v:stroke endarrow="open"/>
          </v:shape>
        </w:pict>
      </w:r>
      <w:r w:rsidR="00CA4157" w:rsidRPr="005B0C40">
        <w:rPr>
          <w:rFonts w:ascii="Times New Roman" w:hAnsi="Times New Roman" w:cs="Times New Roman"/>
          <w:i/>
          <w:sz w:val="28"/>
          <w:szCs w:val="28"/>
        </w:rPr>
        <w:t>Цена</w:t>
      </w:r>
    </w:p>
    <w:p w:rsidR="00CA4157" w:rsidRDefault="00CA4157" w:rsidP="00CA4157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 Конкурентное позиционирование товара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рис. 1 в секторе 1 и 3 располагаются товары с промежуточной конкурентоспособностью, в </w:t>
      </w:r>
      <w:r w:rsidRPr="005B0C40">
        <w:rPr>
          <w:rFonts w:ascii="Times New Roman" w:hAnsi="Times New Roman" w:cs="Times New Roman"/>
          <w:sz w:val="28"/>
          <w:szCs w:val="28"/>
        </w:rPr>
        <w:t xml:space="preserve">секторе </w:t>
      </w:r>
      <w:r>
        <w:rPr>
          <w:rFonts w:ascii="Times New Roman" w:hAnsi="Times New Roman" w:cs="Times New Roman"/>
          <w:sz w:val="28"/>
          <w:szCs w:val="28"/>
        </w:rPr>
        <w:t xml:space="preserve">имеются 2 </w:t>
      </w:r>
      <w:r w:rsidRPr="005B0C40">
        <w:rPr>
          <w:rFonts w:ascii="Times New Roman" w:hAnsi="Times New Roman" w:cs="Times New Roman"/>
          <w:sz w:val="28"/>
          <w:szCs w:val="28"/>
        </w:rPr>
        <w:t>товары с высо</w:t>
      </w:r>
      <w:r>
        <w:rPr>
          <w:rFonts w:ascii="Times New Roman" w:hAnsi="Times New Roman" w:cs="Times New Roman"/>
          <w:sz w:val="28"/>
          <w:szCs w:val="28"/>
        </w:rPr>
        <w:t>кой, а уже в секторе 4 товары с низкой конкурентоспособностью.</w:t>
      </w:r>
    </w:p>
    <w:p w:rsidR="009868E1" w:rsidRPr="00E920CE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Представленные критерии и показатели собираются с помощью маркетинговых исследований рынка, на основе характеристик своей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продукции и аналогов у конкурентов. Далее проводится оценка конкурентоспособности продукции от производителя и конкурентов. Это оценка проводится различными методами, которые распределяются на дифференцированные и комплексные методы. 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920CE">
        <w:rPr>
          <w:rFonts w:ascii="Times New Roman" w:hAnsi="Times New Roman" w:cs="Times New Roman"/>
          <w:sz w:val="28"/>
          <w:szCs w:val="28"/>
        </w:rPr>
        <w:t>Дифференцированный метод заключается в прямом сравнении нескольких единичных показателей конкурентоспособности товара или услуги с показателя</w:t>
      </w:r>
      <w:r>
        <w:rPr>
          <w:rFonts w:ascii="Times New Roman" w:hAnsi="Times New Roman" w:cs="Times New Roman"/>
          <w:sz w:val="28"/>
          <w:szCs w:val="28"/>
        </w:rPr>
        <w:t>ми товаров и услуг конкурентов. Этому методу свойственен в первую очередь сравнительный анализ. Дифференцированный метод оценивается по формуле: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868E1" w:rsidRPr="005B704C" w:rsidRDefault="009868E1" w:rsidP="009868E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>qi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Pi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Pio</m:t>
            </m:r>
          </m:den>
        </m:f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×100%</m:t>
        </m:r>
      </m:oMath>
      <w:r w:rsidRPr="005B704C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(1)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704C">
        <w:rPr>
          <w:rFonts w:ascii="Times New Roman" w:hAnsi="Times New Roman" w:cs="Times New Roman"/>
          <w:sz w:val="28"/>
          <w:szCs w:val="28"/>
        </w:rPr>
        <w:t xml:space="preserve">где </w:t>
      </w:r>
    </w:p>
    <w:p w:rsidR="009868E1" w:rsidRPr="005B704C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704C">
        <w:rPr>
          <w:rFonts w:ascii="Times New Roman" w:hAnsi="Times New Roman" w:cs="Times New Roman"/>
          <w:sz w:val="28"/>
          <w:szCs w:val="28"/>
        </w:rPr>
        <w:t>qi – значение относительного единичного показателя конкурентоспособн</w:t>
      </w:r>
      <w:r>
        <w:rPr>
          <w:rFonts w:ascii="Times New Roman" w:hAnsi="Times New Roman" w:cs="Times New Roman"/>
          <w:sz w:val="28"/>
          <w:szCs w:val="28"/>
        </w:rPr>
        <w:t>ости;</w:t>
      </w:r>
    </w:p>
    <w:p w:rsidR="009868E1" w:rsidRPr="005B704C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704C">
        <w:rPr>
          <w:rFonts w:ascii="Times New Roman" w:hAnsi="Times New Roman" w:cs="Times New Roman"/>
          <w:sz w:val="28"/>
          <w:szCs w:val="28"/>
        </w:rPr>
        <w:t xml:space="preserve">Pi - значение i-го единичного показателя конкурентоспособности </w:t>
      </w:r>
      <w:r>
        <w:rPr>
          <w:rFonts w:ascii="Times New Roman" w:hAnsi="Times New Roman" w:cs="Times New Roman"/>
          <w:sz w:val="28"/>
          <w:szCs w:val="28"/>
        </w:rPr>
        <w:t>оцениваемого товара или услуги;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704C">
        <w:rPr>
          <w:rFonts w:ascii="Times New Roman" w:hAnsi="Times New Roman" w:cs="Times New Roman"/>
          <w:sz w:val="28"/>
          <w:szCs w:val="28"/>
        </w:rPr>
        <w:t>Piо - значение i-го единичного показателя конкурентоспособности базового товара или услуги.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920CE">
        <w:rPr>
          <w:rFonts w:ascii="Times New Roman" w:hAnsi="Times New Roman" w:cs="Times New Roman"/>
          <w:sz w:val="28"/>
          <w:szCs w:val="28"/>
        </w:rPr>
        <w:t xml:space="preserve">Комплексный метод основан на сравнении товаров и услуг со сложной номенклатурой показателей конкурентоспособности. </w:t>
      </w:r>
      <w:r>
        <w:rPr>
          <w:rFonts w:ascii="Times New Roman" w:hAnsi="Times New Roman" w:cs="Times New Roman"/>
          <w:sz w:val="28"/>
          <w:szCs w:val="28"/>
        </w:rPr>
        <w:t xml:space="preserve">Отличительной особенностью комплексного метода является учет </w:t>
      </w:r>
      <w:r w:rsidRPr="00E920CE">
        <w:rPr>
          <w:rFonts w:ascii="Times New Roman" w:hAnsi="Times New Roman" w:cs="Times New Roman"/>
          <w:sz w:val="28"/>
          <w:szCs w:val="28"/>
        </w:rPr>
        <w:t>степени влияния каждого показателя на конкурентоспособность.</w:t>
      </w:r>
      <w:r>
        <w:rPr>
          <w:rFonts w:ascii="Times New Roman" w:hAnsi="Times New Roman" w:cs="Times New Roman"/>
          <w:sz w:val="28"/>
          <w:szCs w:val="28"/>
        </w:rPr>
        <w:t xml:space="preserve"> Использование веса показателя по отношению ко всем показателям делает этот метод наиболее точным и объективным по сравнению с дифференцированным методом.</w:t>
      </w:r>
    </w:p>
    <w:p w:rsidR="009868E1" w:rsidRPr="00C073E9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Расчет комплексного нормативного </w:t>
      </w:r>
      <w:r w:rsidRPr="00C073E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 xml:space="preserve">оказателя конкурентоспособности </w:t>
      </w:r>
      <w:r w:rsidRPr="00C073E9">
        <w:rPr>
          <w:rFonts w:ascii="Times New Roman" w:hAnsi="Times New Roman" w:cs="Times New Roman"/>
          <w:sz w:val="28"/>
          <w:szCs w:val="28"/>
        </w:rPr>
        <w:t xml:space="preserve">по нормативным показателям </w:t>
      </w:r>
      <w:r>
        <w:rPr>
          <w:rFonts w:ascii="Times New Roman" w:hAnsi="Times New Roman" w:cs="Times New Roman"/>
          <w:sz w:val="28"/>
          <w:szCs w:val="28"/>
        </w:rPr>
        <w:t xml:space="preserve">проводится </w:t>
      </w:r>
      <w:r w:rsidRPr="00C073E9">
        <w:rPr>
          <w:rFonts w:ascii="Times New Roman" w:hAnsi="Times New Roman" w:cs="Times New Roman"/>
          <w:sz w:val="28"/>
          <w:szCs w:val="28"/>
        </w:rPr>
        <w:t>по формуле: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Iнп= </m:t>
        </m:r>
        <m:nary>
          <m:naryPr>
            <m:chr m:val="∏"/>
            <m:limLoc m:val="undOvr"/>
            <m:ctrlPr>
              <w:rPr>
                <w:rFonts w:ascii="Cambria Math" w:hAnsi="Cambria Math" w:cs="Times New Roman"/>
                <w:sz w:val="28"/>
                <w:szCs w:val="28"/>
              </w:rPr>
            </m:ctrlPr>
          </m:naryPr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i=1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n</m:t>
            </m:r>
          </m:sup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qhi</m:t>
            </m:r>
          </m:e>
        </m:nary>
      </m:oMath>
      <w:r w:rsidRPr="00C073E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(2)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где </w:t>
      </w:r>
    </w:p>
    <w:p w:rsidR="009868E1" w:rsidRPr="00C073E9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073E9">
        <w:rPr>
          <w:rFonts w:ascii="Times New Roman" w:hAnsi="Times New Roman" w:cs="Times New Roman"/>
          <w:iCs/>
          <w:color w:val="000000"/>
          <w:sz w:val="28"/>
          <w:szCs w:val="28"/>
        </w:rPr>
        <w:t>I</w:t>
      </w:r>
      <w:r w:rsidRPr="00C073E9">
        <w:rPr>
          <w:rFonts w:ascii="Times New Roman" w:hAnsi="Times New Roman" w:cs="Times New Roman"/>
          <w:iCs/>
          <w:color w:val="000000"/>
          <w:sz w:val="28"/>
          <w:szCs w:val="28"/>
          <w:vertAlign w:val="subscript"/>
        </w:rPr>
        <w:t>нп</w:t>
      </w:r>
      <w:r w:rsidRPr="00C073E9">
        <w:rPr>
          <w:rFonts w:ascii="Times New Roman" w:hAnsi="Times New Roman" w:cs="Times New Roman"/>
          <w:color w:val="000000"/>
          <w:sz w:val="28"/>
          <w:szCs w:val="28"/>
        </w:rPr>
        <w:t> – комплексный нормативный показатель конкурентоспособности;</w:t>
      </w:r>
    </w:p>
    <w:p w:rsidR="009868E1" w:rsidRPr="00C073E9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073E9">
        <w:rPr>
          <w:rFonts w:ascii="Times New Roman" w:hAnsi="Times New Roman" w:cs="Times New Roman"/>
          <w:iCs/>
          <w:color w:val="000000"/>
          <w:sz w:val="28"/>
          <w:szCs w:val="28"/>
        </w:rPr>
        <w:t>q</w:t>
      </w:r>
      <w:r w:rsidRPr="00C073E9">
        <w:rPr>
          <w:rFonts w:ascii="Times New Roman" w:hAnsi="Times New Roman" w:cs="Times New Roman"/>
          <w:iCs/>
          <w:color w:val="000000"/>
          <w:sz w:val="28"/>
          <w:szCs w:val="28"/>
          <w:vertAlign w:val="subscript"/>
        </w:rPr>
        <w:t>нi</w:t>
      </w:r>
      <w:r w:rsidRPr="00C073E9">
        <w:rPr>
          <w:rFonts w:ascii="Times New Roman" w:hAnsi="Times New Roman" w:cs="Times New Roman"/>
          <w:color w:val="000000"/>
          <w:sz w:val="28"/>
          <w:szCs w:val="28"/>
        </w:rPr>
        <w:t> - i-й единичный нормативный показатель конкурентоспособности;</w:t>
      </w:r>
    </w:p>
    <w:p w:rsidR="009868E1" w:rsidRPr="00DD25E4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073E9">
        <w:rPr>
          <w:rFonts w:ascii="Times New Roman" w:hAnsi="Times New Roman" w:cs="Times New Roman"/>
          <w:iCs/>
          <w:color w:val="000000"/>
          <w:sz w:val="28"/>
          <w:szCs w:val="28"/>
        </w:rPr>
        <w:lastRenderedPageBreak/>
        <w:t>n </w:t>
      </w:r>
      <w:r w:rsidRPr="00C073E9">
        <w:rPr>
          <w:rFonts w:ascii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число нормативных показателей.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Расчет группового показателя на основе потребительских показателей производится по формуле: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Imn= </m:t>
        </m:r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i=1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n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qi×mi</m:t>
            </m:r>
          </m:e>
        </m:nary>
      </m:oMath>
      <w:r>
        <w:rPr>
          <w:rFonts w:ascii="Times New Roman" w:hAnsi="Times New Roman" w:cs="Times New Roman"/>
          <w:sz w:val="28"/>
          <w:szCs w:val="28"/>
        </w:rPr>
        <w:t xml:space="preserve">,                                                                               (3) 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где</w:t>
      </w:r>
    </w:p>
    <w:p w:rsidR="009868E1" w:rsidRPr="0023432D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3432D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23432D">
        <w:rPr>
          <w:rFonts w:ascii="Times New Roman" w:hAnsi="Times New Roman" w:cs="Times New Roman"/>
          <w:iCs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iCs/>
          <w:color w:val="000000"/>
          <w:sz w:val="28"/>
          <w:szCs w:val="28"/>
          <w:vertAlign w:val="subscript"/>
          <w:lang w:val="en-US"/>
        </w:rPr>
        <w:t>mn</w:t>
      </w:r>
      <w:r w:rsidRPr="0023432D">
        <w:rPr>
          <w:rFonts w:ascii="Times New Roman" w:hAnsi="Times New Roman" w:cs="Times New Roman"/>
          <w:color w:val="000000"/>
          <w:sz w:val="28"/>
          <w:szCs w:val="28"/>
        </w:rPr>
        <w:t> – комплексный показатель конкурентоспособности по потребительским свойствам;</w:t>
      </w:r>
    </w:p>
    <w:p w:rsidR="009868E1" w:rsidRPr="0023432D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3432D">
        <w:rPr>
          <w:rFonts w:ascii="Times New Roman" w:hAnsi="Times New Roman" w:cs="Times New Roman"/>
          <w:iCs/>
          <w:color w:val="000000"/>
          <w:sz w:val="28"/>
          <w:szCs w:val="28"/>
        </w:rPr>
        <w:t>q</w:t>
      </w:r>
      <w:r w:rsidRPr="0023432D">
        <w:rPr>
          <w:rFonts w:ascii="Times New Roman" w:hAnsi="Times New Roman" w:cs="Times New Roman"/>
          <w:iCs/>
          <w:color w:val="000000"/>
          <w:sz w:val="28"/>
          <w:szCs w:val="28"/>
          <w:vertAlign w:val="subscript"/>
        </w:rPr>
        <w:t>i</w:t>
      </w:r>
      <w:r w:rsidRPr="0023432D">
        <w:rPr>
          <w:rFonts w:ascii="Times New Roman" w:hAnsi="Times New Roman" w:cs="Times New Roman"/>
          <w:iCs/>
          <w:color w:val="000000"/>
          <w:sz w:val="28"/>
          <w:szCs w:val="28"/>
        </w:rPr>
        <w:t> </w:t>
      </w:r>
      <w:r w:rsidRPr="0023432D">
        <w:rPr>
          <w:rFonts w:ascii="Times New Roman" w:hAnsi="Times New Roman" w:cs="Times New Roman"/>
          <w:color w:val="000000"/>
          <w:sz w:val="28"/>
          <w:szCs w:val="28"/>
        </w:rPr>
        <w:t>- i-ый единичный показатель конкурентоспособности по потребительским свойствам, рассчитывается по формулам;</w:t>
      </w:r>
    </w:p>
    <w:p w:rsidR="009868E1" w:rsidRPr="0023432D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3432D">
        <w:rPr>
          <w:rFonts w:ascii="Times New Roman" w:hAnsi="Times New Roman" w:cs="Times New Roman"/>
          <w:iCs/>
          <w:color w:val="000000"/>
          <w:sz w:val="28"/>
          <w:szCs w:val="28"/>
        </w:rPr>
        <w:t>m</w:t>
      </w:r>
      <w:r w:rsidRPr="0023432D">
        <w:rPr>
          <w:rFonts w:ascii="Times New Roman" w:hAnsi="Times New Roman" w:cs="Times New Roman"/>
          <w:color w:val="000000"/>
          <w:sz w:val="28"/>
          <w:szCs w:val="28"/>
          <w:vertAlign w:val="subscript"/>
        </w:rPr>
        <w:t>i</w:t>
      </w:r>
      <w:r w:rsidRPr="0023432D">
        <w:rPr>
          <w:rFonts w:ascii="Times New Roman" w:hAnsi="Times New Roman" w:cs="Times New Roman"/>
          <w:color w:val="000000"/>
          <w:sz w:val="28"/>
          <w:szCs w:val="28"/>
        </w:rPr>
        <w:t> - весомость i-го показателя потребительского свойства в общем наборе из </w:t>
      </w:r>
      <w:r w:rsidRPr="0023432D">
        <w:rPr>
          <w:rFonts w:ascii="Times New Roman" w:hAnsi="Times New Roman" w:cs="Times New Roman"/>
          <w:iCs/>
          <w:color w:val="000000"/>
          <w:sz w:val="28"/>
          <w:szCs w:val="28"/>
        </w:rPr>
        <w:t>n</w:t>
      </w:r>
      <w:r w:rsidRPr="0023432D">
        <w:rPr>
          <w:rFonts w:ascii="Times New Roman" w:hAnsi="Times New Roman" w:cs="Times New Roman"/>
          <w:color w:val="000000"/>
          <w:sz w:val="28"/>
          <w:szCs w:val="28"/>
        </w:rPr>
        <w:t> показателей, характеризующих потребность;</w:t>
      </w:r>
    </w:p>
    <w:p w:rsidR="009868E1" w:rsidRPr="00DD25E4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432D">
        <w:rPr>
          <w:rFonts w:ascii="Times New Roman" w:hAnsi="Times New Roman" w:cs="Times New Roman"/>
          <w:iCs/>
          <w:color w:val="000000"/>
          <w:sz w:val="28"/>
          <w:szCs w:val="28"/>
        </w:rPr>
        <w:t>n </w:t>
      </w:r>
      <w:r w:rsidRPr="0023432D">
        <w:rPr>
          <w:rFonts w:ascii="Times New Roman" w:hAnsi="Times New Roman" w:cs="Times New Roman"/>
          <w:color w:val="000000"/>
          <w:sz w:val="28"/>
          <w:szCs w:val="28"/>
        </w:rPr>
        <w:t>- число показателей оценки.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Весомость показателя в комплексном методе оценки конкурентоспособности продукции формируется за счет оценки экспертной группы или опроса потребителей. На основе полученных результатов делаются выводы по преимуществам и недостаткам продукции предприятия в сравнении с аналогами конкуренто. Это последний этап оценки конкурентоспособности продукции, где специалисты на основе результатов формируют стратегию развития продукции.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исследовании В.А. Супрунюк представлены другие более подробные методы оценки конкурентоспособности продукции. Автор представил четыре различных метода оценки конкурентоспособности продукции. К этим методам оценки </w:t>
      </w:r>
      <w:r w:rsidRPr="0079231A">
        <w:rPr>
          <w:rFonts w:ascii="Times New Roman" w:hAnsi="Times New Roman" w:cs="Times New Roman"/>
          <w:sz w:val="28"/>
          <w:szCs w:val="28"/>
        </w:rPr>
        <w:t>конкурентоспособности</w:t>
      </w:r>
      <w:r>
        <w:rPr>
          <w:rFonts w:ascii="Times New Roman" w:hAnsi="Times New Roman" w:cs="Times New Roman"/>
          <w:sz w:val="28"/>
          <w:szCs w:val="28"/>
        </w:rPr>
        <w:t xml:space="preserve"> продукции относятся: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Метод</w:t>
      </w:r>
      <w:r w:rsidRPr="0079231A">
        <w:rPr>
          <w:rFonts w:ascii="Times New Roman" w:hAnsi="Times New Roman" w:cs="Times New Roman"/>
          <w:sz w:val="28"/>
          <w:szCs w:val="28"/>
        </w:rPr>
        <w:t xml:space="preserve"> оценки конкурентоспособности товара «11111-55555»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Метод оценки </w:t>
      </w:r>
      <w:r w:rsidRPr="0079231A">
        <w:rPr>
          <w:rFonts w:ascii="Times New Roman" w:hAnsi="Times New Roman" w:cs="Times New Roman"/>
          <w:sz w:val="28"/>
          <w:szCs w:val="28"/>
        </w:rPr>
        <w:t>конкурентоспособности</w:t>
      </w:r>
      <w:r>
        <w:rPr>
          <w:rFonts w:ascii="Times New Roman" w:hAnsi="Times New Roman" w:cs="Times New Roman"/>
          <w:sz w:val="28"/>
          <w:szCs w:val="28"/>
        </w:rPr>
        <w:t xml:space="preserve"> продукции через мультиатрибутивную модель;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Метод оценки </w:t>
      </w:r>
      <w:r w:rsidRPr="0079231A">
        <w:rPr>
          <w:rFonts w:ascii="Times New Roman" w:hAnsi="Times New Roman" w:cs="Times New Roman"/>
          <w:sz w:val="28"/>
          <w:szCs w:val="28"/>
        </w:rPr>
        <w:t>конкурентоспособности</w:t>
      </w:r>
      <w:r>
        <w:rPr>
          <w:rFonts w:ascii="Times New Roman" w:hAnsi="Times New Roman" w:cs="Times New Roman"/>
          <w:sz w:val="28"/>
          <w:szCs w:val="28"/>
        </w:rPr>
        <w:t xml:space="preserve"> продукции через параметрическую модель;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Метод оценки </w:t>
      </w:r>
      <w:r w:rsidRPr="0079231A">
        <w:rPr>
          <w:rFonts w:ascii="Times New Roman" w:hAnsi="Times New Roman" w:cs="Times New Roman"/>
          <w:sz w:val="28"/>
          <w:szCs w:val="28"/>
        </w:rPr>
        <w:t>конкурентоспособности</w:t>
      </w:r>
      <w:r>
        <w:rPr>
          <w:rFonts w:ascii="Times New Roman" w:hAnsi="Times New Roman" w:cs="Times New Roman"/>
          <w:sz w:val="28"/>
          <w:szCs w:val="28"/>
        </w:rPr>
        <w:t xml:space="preserve"> продукции с помощью комбинированной модели.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Представленные методы оценки конкурентоспособности продукции зависят от правильности подобранных под них показателей, именно подбор нужных показателей увеличивает точность оценки.</w:t>
      </w: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868E1" w:rsidRDefault="009868E1" w:rsidP="0098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A4157" w:rsidRDefault="00CA4157" w:rsidP="00CA4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A4157" w:rsidRDefault="00CA4157"/>
    <w:sectPr w:rsidR="00CA4157" w:rsidSect="009D68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32FE" w:rsidRDefault="006032FE" w:rsidP="00CA4157">
      <w:pPr>
        <w:spacing w:after="0" w:line="240" w:lineRule="auto"/>
      </w:pPr>
      <w:r>
        <w:separator/>
      </w:r>
    </w:p>
  </w:endnote>
  <w:endnote w:type="continuationSeparator" w:id="1">
    <w:p w:rsidR="006032FE" w:rsidRDefault="006032FE" w:rsidP="00CA41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32FE" w:rsidRDefault="006032FE" w:rsidP="00CA4157">
      <w:pPr>
        <w:spacing w:after="0" w:line="240" w:lineRule="auto"/>
      </w:pPr>
      <w:r>
        <w:separator/>
      </w:r>
    </w:p>
  </w:footnote>
  <w:footnote w:type="continuationSeparator" w:id="1">
    <w:p w:rsidR="006032FE" w:rsidRDefault="006032FE" w:rsidP="00CA415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CA4157"/>
    <w:rsid w:val="00421CEC"/>
    <w:rsid w:val="00520073"/>
    <w:rsid w:val="006032FE"/>
    <w:rsid w:val="00741433"/>
    <w:rsid w:val="009868E1"/>
    <w:rsid w:val="009D6830"/>
    <w:rsid w:val="009E171E"/>
    <w:rsid w:val="00A566EE"/>
    <w:rsid w:val="00AE4272"/>
    <w:rsid w:val="00CA4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3" type="connector" idref="#Прямая со стрелкой 12"/>
        <o:r id="V:Rule4" type="connector" idref="#Прямая со стрелкой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8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A4157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A4157"/>
    <w:rPr>
      <w:rFonts w:eastAsiaTheme="minorHAnsi"/>
      <w:sz w:val="20"/>
      <w:szCs w:val="20"/>
      <w:lang w:eastAsia="en-US"/>
    </w:rPr>
  </w:style>
  <w:style w:type="character" w:styleId="a5">
    <w:name w:val="footnote reference"/>
    <w:basedOn w:val="a0"/>
    <w:uiPriority w:val="99"/>
    <w:semiHidden/>
    <w:unhideWhenUsed/>
    <w:rsid w:val="00CA4157"/>
    <w:rPr>
      <w:vertAlign w:val="superscript"/>
    </w:rPr>
  </w:style>
  <w:style w:type="table" w:styleId="a6">
    <w:name w:val="Table Grid"/>
    <w:basedOn w:val="a1"/>
    <w:uiPriority w:val="59"/>
    <w:rsid w:val="00CA4157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986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868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1232</Words>
  <Characters>7028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dcterms:created xsi:type="dcterms:W3CDTF">2023-06-11T21:43:00Z</dcterms:created>
  <dcterms:modified xsi:type="dcterms:W3CDTF">2023-06-11T21:43:00Z</dcterms:modified>
</cp:coreProperties>
</file>