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509798" w14:textId="1E5A2D51" w:rsidR="00374CD8" w:rsidRPr="00374CD8" w:rsidRDefault="00374CD8" w:rsidP="00374CD8">
      <w:pPr>
        <w:pStyle w:val="a3"/>
        <w:tabs>
          <w:tab w:val="left" w:pos="284"/>
        </w:tabs>
        <w:spacing w:before="240" w:after="120" w:line="288" w:lineRule="auto"/>
        <w:ind w:left="0"/>
        <w:contextualSpacing w:val="0"/>
        <w:outlineLvl w:val="1"/>
        <w:rPr>
          <w:b/>
          <w:bCs/>
          <w:caps/>
          <w:noProof/>
          <w:sz w:val="28"/>
          <w:szCs w:val="28"/>
        </w:rPr>
      </w:pPr>
      <w:r w:rsidRPr="00374CD8">
        <w:rPr>
          <w:b/>
          <w:bCs/>
          <w:caps/>
          <w:noProof/>
          <w:sz w:val="28"/>
          <w:szCs w:val="28"/>
        </w:rPr>
        <w:t>УДК 331</w:t>
      </w:r>
    </w:p>
    <w:p w14:paraId="48819E84" w14:textId="4C756FD8" w:rsidR="00CD6A1C" w:rsidRDefault="00CD6A1C" w:rsidP="00CD6A1C">
      <w:pPr>
        <w:pStyle w:val="a3"/>
        <w:tabs>
          <w:tab w:val="left" w:pos="284"/>
        </w:tabs>
        <w:spacing w:before="240" w:after="120" w:line="288" w:lineRule="auto"/>
        <w:ind w:left="0"/>
        <w:contextualSpacing w:val="0"/>
        <w:jc w:val="center"/>
        <w:outlineLvl w:val="1"/>
        <w:rPr>
          <w:caps/>
          <w:noProof/>
          <w:sz w:val="28"/>
          <w:szCs w:val="28"/>
        </w:rPr>
      </w:pPr>
      <w:r w:rsidRPr="00A771E8">
        <w:rPr>
          <w:caps/>
          <w:noProof/>
          <w:sz w:val="28"/>
          <w:szCs w:val="28"/>
        </w:rPr>
        <w:t>Понятие и сущность конкурентоспособности</w:t>
      </w:r>
      <w:r>
        <w:rPr>
          <w:caps/>
          <w:noProof/>
          <w:sz w:val="28"/>
          <w:szCs w:val="28"/>
        </w:rPr>
        <w:t xml:space="preserve"> предприятия</w:t>
      </w:r>
      <w:r w:rsidRPr="00A771E8">
        <w:rPr>
          <w:caps/>
          <w:noProof/>
          <w:sz w:val="28"/>
          <w:szCs w:val="28"/>
        </w:rPr>
        <w:t>, движущие силы конкуренции</w:t>
      </w:r>
      <w:r>
        <w:rPr>
          <w:caps/>
          <w:noProof/>
          <w:sz w:val="28"/>
          <w:szCs w:val="28"/>
        </w:rPr>
        <w:t xml:space="preserve"> </w:t>
      </w:r>
    </w:p>
    <w:p w14:paraId="1255CE86" w14:textId="22CAEB5F" w:rsidR="00CD6A1C" w:rsidRPr="00CD6A1C" w:rsidRDefault="00CD6A1C" w:rsidP="00CD6A1C">
      <w:pPr>
        <w:spacing w:after="0" w:line="360" w:lineRule="auto"/>
        <w:jc w:val="right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CD6A1C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Абрамов Андрей </w:t>
      </w:r>
      <w:r w:rsidR="00374CD8" w:rsidRPr="00CD6A1C">
        <w:rPr>
          <w:rFonts w:ascii="Times New Roman" w:hAnsi="Times New Roman" w:cs="Times New Roman"/>
          <w:b/>
          <w:i/>
          <w:iCs/>
          <w:sz w:val="24"/>
          <w:szCs w:val="24"/>
        </w:rPr>
        <w:t>Евгеньевич</w:t>
      </w:r>
      <w:r w:rsidRPr="00CD6A1C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, </w:t>
      </w:r>
    </w:p>
    <w:p w14:paraId="30D72D5F" w14:textId="6FBF2A2E" w:rsidR="00CD6A1C" w:rsidRPr="00CD6A1C" w:rsidRDefault="0054370D" w:rsidP="00CD6A1C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Студент</w:t>
      </w:r>
      <w:bookmarkStart w:id="0" w:name="_GoBack"/>
      <w:bookmarkEnd w:id="0"/>
    </w:p>
    <w:p w14:paraId="49F461DD" w14:textId="77777777" w:rsidR="00CD6A1C" w:rsidRPr="00CD6A1C" w:rsidRDefault="00CD6A1C" w:rsidP="00CD6A1C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CD6A1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Казанский национальный исследовательский технический университет им. А.Н. Туполева–КАИ.</w:t>
      </w:r>
    </w:p>
    <w:p w14:paraId="3F5B38A5" w14:textId="2FAB1A9A" w:rsidR="00CD6A1C" w:rsidRPr="00CD6A1C" w:rsidRDefault="00CD6A1C" w:rsidP="00CD6A1C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CD6A1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Научный руководитель: Трегубо</w:t>
      </w:r>
      <w:r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в</w:t>
      </w:r>
      <w:r w:rsidRPr="00CD6A1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Юрий Маркович</w:t>
      </w:r>
    </w:p>
    <w:p w14:paraId="2998F838" w14:textId="77777777" w:rsidR="00CD6A1C" w:rsidRPr="00CD6A1C" w:rsidRDefault="00CD6A1C" w:rsidP="00CD6A1C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CD6A1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К.э.н., доцент</w:t>
      </w:r>
    </w:p>
    <w:p w14:paraId="6C7753DC" w14:textId="77777777" w:rsidR="00CD6A1C" w:rsidRPr="00CD6A1C" w:rsidRDefault="00CD6A1C" w:rsidP="00CD6A1C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CD6A1C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Казанский национальный исследовательский технический университет им. А.Н. Туполева–КАИ.</w:t>
      </w:r>
    </w:p>
    <w:p w14:paraId="6B79F996" w14:textId="77777777" w:rsidR="00CD6A1C" w:rsidRPr="00CD6A1C" w:rsidRDefault="00CD6A1C" w:rsidP="00CD6A1C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CD6A1C">
        <w:rPr>
          <w:rFonts w:ascii="Times New Roman" w:hAnsi="Times New Roman" w:cs="Times New Roman"/>
          <w:b/>
          <w:i/>
          <w:iCs/>
          <w:sz w:val="24"/>
          <w:szCs w:val="24"/>
        </w:rPr>
        <w:t>Аннотация</w:t>
      </w:r>
      <w:r w:rsidRPr="00CD6A1C">
        <w:rPr>
          <w:rFonts w:ascii="Times New Roman" w:hAnsi="Times New Roman"/>
          <w:sz w:val="28"/>
        </w:rPr>
        <w:t xml:space="preserve"> </w:t>
      </w:r>
      <w:r w:rsidRPr="00CD6A1C">
        <w:rPr>
          <w:rFonts w:ascii="Times New Roman" w:hAnsi="Times New Roman" w:cs="Times New Roman"/>
          <w:bCs/>
          <w:i/>
          <w:iCs/>
          <w:sz w:val="24"/>
          <w:szCs w:val="24"/>
        </w:rPr>
        <w:t>В современных экономических условиях проблема повышения конкурентоспособности актуальна для предприятий всех секторов мировой экономики. Сегодня, чтобы добиться эффективных результатов своей работы, предприятия должны адаптироваться к постоянно меняющимся условиям, что, в свою очередь, требует разработки инновационных концепций и повышения конкурентоспособности. При разработке концепций существует необходимость в тщательном изучении экономической системы конкурентоспособности. При отсутствии необходимых теоретических и практических знаний о сложном механизме обеспечения конкурентоспособности товаров и услуг часто происходят серьезные просчеты в ценообразовании, что в ряде случаев приводит к значительным убыткам, а иногда и к банкротству предприятий.</w:t>
      </w:r>
    </w:p>
    <w:p w14:paraId="58B1BDF5" w14:textId="3883A0B6" w:rsidR="00CD6A1C" w:rsidRPr="00CD6A1C" w:rsidRDefault="00CD6A1C" w:rsidP="00CD6A1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D6A1C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Ключевые слова: </w:t>
      </w:r>
      <w:r w:rsidRPr="00CD6A1C">
        <w:rPr>
          <w:rFonts w:ascii="Times New Roman" w:hAnsi="Times New Roman" w:cs="Times New Roman"/>
          <w:i/>
          <w:iCs/>
          <w:sz w:val="24"/>
          <w:szCs w:val="24"/>
        </w:rPr>
        <w:t>конкурентоспособность, факторы, методы оценки, конкуренция, пути повышения</w:t>
      </w:r>
      <w:r>
        <w:rPr>
          <w:rFonts w:ascii="Times New Roman" w:hAnsi="Times New Roman" w:cs="Times New Roman"/>
          <w:i/>
          <w:iCs/>
          <w:sz w:val="24"/>
          <w:szCs w:val="24"/>
        </w:rPr>
        <w:t>, движущие силы конкуренции</w:t>
      </w:r>
    </w:p>
    <w:p w14:paraId="7E781B7A" w14:textId="35D1489B" w:rsidR="00CD6A1C" w:rsidRDefault="00CD6A1C" w:rsidP="00CD6A1C">
      <w:pPr>
        <w:spacing w:after="0" w:line="240" w:lineRule="auto"/>
        <w:ind w:firstLine="709"/>
        <w:jc w:val="both"/>
        <w:rPr>
          <w:caps/>
          <w:noProof/>
          <w:sz w:val="28"/>
          <w:szCs w:val="28"/>
        </w:rPr>
      </w:pPr>
    </w:p>
    <w:p w14:paraId="1C843E95" w14:textId="77777777" w:rsidR="00CD6A1C" w:rsidRPr="007A25C9" w:rsidRDefault="00CD6A1C" w:rsidP="00CD6A1C">
      <w:pPr>
        <w:spacing w:after="0" w:line="288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25C9">
        <w:rPr>
          <w:rFonts w:ascii="Times New Roman" w:eastAsia="Calibri" w:hAnsi="Times New Roman" w:cs="Times New Roman"/>
          <w:sz w:val="28"/>
          <w:szCs w:val="28"/>
        </w:rPr>
        <w:t xml:space="preserve">В настоящее время практически любой рынок является конкурентным, то есть для него характерно наличие нескольких участников, предлагающих схожие товары и услуги. Конкуренция выгодна в первую очередь потребителю, поскольку она заставляет </w:t>
      </w:r>
      <w:r>
        <w:rPr>
          <w:rFonts w:ascii="Times New Roman" w:eastAsia="Calibri" w:hAnsi="Times New Roman" w:cs="Times New Roman"/>
          <w:sz w:val="28"/>
          <w:szCs w:val="28"/>
        </w:rPr>
        <w:t>предприятия</w:t>
      </w:r>
      <w:r w:rsidRPr="007A25C9">
        <w:rPr>
          <w:rFonts w:ascii="Times New Roman" w:eastAsia="Calibri" w:hAnsi="Times New Roman" w:cs="Times New Roman"/>
          <w:sz w:val="28"/>
          <w:szCs w:val="28"/>
        </w:rPr>
        <w:t xml:space="preserve"> постоянно совершенствовать производство, снижать цены и разрабатывать новые продукты.</w:t>
      </w:r>
    </w:p>
    <w:p w14:paraId="1861A91B" w14:textId="77777777" w:rsidR="00CD6A1C" w:rsidRPr="007A25C9" w:rsidRDefault="00CD6A1C" w:rsidP="00CD6A1C">
      <w:pPr>
        <w:spacing w:after="0" w:line="288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A25C9">
        <w:rPr>
          <w:rFonts w:ascii="Times New Roman" w:eastAsia="Calibri" w:hAnsi="Times New Roman" w:cs="Times New Roman"/>
          <w:sz w:val="28"/>
          <w:szCs w:val="28"/>
        </w:rPr>
        <w:t>В конкурентной среде любого предприятия, для того чтобы эффективно функционировать и оценить его перспективы на будущее, необходимо оценить уровень конкурентоспособности. Располагая полностью достоверной информацией о своем конкурентном положении, кажд</w:t>
      </w:r>
      <w:r>
        <w:rPr>
          <w:rFonts w:ascii="Times New Roman" w:eastAsia="Calibri" w:hAnsi="Times New Roman" w:cs="Times New Roman"/>
          <w:sz w:val="28"/>
          <w:szCs w:val="28"/>
        </w:rPr>
        <w:t>ое</w:t>
      </w:r>
      <w:r w:rsidRPr="007A25C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предприятие</w:t>
      </w:r>
      <w:r w:rsidRPr="007A25C9">
        <w:rPr>
          <w:rFonts w:ascii="Times New Roman" w:eastAsia="Calibri" w:hAnsi="Times New Roman" w:cs="Times New Roman"/>
          <w:sz w:val="28"/>
          <w:szCs w:val="28"/>
        </w:rPr>
        <w:t xml:space="preserve"> может определить свои преимущества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7A25C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5A13584" w14:textId="77777777" w:rsidR="00CD6A1C" w:rsidRDefault="00CD6A1C" w:rsidP="00CD6A1C">
      <w:pPr>
        <w:spacing w:after="0" w:line="288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" w:name="_Hlk130345257"/>
      <w:r w:rsidRPr="007A25C9">
        <w:rPr>
          <w:rFonts w:ascii="Times New Roman" w:eastAsia="Calibri" w:hAnsi="Times New Roman" w:cs="Times New Roman"/>
          <w:sz w:val="28"/>
          <w:szCs w:val="28"/>
        </w:rPr>
        <w:t xml:space="preserve">Актуальность темы выпускной квалификационной работы заключается в том, что динамика рыночных и отраслевых изменений в современной экономике приводит к необходимости детального анализа деятельности компании с целью формирования обоснованной системы принятия решений, </w:t>
      </w:r>
      <w:r w:rsidRPr="007A25C9">
        <w:rPr>
          <w:rFonts w:ascii="Times New Roman" w:eastAsia="Calibri" w:hAnsi="Times New Roman" w:cs="Times New Roman"/>
          <w:sz w:val="28"/>
          <w:szCs w:val="28"/>
        </w:rPr>
        <w:lastRenderedPageBreak/>
        <w:t>результатом которой станет укрепление конкурентоспособность предприятия на рынке.</w:t>
      </w:r>
    </w:p>
    <w:bookmarkEnd w:id="1"/>
    <w:p w14:paraId="3BB7FE44" w14:textId="1430237A" w:rsidR="00CD6A1C" w:rsidRDefault="00CD6A1C" w:rsidP="00CD6A1C">
      <w:pPr>
        <w:pStyle w:val="a3"/>
        <w:tabs>
          <w:tab w:val="left" w:pos="284"/>
        </w:tabs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сегодняшний день </w:t>
      </w:r>
      <w:r w:rsidRPr="00580728">
        <w:rPr>
          <w:sz w:val="28"/>
          <w:szCs w:val="28"/>
        </w:rPr>
        <w:t xml:space="preserve">единого определения понятия </w:t>
      </w:r>
      <w:r>
        <w:rPr>
          <w:sz w:val="28"/>
          <w:szCs w:val="28"/>
        </w:rPr>
        <w:t>«</w:t>
      </w:r>
      <w:r w:rsidRPr="00580728">
        <w:rPr>
          <w:sz w:val="28"/>
          <w:szCs w:val="28"/>
        </w:rPr>
        <w:t>конкурентоспособность</w:t>
      </w:r>
      <w:r>
        <w:rPr>
          <w:sz w:val="28"/>
          <w:szCs w:val="28"/>
        </w:rPr>
        <w:t>»</w:t>
      </w:r>
      <w:r w:rsidRPr="00580728">
        <w:rPr>
          <w:sz w:val="28"/>
          <w:szCs w:val="28"/>
        </w:rPr>
        <w:t xml:space="preserve"> </w:t>
      </w:r>
      <w:r>
        <w:rPr>
          <w:sz w:val="28"/>
          <w:szCs w:val="28"/>
        </w:rPr>
        <w:t>нет.</w:t>
      </w:r>
      <w:r w:rsidRPr="00580728"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 w:rsidRPr="00580728">
        <w:rPr>
          <w:sz w:val="28"/>
          <w:szCs w:val="28"/>
        </w:rPr>
        <w:t xml:space="preserve">но менялось </w:t>
      </w:r>
      <w:r>
        <w:rPr>
          <w:sz w:val="28"/>
          <w:szCs w:val="28"/>
        </w:rPr>
        <w:t>одновременно</w:t>
      </w:r>
      <w:r w:rsidRPr="00580728">
        <w:rPr>
          <w:sz w:val="28"/>
          <w:szCs w:val="28"/>
        </w:rPr>
        <w:t xml:space="preserve"> с развитием науки и общества. Концепция конкурентоспособности основана на концепции конкуренции, и в</w:t>
      </w:r>
      <w:r>
        <w:rPr>
          <w:sz w:val="28"/>
          <w:szCs w:val="28"/>
        </w:rPr>
        <w:t xml:space="preserve"> наиболее </w:t>
      </w:r>
      <w:r w:rsidRPr="00580728">
        <w:rPr>
          <w:sz w:val="28"/>
          <w:szCs w:val="28"/>
        </w:rPr>
        <w:t>общем смысле конкурентоспособность означает способность эффективно конкурировать с другими производителями, используя их собственные преимущества.</w:t>
      </w:r>
    </w:p>
    <w:p w14:paraId="1CA25989" w14:textId="77777777" w:rsidR="00CD6A1C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_Hlk104927703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Если обратиться к истории возникновения этого понятия, то можно отметить, что т</w:t>
      </w:r>
      <w:r w:rsidRPr="00066DE1">
        <w:rPr>
          <w:rFonts w:ascii="Times New Roman" w:eastAsia="Times New Roman" w:hAnsi="Times New Roman" w:cs="Times New Roman"/>
          <w:sz w:val="28"/>
          <w:szCs w:val="28"/>
          <w:lang w:eastAsia="ru-RU"/>
        </w:rPr>
        <w:t>еоретически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066D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066D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конкуренции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были 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за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ложены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еще в период докапиталистических формаций. Однако самые первые целостные теоретические положения о конкурентной борьбе и 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ее движущих силах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появились только в середине XVIII века.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Неоспоримая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заслуга в этом принадлежит представителям классической политической экономии А. Смиту, Д. Рикардо. В дальнейшем последующее развитие теория конкуренции получила благодаря трудам А. Маршалла, Дж. Кейнса, В. Леонтьева, Й. </w:t>
      </w:r>
      <w:proofErr w:type="spellStart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Шумпетера</w:t>
      </w:r>
      <w:proofErr w:type="spellEnd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П. </w:t>
      </w:r>
      <w:proofErr w:type="spellStart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Сраффы</w:t>
      </w:r>
      <w:proofErr w:type="spellEnd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, М. Портера и др. [5, С. 19].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Обобщая итоги исследований этих авторов, можно сделать вывод, что природа конкуренции предопределяет три основных подхода к определению конкуренции как экономической категории: </w:t>
      </w:r>
    </w:p>
    <w:p w14:paraId="1B51A6A7" w14:textId="77777777" w:rsidR="00CD6A1C" w:rsidRDefault="00CD6A1C" w:rsidP="00CD6A1C">
      <w:pPr>
        <w:pStyle w:val="a3"/>
        <w:numPr>
          <w:ilvl w:val="0"/>
          <w:numId w:val="7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E52BA8">
        <w:rPr>
          <w:sz w:val="28"/>
          <w:szCs w:val="28"/>
        </w:rPr>
        <w:t xml:space="preserve">поведенческий, </w:t>
      </w:r>
      <w:r>
        <w:rPr>
          <w:sz w:val="28"/>
          <w:szCs w:val="28"/>
        </w:rPr>
        <w:t>в основе которого лежит состязательность;</w:t>
      </w:r>
    </w:p>
    <w:p w14:paraId="26730BE4" w14:textId="77777777" w:rsidR="00CD6A1C" w:rsidRDefault="00CD6A1C" w:rsidP="00CD6A1C">
      <w:pPr>
        <w:pStyle w:val="a3"/>
        <w:numPr>
          <w:ilvl w:val="0"/>
          <w:numId w:val="7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структурный, в котором акцент делается на анализ структуры рынка;</w:t>
      </w:r>
    </w:p>
    <w:p w14:paraId="269BFEA6" w14:textId="77777777" w:rsidR="00CD6A1C" w:rsidRPr="00E52BA8" w:rsidRDefault="00CD6A1C" w:rsidP="00CD6A1C">
      <w:pPr>
        <w:pStyle w:val="a3"/>
        <w:numPr>
          <w:ilvl w:val="0"/>
          <w:numId w:val="7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функциональный, в рамках которого конкуренция представляется как элемент рыночного механизма.</w:t>
      </w:r>
    </w:p>
    <w:p w14:paraId="4984F175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Нельзя не отметить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тот факт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что сущность конкуренции и ее движущие силы очень подробно рассматриваются в трудах известного современного экономиста Майкла Портера. Он пришел к выводу о том, что в конкуренции участвуют не только непосредственные претенденты.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Скорее, конкуренция в отрасли, лежащая в основе экономики, и конкурирующие силы простираются значительно дальше обычного противостояния сторон в отдельной отрасли промышленности. Потребители, поставщики, потенциальные участники и продукты-заменители – все являются конкурентами, в той или иной степени оказывающими влияние на отрасль [5, С 24]. </w:t>
      </w:r>
    </w:p>
    <w:p w14:paraId="0C2FF677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Результатом исследований Портера стала концепция </w:t>
      </w:r>
      <w:bookmarkStart w:id="3" w:name="5sil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пяти сил конкуренции,</w:t>
      </w:r>
      <w:bookmarkEnd w:id="3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позволяющая определить факторы, оказывающие наибольшее влияние на хозяйствующие субъекты в условиях рыночной конкуренции. </w:t>
      </w:r>
    </w:p>
    <w:p w14:paraId="270EE85B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Согласно указанной концепции, состояние конкуренции на определенном рынке можно охарактеризовать как результат взаимодействия пяти конкурентных сил: </w:t>
      </w:r>
    </w:p>
    <w:p w14:paraId="01F4BC96" w14:textId="77777777" w:rsidR="00CD6A1C" w:rsidRPr="00A771E8" w:rsidRDefault="00CD6A1C" w:rsidP="00CD6A1C">
      <w:pPr>
        <w:pStyle w:val="a3"/>
        <w:numPr>
          <w:ilvl w:val="0"/>
          <w:numId w:val="6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угроза вторжения новых конкурентов; </w:t>
      </w:r>
    </w:p>
    <w:p w14:paraId="24F36B95" w14:textId="77777777" w:rsidR="00CD6A1C" w:rsidRPr="00A771E8" w:rsidRDefault="00CD6A1C" w:rsidP="00CD6A1C">
      <w:pPr>
        <w:pStyle w:val="a3"/>
        <w:numPr>
          <w:ilvl w:val="0"/>
          <w:numId w:val="6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угроза появления продуктов-заменителей; </w:t>
      </w:r>
    </w:p>
    <w:p w14:paraId="2973099A" w14:textId="77777777" w:rsidR="00CD6A1C" w:rsidRPr="00A771E8" w:rsidRDefault="00CD6A1C" w:rsidP="00CD6A1C">
      <w:pPr>
        <w:pStyle w:val="a3"/>
        <w:numPr>
          <w:ilvl w:val="0"/>
          <w:numId w:val="6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экономический потенциал поставщиков; </w:t>
      </w:r>
    </w:p>
    <w:p w14:paraId="3D441497" w14:textId="77777777" w:rsidR="00CD6A1C" w:rsidRPr="00A771E8" w:rsidRDefault="00CD6A1C" w:rsidP="00CD6A1C">
      <w:pPr>
        <w:pStyle w:val="a3"/>
        <w:numPr>
          <w:ilvl w:val="0"/>
          <w:numId w:val="6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экономический потенциал покупателей; </w:t>
      </w:r>
    </w:p>
    <w:p w14:paraId="77D6AECE" w14:textId="5D4E9387" w:rsidR="00CD6A1C" w:rsidRPr="00A771E8" w:rsidRDefault="00CD6A1C" w:rsidP="00CD6A1C">
      <w:pPr>
        <w:pStyle w:val="a3"/>
        <w:numPr>
          <w:ilvl w:val="0"/>
          <w:numId w:val="6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соперничество среди существующих конкурентов</w:t>
      </w:r>
      <w:r>
        <w:rPr>
          <w:sz w:val="28"/>
          <w:szCs w:val="28"/>
        </w:rPr>
        <w:t xml:space="preserve"> </w:t>
      </w:r>
    </w:p>
    <w:p w14:paraId="1BFA2C94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В чем заключается сущность каждой из представленных сил.</w:t>
      </w:r>
    </w:p>
    <w:p w14:paraId="678CE854" w14:textId="77777777" w:rsidR="00CD6A1C" w:rsidRPr="00A771E8" w:rsidRDefault="00CD6A1C" w:rsidP="00CD6A1C">
      <w:pPr>
        <w:pStyle w:val="a3"/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Угроза вторжения новых конкурентов. Новые конкуренты могут прийти на рынок и принести с собой новые производственные мощности для того, чтобы занять свое место на рынке. То, насколько серьезна угроза от возможного появления новых конкурентов на рынке, зависит от наличия входных барьеров и реакции существующих конкурентов. Если барьеры для входа очень высокие, и новые игроки сталкиваются с мощным противодействием со стороны хорошо зарекомендовавших себя конкурентов в отрасли, то очевидно, что новички не будут представлять серьезной угрозы с точки зрения вторжения. Кроме того, если до начала вторжения в отрасль был сделан анализ относительно реакции существующих конкурентов, то результаты анализа могут быть основой для принятия решения о вторжении в эту отрасль.</w:t>
      </w:r>
    </w:p>
    <w:p w14:paraId="23B9D20F" w14:textId="77777777" w:rsidR="00CD6A1C" w:rsidRPr="00CD6A1C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6A1C">
        <w:rPr>
          <w:rFonts w:ascii="Times New Roman" w:hAnsi="Times New Roman" w:cs="Times New Roman"/>
          <w:sz w:val="28"/>
          <w:szCs w:val="28"/>
        </w:rPr>
        <w:t>Угроза появления продуктов-заменителей. Подобно угрозе вторжения новых конкурентов продукты-заменители ограничивают потенциал отрасли. Теоретически, чем более привлекательно соотношение цена-качество, «предлагаемое» продуктами-заменителями, тем жестче ограничение потенциала прибыли отрасли. Продуктами-заменителями, которые заслуживают особого внимания с точки зрения конкуренции, являются продукты, которые способны обеспечить лучшее соотношение цены и качества по сравнению с производимой в отрасли продукцией либо производятся отраслью, получающей высокую прибыль. Продукты-заменители быстро вступают в игру, когда та или иная разработка увеличивает конкуренцию в соответствующей отрасли либо служит причиной снижения цены или повышения производительности.</w:t>
      </w:r>
    </w:p>
    <w:p w14:paraId="2ABC4060" w14:textId="77777777" w:rsidR="00CD6A1C" w:rsidRPr="00CD6A1C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6A1C">
        <w:rPr>
          <w:rFonts w:ascii="Times New Roman" w:hAnsi="Times New Roman" w:cs="Times New Roman"/>
          <w:sz w:val="28"/>
          <w:szCs w:val="28"/>
        </w:rPr>
        <w:t xml:space="preserve">Экономический потенциал поставщиков. Поставщики могут оказывать давление при заключении сделок, увеличивая цены или снижая качество предлагаемых товаров и услуг. Влияние поставщиков, таким образом, </w:t>
      </w:r>
      <w:r w:rsidRPr="00CD6A1C">
        <w:rPr>
          <w:rFonts w:ascii="Times New Roman" w:hAnsi="Times New Roman" w:cs="Times New Roman"/>
          <w:sz w:val="28"/>
          <w:szCs w:val="28"/>
        </w:rPr>
        <w:lastRenderedPageBreak/>
        <w:t>«выжимает» прибыль из отрасли, не способной справиться с повышением издержек при фиксированных ценах.</w:t>
      </w:r>
    </w:p>
    <w:p w14:paraId="12FE5BD3" w14:textId="77777777" w:rsidR="00CD6A1C" w:rsidRPr="00CD6A1C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6A1C">
        <w:rPr>
          <w:rFonts w:ascii="Times New Roman" w:hAnsi="Times New Roman" w:cs="Times New Roman"/>
          <w:sz w:val="28"/>
          <w:szCs w:val="28"/>
        </w:rPr>
        <w:t>Экономический потенциал покупателей. Потребители, подобно поставщикам, «выжимают» прибыль из отрасли, снижая цены, требуя высшего качества продукции и большего обслуживания, настраивая производителей друг против друга – в ущерб прибыли всей отрасли.</w:t>
      </w:r>
    </w:p>
    <w:p w14:paraId="431562ED" w14:textId="77777777" w:rsidR="00CD6A1C" w:rsidRPr="00CD6A1C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6A1C">
        <w:rPr>
          <w:rFonts w:ascii="Times New Roman" w:hAnsi="Times New Roman" w:cs="Times New Roman"/>
          <w:sz w:val="28"/>
          <w:szCs w:val="28"/>
        </w:rPr>
        <w:t xml:space="preserve">Соперничество среди существующих конкурентов. Соперничество среди существующих конкурентов сводится к стремлению всеми средствами добиться выгодного положения, используя тактику ценовой и неценовой конкуренции, продвижения товаров на рынок и интенсивную рекламу. Интенсивность и характер конкуренции зависят от множества факторов. При анализе интенсивности и характера конкуренции на отраслевом рынке представляется полезным обратиться к упоминавшемуся ранее структурному подходу определения сущности конкуренции. </w:t>
      </w:r>
    </w:p>
    <w:p w14:paraId="2680FD8F" w14:textId="77777777" w:rsidR="00CD6A1C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образом, к середине XX века сформировались общие представления о сущности конкуренции и ее основных движущих силах.</w:t>
      </w:r>
    </w:p>
    <w:p w14:paraId="3D8C1A29" w14:textId="6821711C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зависимости от характера конкуренции поставщиков (производителей), выделяется четыре основных типа рынка: совершенная конкуренция, монополистическая конкуренция, олигополия и чистая монополия (рис.1.).</w:t>
      </w:r>
    </w:p>
    <w:p w14:paraId="42D46E1C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noProof/>
          <w:sz w:val="28"/>
          <w:szCs w:val="28"/>
          <w:lang w:eastAsia="ja-JP"/>
        </w:rPr>
        <w:drawing>
          <wp:inline distT="0" distB="0" distL="0" distR="0" wp14:anchorId="3BBB0B2F" wp14:editId="11A8CE43">
            <wp:extent cx="5095875" cy="2505075"/>
            <wp:effectExtent l="0" t="38100" r="0" b="85725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14:paraId="6A91127E" w14:textId="6A1814A6" w:rsidR="00CD6A1C" w:rsidRPr="00A771E8" w:rsidRDefault="00CD6A1C" w:rsidP="00CD6A1C">
      <w:pPr>
        <w:shd w:val="clear" w:color="auto" w:fill="FFFFFF"/>
        <w:spacing w:before="120" w:after="120" w:line="288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Рис.1. Классические модели рыночной конкуренции [5, С.39]</w:t>
      </w:r>
    </w:p>
    <w:p w14:paraId="5A7F624F" w14:textId="77777777" w:rsidR="00CD6A1C" w:rsidRPr="00A771E8" w:rsidRDefault="00CD6A1C" w:rsidP="00CD6A1C">
      <w:pPr>
        <w:pStyle w:val="a3"/>
        <w:numPr>
          <w:ilvl w:val="0"/>
          <w:numId w:val="2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Главной особенностью совершенной конкуренции является то, что имеется большое количество конкурентов. В итоге ни у кого из участников нет такой доли рынка, которая повлияет на изменение цены товара. Принято считать, что цену для производителей устанавливает рынок. Продукция, продаваемая на рынке, стандартизирована, при этом не используются </w:t>
      </w:r>
      <w:r w:rsidRPr="00A771E8">
        <w:rPr>
          <w:sz w:val="28"/>
          <w:szCs w:val="28"/>
        </w:rPr>
        <w:lastRenderedPageBreak/>
        <w:t>неценовые методы конкуренции, а спрос на товары эластичен. Вход и выход из отрасли свободны. Совершенная конкуренция характеризуется очень высокой осведомленностью продавцов и покупателей о товарах и ценах.</w:t>
      </w:r>
    </w:p>
    <w:p w14:paraId="63EB582C" w14:textId="77777777" w:rsidR="00CD6A1C" w:rsidRPr="00A771E8" w:rsidRDefault="00CD6A1C" w:rsidP="00CD6A1C">
      <w:pPr>
        <w:pStyle w:val="a3"/>
        <w:numPr>
          <w:ilvl w:val="0"/>
          <w:numId w:val="2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Монополистическая конкуренция отличается большим количеством предприятий, продающих разную продукцию, что позволяет им держать под контролем цену продажи. Отличительной особенностью такого рынка является большое количество малых и средних предприятий, из которых ни одно не занимает главенствующих позиций на рынке из-за малой доли продаж. В отличие от чистой конкуренции, здесь используются неценовые методы конкуренции. Выход на рынок не осложнен такими препонами как при монополии или олигополии, и в то же время это не так просто, как при совершенной конкуренции.</w:t>
      </w:r>
    </w:p>
    <w:p w14:paraId="56A28A44" w14:textId="77777777" w:rsidR="00CD6A1C" w:rsidRPr="00A771E8" w:rsidRDefault="00CD6A1C" w:rsidP="00CD6A1C">
      <w:pPr>
        <w:pStyle w:val="a3"/>
        <w:numPr>
          <w:ilvl w:val="0"/>
          <w:numId w:val="2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Суть олигополистической конкуренции в том, что существенную часть производства и сбыта держат под контролем несколько очень крупных предприятий, которые конкурируют друг с другом. При этом доля каждого из участников рынка при данном виде конкуренции настолько велика, что позволяет контролировать рыночную цену. При олигополии продукция предприятий может быть как однотипной, так и различной. Каждый из участников олигополии может проводить самостоятельную рыночную политику, однако при этом он зависит от конкурентов и обязан с ними считаться. Здесь используются главным образом неценовые методы конкурентной борьбы. Для такого рынка характерны частые конкурентные войны, поскольку </w:t>
      </w:r>
      <w:proofErr w:type="spellStart"/>
      <w:r w:rsidRPr="00A771E8">
        <w:rPr>
          <w:sz w:val="28"/>
          <w:szCs w:val="28"/>
        </w:rPr>
        <w:t>олигополисты</w:t>
      </w:r>
      <w:proofErr w:type="spellEnd"/>
      <w:r w:rsidRPr="00A771E8">
        <w:rPr>
          <w:sz w:val="28"/>
          <w:szCs w:val="28"/>
        </w:rPr>
        <w:t xml:space="preserve"> стремятся к завоеванию преимуществ за счет ослабления своих конкурентов. Вместе с тем, как показывает практика, предприятия-</w:t>
      </w:r>
      <w:proofErr w:type="spellStart"/>
      <w:r w:rsidRPr="00A771E8">
        <w:rPr>
          <w:sz w:val="28"/>
          <w:szCs w:val="28"/>
        </w:rPr>
        <w:t>олигополисты</w:t>
      </w:r>
      <w:proofErr w:type="spellEnd"/>
      <w:r w:rsidRPr="00A771E8">
        <w:rPr>
          <w:sz w:val="28"/>
          <w:szCs w:val="28"/>
        </w:rPr>
        <w:t xml:space="preserve"> чаще стремятся договориться друг с другом по поводу раздела рынка, установления цен, действуя в результате соглашения как единая чистая монополия. В отрасли существуют высокие барьеры вхождения.</w:t>
      </w:r>
    </w:p>
    <w:p w14:paraId="349F3D54" w14:textId="77777777" w:rsidR="00CD6A1C" w:rsidRPr="00A771E8" w:rsidRDefault="00CD6A1C" w:rsidP="00CD6A1C">
      <w:pPr>
        <w:pStyle w:val="a3"/>
        <w:numPr>
          <w:ilvl w:val="0"/>
          <w:numId w:val="2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Чистая монополия – это крайнее проявление несовершенной конкуренции, Она представляет из себя рынок, на котором существует один единственный продавец товара, не имеющего аналогов. Монополист действует на рынке один, контролирует цены и объемы выпуска, что дает ему возможность получать монопольную прибыль. Чистая монополия характеризуется наличием высоких барьеров входа (как правило, созданных искусственно).</w:t>
      </w:r>
    </w:p>
    <w:p w14:paraId="5C008533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Важное значение имеют и исследования в области рассмотрения категории конкурентоспособности предприятия.</w:t>
      </w:r>
    </w:p>
    <w:p w14:paraId="1B02CC86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Конкурентоспособность предприятия в условиях рыночной экономики представляет собой обобщающую характеристику деятельности хозяйствующего субъекта, которая отражает уровень эффективности использования хозяйствующим субъектом экономических ресурсов относительно эффективности использования экономических ресурсов конкурентами.</w:t>
      </w:r>
    </w:p>
    <w:p w14:paraId="556CDFBC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самом широком смысле конкурентоспособность предприятия можно определить как способность к достижению собственных целей в условиях противодействия конкурентов в течение определенного времени. Конкурентоспособность предприятия – экономическая категория, отражающая его способность выпускать конкурентоспособную продукцию, его конкурентные преимущества по отношению к другим предприятиям данной отрасли внутри страны и за ее пределами.</w:t>
      </w:r>
    </w:p>
    <w:p w14:paraId="4CD00BD5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Конкурентоспособность предприятия можно оценить только в рамках группы предприятий из одной отрасли, поэтому оценка степени конкурентоспособности предприятия предполагает в первую очередь выбор базовых объектов для сравнения.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этом с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равниваемые предприятия-конкуренты должны обладать соизмеримостью: </w:t>
      </w:r>
    </w:p>
    <w:p w14:paraId="6462D0BB" w14:textId="77777777" w:rsidR="00CD6A1C" w:rsidRPr="00A771E8" w:rsidRDefault="00CD6A1C" w:rsidP="00CD6A1C">
      <w:pPr>
        <w:pStyle w:val="a3"/>
        <w:numPr>
          <w:ilvl w:val="0"/>
          <w:numId w:val="4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характеристик выпускаемой продукции по идентичности потребностей, удовлетворяемых с ее помощью; </w:t>
      </w:r>
    </w:p>
    <w:p w14:paraId="3DEE746B" w14:textId="77777777" w:rsidR="00CD6A1C" w:rsidRPr="00A771E8" w:rsidRDefault="00CD6A1C" w:rsidP="00CD6A1C">
      <w:pPr>
        <w:pStyle w:val="a3"/>
        <w:numPr>
          <w:ilvl w:val="0"/>
          <w:numId w:val="4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сегментов рынка, для которых предназначена выпускаемая продукция; </w:t>
      </w:r>
    </w:p>
    <w:p w14:paraId="7FF50894" w14:textId="77777777" w:rsidR="00CD6A1C" w:rsidRPr="00A771E8" w:rsidRDefault="00CD6A1C" w:rsidP="00CD6A1C">
      <w:pPr>
        <w:pStyle w:val="a3"/>
        <w:numPr>
          <w:ilvl w:val="0"/>
          <w:numId w:val="4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фаз жизненного цикла, в котором функционирует предприятие. </w:t>
      </w:r>
    </w:p>
    <w:p w14:paraId="7657228E" w14:textId="01340955" w:rsidR="00CD6A1C" w:rsidRDefault="00374CD8" w:rsidP="00CD6A1C">
      <w:pPr>
        <w:pStyle w:val="a3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Выделяют</w:t>
      </w:r>
      <w:r w:rsidR="00CD6A1C" w:rsidRPr="00A771E8">
        <w:rPr>
          <w:sz w:val="28"/>
          <w:szCs w:val="28"/>
        </w:rPr>
        <w:t xml:space="preserve"> два источника конкурентоспособности предприятия: операционная эффективность и стратегическое позиционирование</w:t>
      </w:r>
      <w:r w:rsidR="00CD6A1C">
        <w:rPr>
          <w:sz w:val="28"/>
          <w:szCs w:val="28"/>
        </w:rPr>
        <w:t xml:space="preserve"> </w:t>
      </w:r>
      <w:r w:rsidR="00CD6A1C" w:rsidRPr="00A771E8">
        <w:rPr>
          <w:sz w:val="28"/>
          <w:szCs w:val="28"/>
        </w:rPr>
        <w:t xml:space="preserve">[5, С.45]. </w:t>
      </w:r>
    </w:p>
    <w:p w14:paraId="02D05546" w14:textId="77777777" w:rsidR="00CD6A1C" w:rsidRPr="00A771E8" w:rsidRDefault="00CD6A1C" w:rsidP="00CD6A1C">
      <w:pPr>
        <w:pStyle w:val="a3"/>
        <w:numPr>
          <w:ilvl w:val="0"/>
          <w:numId w:val="3"/>
        </w:numPr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Операционная эффективность вбирает в себя комплексную оценку выполнения предприятием тех или иных видов деятельности, позволяющих более рационально использовать имеющиеся у него факторы производства. Уровень операционной эффективности предприятия в значительной степени зависит от факторов его базирования. Отражая гибкость технологической оснащенности предприятия, способность производить широкий круг товаров, в том числе и тех, которые обладают новизной. Операционная эффективность, с одной стороны, создает условия для повышения рыночной приспосабливаемости хозяйствующего субъекта, с другой – служит характеристикой рентабельности производственной деятельности предприятия. Стратегическое позиционирование заключается в создании </w:t>
      </w:r>
      <w:r w:rsidRPr="00A771E8">
        <w:rPr>
          <w:sz w:val="28"/>
          <w:szCs w:val="28"/>
        </w:rPr>
        <w:lastRenderedPageBreak/>
        <w:t xml:space="preserve">уникальной и выгодной позиции, предопределенной сочетанием видов деятельности, отличных от видов деятельности конкурентов. </w:t>
      </w:r>
    </w:p>
    <w:p w14:paraId="0D641641" w14:textId="77777777" w:rsidR="00CD6A1C" w:rsidRPr="00A771E8" w:rsidRDefault="00CD6A1C" w:rsidP="00CD6A1C">
      <w:pPr>
        <w:pStyle w:val="a3"/>
        <w:numPr>
          <w:ilvl w:val="0"/>
          <w:numId w:val="3"/>
        </w:numPr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Стратегическое позиционирование состоит из двух составляющих</w:t>
      </w:r>
      <w:r>
        <w:rPr>
          <w:sz w:val="28"/>
          <w:szCs w:val="28"/>
        </w:rPr>
        <w:t>:</w:t>
      </w:r>
    </w:p>
    <w:p w14:paraId="53B67B74" w14:textId="77777777" w:rsidR="00CD6A1C" w:rsidRPr="00A771E8" w:rsidRDefault="00CD6A1C" w:rsidP="00CD6A1C">
      <w:pPr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</w:t>
      </w:r>
      <w:r w:rsidRPr="00A771E8">
        <w:rPr>
          <w:rFonts w:ascii="Times New Roman" w:hAnsi="Times New Roman" w:cs="Times New Roman"/>
          <w:sz w:val="28"/>
          <w:szCs w:val="28"/>
        </w:rPr>
        <w:t xml:space="preserve">  способность приспосабливаться к внешней среде, она отражает результативность процесса обновления предприятия. Эта составляющая характеризует гибкость и адаптивность хозяйствующего субъекта к условиям внешней среды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AAAF8B2" w14:textId="77777777" w:rsidR="00CD6A1C" w:rsidRPr="00A771E8" w:rsidRDefault="00CD6A1C" w:rsidP="00CD6A1C">
      <w:pPr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</w:t>
      </w:r>
      <w:r w:rsidRPr="00A771E8">
        <w:rPr>
          <w:rFonts w:ascii="Times New Roman" w:hAnsi="Times New Roman" w:cs="Times New Roman"/>
          <w:sz w:val="28"/>
          <w:szCs w:val="28"/>
        </w:rPr>
        <w:t xml:space="preserve"> инновационность, постоянно протекающие инновационные процессы, направленное воздействие которых обеспечивает внедрение новшеств во все сферы деятельности предприятия. Инновационность, таким образом, будучи залогом успешности предприятия в конкурентной борьбе, служит источником адаптивности. </w:t>
      </w:r>
    </w:p>
    <w:p w14:paraId="2C137931" w14:textId="1C852D8E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Конкурентоспособность предприятия — это способность прибыльно производить и реализовывать товарную продукцию по цене не выше и по качеству не хуже, чем у других рыночных контрагентов в своей рыночной нише. Поэтому конкурентоспособность предприятия складывается из трех основных факторов</w:t>
      </w:r>
      <w:r w:rsidR="00374CD8">
        <w:rPr>
          <w:rFonts w:ascii="Times New Roman" w:eastAsia="Times New Roman" w:hAnsi="Times New Roman" w:cs="Times New Roman"/>
          <w:sz w:val="28"/>
          <w:szCs w:val="28"/>
          <w:lang w:eastAsia="ru-RU"/>
        </w:rPr>
        <w:t>: ресурсный, ценовой и фактор среды.</w:t>
      </w: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C431725" w14:textId="77777777" w:rsidR="00CD6A1C" w:rsidRPr="00A771E8" w:rsidRDefault="00CD6A1C" w:rsidP="00CD6A1C">
      <w:pPr>
        <w:pStyle w:val="a3"/>
        <w:numPr>
          <w:ilvl w:val="0"/>
          <w:numId w:val="5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Ресурсный фактор - физические затраты ресурсов на единицу готовой продукции. Ресурсный фактор роста конкурентоспособности может контролировать само предприятие, поэтому повышение производительности труда, капиталоотдачи, общей эффективности производства очень важно и зависит от политики самой компании по организации НИОКР, накоплению основного капитала, маркетинга, системы производственной кооперации, профессиональной подготовки и переподготовки кадров и т. д. Организация управления, технологический и финансовый потенциал предприятия могут обеспечить рост ресурсной компоненты конкурентоспособности.</w:t>
      </w:r>
    </w:p>
    <w:p w14:paraId="44DBBE42" w14:textId="77777777" w:rsidR="00CD6A1C" w:rsidRPr="00A771E8" w:rsidRDefault="00CD6A1C" w:rsidP="00CD6A1C">
      <w:pPr>
        <w:pStyle w:val="a3"/>
        <w:numPr>
          <w:ilvl w:val="0"/>
          <w:numId w:val="5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>Ценовой фактор представляет собой уровень и изменение цен на все используемые ресурсы производства, а также готовую продукцию. Уровень цен во многом зависит от состояния мировой и национальной экономики, именно поэтому предприятием сложнее контролировать рыночные цены на сырье и полуфабрикаты, а также на собственную готовую продукцию.</w:t>
      </w:r>
    </w:p>
    <w:p w14:paraId="3D1EBF52" w14:textId="77777777" w:rsidR="00CD6A1C" w:rsidRPr="00A771E8" w:rsidRDefault="00CD6A1C" w:rsidP="00CD6A1C">
      <w:pPr>
        <w:pStyle w:val="a3"/>
        <w:numPr>
          <w:ilvl w:val="0"/>
          <w:numId w:val="5"/>
        </w:numPr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«Фактор среды» это не что иное, как экономическая политика государства и степень ее воздействия на участников рынка. В понятие «фактор среды» входят такие составляющие, как надежность банковской системы, уровень инфляции, банковский процент, кур с валют, внешнеторговые тарифы </w:t>
      </w:r>
      <w:r w:rsidRPr="00A771E8">
        <w:rPr>
          <w:sz w:val="28"/>
          <w:szCs w:val="28"/>
        </w:rPr>
        <w:lastRenderedPageBreak/>
        <w:t xml:space="preserve">и другие, непосредственно влияющие на конкурентоспособность предприятия. Поэтому предприятия, особенно малые и средние, не могут контролировать большую часть внешних факторов конкурентоспособности. В этой связи экономическая политика государства, особенно в условиях глобализации экономики, приобретает все более важное значение. </w:t>
      </w:r>
    </w:p>
    <w:p w14:paraId="5F9E825B" w14:textId="77777777" w:rsidR="00CD6A1C" w:rsidRPr="00A771E8" w:rsidRDefault="00CD6A1C" w:rsidP="00CD6A1C">
      <w:pPr>
        <w:shd w:val="clear" w:color="auto" w:fill="FFFFFF"/>
        <w:spacing w:after="0" w:line="28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образом, </w:t>
      </w:r>
      <w:bookmarkStart w:id="4" w:name="_Hlk100521817"/>
      <w:r w:rsidRPr="00A771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рыночная конкуренция представляет собой многогранное и достаточно сложное непрерывно изменяющееся явление. В условиях конкуренции на предприятие оказывают воздействие сразу же несколько групп факторов, формируя и постоянно видоизменяя конкурентную среду его деятельности. Более того, каждая из этих групп, в свою очередь, состоит из большого числа элементов, причем состав и структура элементов уникальны для каждого конкретного предприятия.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целом, движущими силами конкуренции по М. Портеру считаются </w:t>
      </w:r>
      <w:r w:rsidRPr="0047746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потребители, поставщики, товары-заменители, действующие конкуренты и новые игроки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рынке.</w:t>
      </w:r>
    </w:p>
    <w:p w14:paraId="5EFBC788" w14:textId="77777777" w:rsidR="00CD6A1C" w:rsidRDefault="00CD6A1C" w:rsidP="00CD6A1C">
      <w:pPr>
        <w:pStyle w:val="a3"/>
        <w:shd w:val="clear" w:color="auto" w:fill="FFFFFF"/>
        <w:spacing w:line="288" w:lineRule="auto"/>
        <w:ind w:left="0" w:firstLine="709"/>
        <w:contextualSpacing w:val="0"/>
        <w:jc w:val="both"/>
        <w:rPr>
          <w:sz w:val="28"/>
          <w:szCs w:val="28"/>
        </w:rPr>
      </w:pPr>
      <w:r w:rsidRPr="00A771E8">
        <w:rPr>
          <w:sz w:val="28"/>
          <w:szCs w:val="28"/>
        </w:rPr>
        <w:t xml:space="preserve">Конкурентоспособность предприятий как самостоятельных хозяйствующих субъектов рассматривается в основном в рамках конкурентоспособности продукции или международной торговли. Конкурентоспособность продукции оказывает большое влияние на конкурентоспособность предприятия. Однако конкурентоспособность предприятия включает в себя множество аспектов деятельности помимо производимой продукции: менеджмент, маркетинг, финансовая политика, операционная эффективность и прочее. </w:t>
      </w:r>
    </w:p>
    <w:bookmarkEnd w:id="2"/>
    <w:bookmarkEnd w:id="4"/>
    <w:p w14:paraId="47C333CC" w14:textId="77777777" w:rsidR="00DC7F4B" w:rsidRDefault="00DC7F4B"/>
    <w:sectPr w:rsidR="00DC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32254"/>
    <w:multiLevelType w:val="hybridMultilevel"/>
    <w:tmpl w:val="54746E3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BD22B6C"/>
    <w:multiLevelType w:val="hybridMultilevel"/>
    <w:tmpl w:val="FAB0C5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1265E55"/>
    <w:multiLevelType w:val="hybridMultilevel"/>
    <w:tmpl w:val="5A8C17E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46091470"/>
    <w:multiLevelType w:val="hybridMultilevel"/>
    <w:tmpl w:val="A7588378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B98396D"/>
    <w:multiLevelType w:val="hybridMultilevel"/>
    <w:tmpl w:val="727A4C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4FDC5F22"/>
    <w:multiLevelType w:val="hybridMultilevel"/>
    <w:tmpl w:val="B11031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623838F2"/>
    <w:multiLevelType w:val="hybridMultilevel"/>
    <w:tmpl w:val="313AE7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E6B"/>
    <w:rsid w:val="00101500"/>
    <w:rsid w:val="00374CD8"/>
    <w:rsid w:val="00451E05"/>
    <w:rsid w:val="0054370D"/>
    <w:rsid w:val="00A66E6B"/>
    <w:rsid w:val="00CD6A1C"/>
    <w:rsid w:val="00DC7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EB91D"/>
  <w15:chartTrackingRefBased/>
  <w15:docId w15:val="{1E1ABE96-DCF8-4503-A2D8-3295FA499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6A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D6A1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014C838-4717-4BDE-A7BF-8DAD7C4DF111}" type="doc">
      <dgm:prSet loTypeId="urn:microsoft.com/office/officeart/2005/8/layout/radial5" loCatId="relationship" qsTypeId="urn:microsoft.com/office/officeart/2005/8/quickstyle/simple5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F5CBBE7D-F19A-4ACF-A871-BDBD93C2E08B}">
      <dgm:prSet phldrT="[Текст]" custT="1"/>
      <dgm:spPr>
        <a:xfrm>
          <a:off x="1903469" y="873612"/>
          <a:ext cx="1335031" cy="758256"/>
        </a:xfr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lnSpc>
              <a:spcPct val="80000"/>
            </a:lnSpc>
            <a:spcBef>
              <a:spcPts val="0"/>
            </a:spcBef>
            <a:spcAft>
              <a:spcPts val="0"/>
            </a:spcAft>
            <a:buNone/>
          </a:pPr>
          <a:r>
            <a:rPr lang="ru-RU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Классические модели</a:t>
          </a:r>
        </a:p>
        <a:p>
          <a:pPr algn="ctr">
            <a:lnSpc>
              <a:spcPct val="80000"/>
            </a:lnSpc>
            <a:spcBef>
              <a:spcPts val="0"/>
            </a:spcBef>
            <a:spcAft>
              <a:spcPts val="0"/>
            </a:spcAft>
            <a:buNone/>
          </a:pPr>
          <a:r>
            <a:rPr lang="ru-RU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рыночной конкуренции</a:t>
          </a:r>
        </a:p>
      </dgm:t>
    </dgm:pt>
    <dgm:pt modelId="{247FFE74-9439-4AEE-BDA8-700B7260EA53}" type="parTrans" cxnId="{98B34AC8-20FA-4E5F-859B-C434408D0B95}">
      <dgm:prSet/>
      <dgm:spPr/>
      <dgm:t>
        <a:bodyPr/>
        <a:lstStyle/>
        <a:p>
          <a:pPr algn="ctr">
            <a:spcBef>
              <a:spcPts val="0"/>
            </a:spcBef>
            <a:spcAft>
              <a:spcPts val="0"/>
            </a:spcAft>
          </a:pPr>
          <a:endParaRPr lang="ru-RU"/>
        </a:p>
      </dgm:t>
    </dgm:pt>
    <dgm:pt modelId="{58D67A1D-568F-4009-B998-F4FDA6CCDD40}" type="sibTrans" cxnId="{98B34AC8-20FA-4E5F-859B-C434408D0B95}">
      <dgm:prSet/>
      <dgm:spPr/>
      <dgm:t>
        <a:bodyPr/>
        <a:lstStyle/>
        <a:p>
          <a:pPr algn="ctr">
            <a:spcBef>
              <a:spcPts val="0"/>
            </a:spcBef>
            <a:spcAft>
              <a:spcPts val="0"/>
            </a:spcAft>
          </a:pPr>
          <a:endParaRPr lang="ru-RU"/>
        </a:p>
      </dgm:t>
    </dgm:pt>
    <dgm:pt modelId="{74A00887-1DD0-4E3F-BA79-93B63A33B216}">
      <dgm:prSet phldrT="[Текст]" custT="1"/>
      <dgm:spPr>
        <a:xfrm>
          <a:off x="1917058" y="2011"/>
          <a:ext cx="1289166" cy="658134"/>
        </a:xfr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r>
            <a:rPr lang="ru-RU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Совершенная конкуренция</a:t>
          </a:r>
        </a:p>
      </dgm:t>
    </dgm:pt>
    <dgm:pt modelId="{BBA107A5-1E67-4805-B0B7-C056F92C6E72}" type="parTrans" cxnId="{6CB17688-D306-492B-8BC0-E5E3E6E96EA4}">
      <dgm:prSet/>
      <dgm:spPr>
        <a:xfrm rot="16165150">
          <a:off x="2509517" y="658198"/>
          <a:ext cx="113148" cy="223765"/>
        </a:xfr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B8B4808A-3F5B-4034-B93B-1B16F24BFD61}" type="sibTrans" cxnId="{6CB17688-D306-492B-8BC0-E5E3E6E96EA4}">
      <dgm:prSet/>
      <dgm:spPr/>
      <dgm:t>
        <a:bodyPr/>
        <a:lstStyle/>
        <a:p>
          <a:pPr algn="ctr">
            <a:spcBef>
              <a:spcPts val="0"/>
            </a:spcBef>
            <a:spcAft>
              <a:spcPts val="0"/>
            </a:spcAft>
          </a:pPr>
          <a:endParaRPr lang="ru-RU"/>
        </a:p>
      </dgm:t>
    </dgm:pt>
    <dgm:pt modelId="{A35ECEB9-3D6D-4D63-B9B6-3F7ADC444A7A}">
      <dgm:prSet phldrT="[Текст]" custT="1"/>
      <dgm:spPr>
        <a:xfrm>
          <a:off x="3449885" y="942689"/>
          <a:ext cx="1270811" cy="658134"/>
        </a:xfr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r>
            <a:rPr lang="ru-RU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Монополистическая конкуренция</a:t>
          </a:r>
        </a:p>
      </dgm:t>
    </dgm:pt>
    <dgm:pt modelId="{F19F9C61-06D9-4877-A4F8-3DA69860AD52}" type="parTrans" cxnId="{D2E2A1F0-3992-43D0-A360-E7CC72C8F391}">
      <dgm:prSet/>
      <dgm:spPr>
        <a:xfrm rot="43169">
          <a:off x="3284915" y="1150527"/>
          <a:ext cx="112228" cy="223765"/>
        </a:xfr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2BFE1EF8-8791-40EC-8C15-DA35B84F86CB}" type="sibTrans" cxnId="{D2E2A1F0-3992-43D0-A360-E7CC72C8F391}">
      <dgm:prSet/>
      <dgm:spPr/>
      <dgm:t>
        <a:bodyPr/>
        <a:lstStyle/>
        <a:p>
          <a:pPr algn="ctr">
            <a:spcBef>
              <a:spcPts val="0"/>
            </a:spcBef>
            <a:spcAft>
              <a:spcPts val="0"/>
            </a:spcAft>
          </a:pPr>
          <a:endParaRPr lang="ru-RU"/>
        </a:p>
      </dgm:t>
    </dgm:pt>
    <dgm:pt modelId="{8C45BD51-179D-4423-B798-FAF56E773FB4}">
      <dgm:prSet phldrT="[Текст]" custT="1"/>
      <dgm:spPr>
        <a:xfrm>
          <a:off x="1951455" y="1844929"/>
          <a:ext cx="1220371" cy="658134"/>
        </a:xfr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r>
            <a:rPr lang="ru-RU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Олигополия</a:t>
          </a:r>
        </a:p>
      </dgm:t>
    </dgm:pt>
    <dgm:pt modelId="{B88B27A9-65F0-4617-8D59-59B222F3E978}" type="parTrans" cxnId="{09B1E6A0-348A-4679-BF66-822B27E22CD2}">
      <dgm:prSet/>
      <dgm:spPr>
        <a:xfrm rot="5434865">
          <a:off x="2509624" y="1623319"/>
          <a:ext cx="112934" cy="223765"/>
        </a:xfr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42FB2942-AA78-439B-98CE-DE384CF4D672}" type="sibTrans" cxnId="{09B1E6A0-348A-4679-BF66-822B27E22CD2}">
      <dgm:prSet/>
      <dgm:spPr/>
      <dgm:t>
        <a:bodyPr/>
        <a:lstStyle/>
        <a:p>
          <a:pPr algn="ctr">
            <a:spcBef>
              <a:spcPts val="0"/>
            </a:spcBef>
            <a:spcAft>
              <a:spcPts val="0"/>
            </a:spcAft>
          </a:pPr>
          <a:endParaRPr lang="ru-RU"/>
        </a:p>
      </dgm:t>
    </dgm:pt>
    <dgm:pt modelId="{E97D499D-9330-4E90-BBB4-AC6A0D1AC9D6}">
      <dgm:prSet phldrT="[Текст]" custT="1"/>
      <dgm:spPr>
        <a:xfrm>
          <a:off x="336466" y="932820"/>
          <a:ext cx="1325627" cy="658134"/>
        </a:xfr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r>
            <a:rPr lang="ru-RU" sz="11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Чистая монополия</a:t>
          </a:r>
        </a:p>
      </dgm:t>
    </dgm:pt>
    <dgm:pt modelId="{2DB82E3E-7046-4DFE-B613-6BD970413E83}" type="parTrans" cxnId="{DB774188-819D-49EB-8B09-FBF6EBBDEBD9}">
      <dgm:prSet/>
      <dgm:spPr>
        <a:xfrm rot="10779992">
          <a:off x="1722410" y="1145423"/>
          <a:ext cx="127973" cy="223765"/>
        </a:xfr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algn="ctr">
            <a:spcBef>
              <a:spcPts val="0"/>
            </a:spcBef>
            <a:spcAft>
              <a:spcPts val="0"/>
            </a:spcAft>
            <a:buNone/>
          </a:pPr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1C97AC68-8F39-4786-A9AD-8C59CDBBB484}" type="sibTrans" cxnId="{DB774188-819D-49EB-8B09-FBF6EBBDEBD9}">
      <dgm:prSet/>
      <dgm:spPr/>
      <dgm:t>
        <a:bodyPr/>
        <a:lstStyle/>
        <a:p>
          <a:pPr algn="ctr">
            <a:spcBef>
              <a:spcPts val="0"/>
            </a:spcBef>
            <a:spcAft>
              <a:spcPts val="0"/>
            </a:spcAft>
          </a:pPr>
          <a:endParaRPr lang="ru-RU"/>
        </a:p>
      </dgm:t>
    </dgm:pt>
    <dgm:pt modelId="{3CE38185-5378-4151-9D5F-C86571F7A285}" type="pres">
      <dgm:prSet presAssocID="{C014C838-4717-4BDE-A7BF-8DAD7C4DF111}" presName="Name0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B7FFBF90-3DDB-4C97-BE56-50AA2DF02DE8}" type="pres">
      <dgm:prSet presAssocID="{F5CBBE7D-F19A-4ACF-A871-BDBD93C2E08B}" presName="centerShape" presStyleLbl="node0" presStyleIdx="0" presStyleCnt="1" custScaleX="202851" custScaleY="115213" custLinFactNeighborX="507" custLinFactNeighborY="11"/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B5FB9660-B6B8-412E-955B-328600100FCC}" type="pres">
      <dgm:prSet presAssocID="{BBA107A5-1E67-4805-B0B7-C056F92C6E72}" presName="parTrans" presStyleLbl="sibTrans2D1" presStyleIdx="0" presStyleCnt="4"/>
      <dgm:spPr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FF04AB20-8A9A-4344-862D-4D8581777F68}" type="pres">
      <dgm:prSet presAssocID="{BBA107A5-1E67-4805-B0B7-C056F92C6E72}" presName="connectorText" presStyleLbl="sibTrans2D1" presStyleIdx="0" presStyleCnt="4"/>
      <dgm:spPr/>
      <dgm:t>
        <a:bodyPr/>
        <a:lstStyle/>
        <a:p>
          <a:endParaRPr lang="ru-RU"/>
        </a:p>
      </dgm:t>
    </dgm:pt>
    <dgm:pt modelId="{A166D74E-45B7-4DD7-8CCD-DB2FF87F7D1A}" type="pres">
      <dgm:prSet presAssocID="{74A00887-1DD0-4E3F-BA79-93B63A33B216}" presName="node" presStyleLbl="node1" presStyleIdx="0" presStyleCnt="4" custScaleX="195882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E75CEE83-E08C-49ED-8012-3AC4F9FB99CF}" type="pres">
      <dgm:prSet presAssocID="{F19F9C61-06D9-4877-A4F8-3DA69860AD52}" presName="parTrans" presStyleLbl="sibTrans2D1" presStyleIdx="1" presStyleCnt="4"/>
      <dgm:spPr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0E7D3067-6FC2-4A33-B0F2-CD417C2AA63B}" type="pres">
      <dgm:prSet presAssocID="{F19F9C61-06D9-4877-A4F8-3DA69860AD52}" presName="connectorText" presStyleLbl="sibTrans2D1" presStyleIdx="1" presStyleCnt="4"/>
      <dgm:spPr/>
      <dgm:t>
        <a:bodyPr/>
        <a:lstStyle/>
        <a:p>
          <a:endParaRPr lang="ru-RU"/>
        </a:p>
      </dgm:t>
    </dgm:pt>
    <dgm:pt modelId="{9DF89AAF-39F5-4682-AAB5-0631F6386F90}" type="pres">
      <dgm:prSet presAssocID="{A35ECEB9-3D6D-4D63-B9B6-3F7ADC444A7A}" presName="node" presStyleLbl="node1" presStyleIdx="1" presStyleCnt="4" custScaleX="193093" custRadScaleRad="165365" custRadScaleInc="1606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7F18A6A2-F7F2-4DE0-86B1-E2437A2B4D61}" type="pres">
      <dgm:prSet presAssocID="{B88B27A9-65F0-4617-8D59-59B222F3E978}" presName="parTrans" presStyleLbl="sibTrans2D1" presStyleIdx="2" presStyleCnt="4"/>
      <dgm:spPr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7FD47B20-42E9-4919-A2CF-D6C9E1D03FE3}" type="pres">
      <dgm:prSet presAssocID="{B88B27A9-65F0-4617-8D59-59B222F3E978}" presName="connectorText" presStyleLbl="sibTrans2D1" presStyleIdx="2" presStyleCnt="4"/>
      <dgm:spPr/>
      <dgm:t>
        <a:bodyPr/>
        <a:lstStyle/>
        <a:p>
          <a:endParaRPr lang="ru-RU"/>
        </a:p>
      </dgm:t>
    </dgm:pt>
    <dgm:pt modelId="{482B2599-1A89-47CE-8D58-E665A73289DD}" type="pres">
      <dgm:prSet presAssocID="{8C45BD51-179D-4423-B798-FAF56E773FB4}" presName="node" presStyleLbl="node1" presStyleIdx="2" presStyleCnt="4" custScaleX="185429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2EBAB1D3-5806-4548-B999-C5FF6997F70F}" type="pres">
      <dgm:prSet presAssocID="{2DB82E3E-7046-4DFE-B613-6BD970413E83}" presName="parTrans" presStyleLbl="sibTrans2D1" presStyleIdx="3" presStyleCnt="4"/>
      <dgm:spPr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C9874FB2-F7CC-4BA9-AA11-1998D0E6D8AB}" type="pres">
      <dgm:prSet presAssocID="{2DB82E3E-7046-4DFE-B613-6BD970413E83}" presName="connectorText" presStyleLbl="sibTrans2D1" presStyleIdx="3" presStyleCnt="4"/>
      <dgm:spPr/>
      <dgm:t>
        <a:bodyPr/>
        <a:lstStyle/>
        <a:p>
          <a:endParaRPr lang="ru-RU"/>
        </a:p>
      </dgm:t>
    </dgm:pt>
    <dgm:pt modelId="{5892FDA6-3F62-4C56-86AB-3EC1FA6E9553}" type="pres">
      <dgm:prSet presAssocID="{E97D499D-9330-4E90-BBB4-AC6A0D1AC9D6}" presName="node" presStyleLbl="node1" presStyleIdx="3" presStyleCnt="4" custScaleX="201422" custRadScaleRad="169556" custRadScaleInc="-762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</dgm:ptLst>
  <dgm:cxnLst>
    <dgm:cxn modelId="{1D8657AB-3F49-45D2-BA91-316C7C625577}" type="presOf" srcId="{B88B27A9-65F0-4617-8D59-59B222F3E978}" destId="{7F18A6A2-F7F2-4DE0-86B1-E2437A2B4D61}" srcOrd="0" destOrd="0" presId="urn:microsoft.com/office/officeart/2005/8/layout/radial5"/>
    <dgm:cxn modelId="{D2E2A1F0-3992-43D0-A360-E7CC72C8F391}" srcId="{F5CBBE7D-F19A-4ACF-A871-BDBD93C2E08B}" destId="{A35ECEB9-3D6D-4D63-B9B6-3F7ADC444A7A}" srcOrd="1" destOrd="0" parTransId="{F19F9C61-06D9-4877-A4F8-3DA69860AD52}" sibTransId="{2BFE1EF8-8791-40EC-8C15-DA35B84F86CB}"/>
    <dgm:cxn modelId="{23A21C78-F113-44B9-A8A0-CC1DDD2BC8E5}" type="presOf" srcId="{F19F9C61-06D9-4877-A4F8-3DA69860AD52}" destId="{E75CEE83-E08C-49ED-8012-3AC4F9FB99CF}" srcOrd="0" destOrd="0" presId="urn:microsoft.com/office/officeart/2005/8/layout/radial5"/>
    <dgm:cxn modelId="{6CB17688-D306-492B-8BC0-E5E3E6E96EA4}" srcId="{F5CBBE7D-F19A-4ACF-A871-BDBD93C2E08B}" destId="{74A00887-1DD0-4E3F-BA79-93B63A33B216}" srcOrd="0" destOrd="0" parTransId="{BBA107A5-1E67-4805-B0B7-C056F92C6E72}" sibTransId="{B8B4808A-3F5B-4034-B93B-1B16F24BFD61}"/>
    <dgm:cxn modelId="{7E122F02-3720-4981-90DB-BE96A5119833}" type="presOf" srcId="{F19F9C61-06D9-4877-A4F8-3DA69860AD52}" destId="{0E7D3067-6FC2-4A33-B0F2-CD417C2AA63B}" srcOrd="1" destOrd="0" presId="urn:microsoft.com/office/officeart/2005/8/layout/radial5"/>
    <dgm:cxn modelId="{ECECF515-A1E0-4CFD-8026-D54ACBD60C02}" type="presOf" srcId="{BBA107A5-1E67-4805-B0B7-C056F92C6E72}" destId="{FF04AB20-8A9A-4344-862D-4D8581777F68}" srcOrd="1" destOrd="0" presId="urn:microsoft.com/office/officeart/2005/8/layout/radial5"/>
    <dgm:cxn modelId="{8D155598-457D-4A32-904C-D49989140676}" type="presOf" srcId="{B88B27A9-65F0-4617-8D59-59B222F3E978}" destId="{7FD47B20-42E9-4919-A2CF-D6C9E1D03FE3}" srcOrd="1" destOrd="0" presId="urn:microsoft.com/office/officeart/2005/8/layout/radial5"/>
    <dgm:cxn modelId="{D28DB198-A620-48FF-B1B6-1529833F3089}" type="presOf" srcId="{BBA107A5-1E67-4805-B0B7-C056F92C6E72}" destId="{B5FB9660-B6B8-412E-955B-328600100FCC}" srcOrd="0" destOrd="0" presId="urn:microsoft.com/office/officeart/2005/8/layout/radial5"/>
    <dgm:cxn modelId="{DB774188-819D-49EB-8B09-FBF6EBBDEBD9}" srcId="{F5CBBE7D-F19A-4ACF-A871-BDBD93C2E08B}" destId="{E97D499D-9330-4E90-BBB4-AC6A0D1AC9D6}" srcOrd="3" destOrd="0" parTransId="{2DB82E3E-7046-4DFE-B613-6BD970413E83}" sibTransId="{1C97AC68-8F39-4786-A9AD-8C59CDBBB484}"/>
    <dgm:cxn modelId="{98B34AC8-20FA-4E5F-859B-C434408D0B95}" srcId="{C014C838-4717-4BDE-A7BF-8DAD7C4DF111}" destId="{F5CBBE7D-F19A-4ACF-A871-BDBD93C2E08B}" srcOrd="0" destOrd="0" parTransId="{247FFE74-9439-4AEE-BDA8-700B7260EA53}" sibTransId="{58D67A1D-568F-4009-B998-F4FDA6CCDD40}"/>
    <dgm:cxn modelId="{9DE132B6-C337-497F-98B0-F4CEB852ABEB}" type="presOf" srcId="{2DB82E3E-7046-4DFE-B613-6BD970413E83}" destId="{2EBAB1D3-5806-4548-B999-C5FF6997F70F}" srcOrd="0" destOrd="0" presId="urn:microsoft.com/office/officeart/2005/8/layout/radial5"/>
    <dgm:cxn modelId="{BC6409CD-BBD3-4D77-8E95-012AE598B315}" type="presOf" srcId="{8C45BD51-179D-4423-B798-FAF56E773FB4}" destId="{482B2599-1A89-47CE-8D58-E665A73289DD}" srcOrd="0" destOrd="0" presId="urn:microsoft.com/office/officeart/2005/8/layout/radial5"/>
    <dgm:cxn modelId="{04550AD9-0452-4835-A146-C4CF33065D5E}" type="presOf" srcId="{A35ECEB9-3D6D-4D63-B9B6-3F7ADC444A7A}" destId="{9DF89AAF-39F5-4682-AAB5-0631F6386F90}" srcOrd="0" destOrd="0" presId="urn:microsoft.com/office/officeart/2005/8/layout/radial5"/>
    <dgm:cxn modelId="{D1C39F29-6168-4BDF-9296-835A7C3E246E}" type="presOf" srcId="{74A00887-1DD0-4E3F-BA79-93B63A33B216}" destId="{A166D74E-45B7-4DD7-8CCD-DB2FF87F7D1A}" srcOrd="0" destOrd="0" presId="urn:microsoft.com/office/officeart/2005/8/layout/radial5"/>
    <dgm:cxn modelId="{AB1A5507-0FC4-4849-BDC7-B4A60B8F9113}" type="presOf" srcId="{C014C838-4717-4BDE-A7BF-8DAD7C4DF111}" destId="{3CE38185-5378-4151-9D5F-C86571F7A285}" srcOrd="0" destOrd="0" presId="urn:microsoft.com/office/officeart/2005/8/layout/radial5"/>
    <dgm:cxn modelId="{F7BE2CDD-003B-4B0B-9719-E45E79F91116}" type="presOf" srcId="{E97D499D-9330-4E90-BBB4-AC6A0D1AC9D6}" destId="{5892FDA6-3F62-4C56-86AB-3EC1FA6E9553}" srcOrd="0" destOrd="0" presId="urn:microsoft.com/office/officeart/2005/8/layout/radial5"/>
    <dgm:cxn modelId="{09B1E6A0-348A-4679-BF66-822B27E22CD2}" srcId="{F5CBBE7D-F19A-4ACF-A871-BDBD93C2E08B}" destId="{8C45BD51-179D-4423-B798-FAF56E773FB4}" srcOrd="2" destOrd="0" parTransId="{B88B27A9-65F0-4617-8D59-59B222F3E978}" sibTransId="{42FB2942-AA78-439B-98CE-DE384CF4D672}"/>
    <dgm:cxn modelId="{935E9089-16D3-41C3-8733-6A99973F2D72}" type="presOf" srcId="{2DB82E3E-7046-4DFE-B613-6BD970413E83}" destId="{C9874FB2-F7CC-4BA9-AA11-1998D0E6D8AB}" srcOrd="1" destOrd="0" presId="urn:microsoft.com/office/officeart/2005/8/layout/radial5"/>
    <dgm:cxn modelId="{CD725FD2-CCF4-4C3D-85E3-19DAE2869BAC}" type="presOf" srcId="{F5CBBE7D-F19A-4ACF-A871-BDBD93C2E08B}" destId="{B7FFBF90-3DDB-4C97-BE56-50AA2DF02DE8}" srcOrd="0" destOrd="0" presId="urn:microsoft.com/office/officeart/2005/8/layout/radial5"/>
    <dgm:cxn modelId="{33C8CBAF-8C34-4F85-8944-C31160B4BBC7}" type="presParOf" srcId="{3CE38185-5378-4151-9D5F-C86571F7A285}" destId="{B7FFBF90-3DDB-4C97-BE56-50AA2DF02DE8}" srcOrd="0" destOrd="0" presId="urn:microsoft.com/office/officeart/2005/8/layout/radial5"/>
    <dgm:cxn modelId="{D934B8C9-6DA3-4654-B55A-E4635E1084C7}" type="presParOf" srcId="{3CE38185-5378-4151-9D5F-C86571F7A285}" destId="{B5FB9660-B6B8-412E-955B-328600100FCC}" srcOrd="1" destOrd="0" presId="urn:microsoft.com/office/officeart/2005/8/layout/radial5"/>
    <dgm:cxn modelId="{101A1B27-6912-4310-A115-8673A27ED83C}" type="presParOf" srcId="{B5FB9660-B6B8-412E-955B-328600100FCC}" destId="{FF04AB20-8A9A-4344-862D-4D8581777F68}" srcOrd="0" destOrd="0" presId="urn:microsoft.com/office/officeart/2005/8/layout/radial5"/>
    <dgm:cxn modelId="{D9255F0E-C1F0-4E1C-AA25-0E211DE85031}" type="presParOf" srcId="{3CE38185-5378-4151-9D5F-C86571F7A285}" destId="{A166D74E-45B7-4DD7-8CCD-DB2FF87F7D1A}" srcOrd="2" destOrd="0" presId="urn:microsoft.com/office/officeart/2005/8/layout/radial5"/>
    <dgm:cxn modelId="{935828D7-D493-498A-B8E3-144238D4B2FD}" type="presParOf" srcId="{3CE38185-5378-4151-9D5F-C86571F7A285}" destId="{E75CEE83-E08C-49ED-8012-3AC4F9FB99CF}" srcOrd="3" destOrd="0" presId="urn:microsoft.com/office/officeart/2005/8/layout/radial5"/>
    <dgm:cxn modelId="{0254CCCE-651B-4930-8C35-101C8E3A51D2}" type="presParOf" srcId="{E75CEE83-E08C-49ED-8012-3AC4F9FB99CF}" destId="{0E7D3067-6FC2-4A33-B0F2-CD417C2AA63B}" srcOrd="0" destOrd="0" presId="urn:microsoft.com/office/officeart/2005/8/layout/radial5"/>
    <dgm:cxn modelId="{24EE12E7-9333-47D5-9099-A0D27AC591D9}" type="presParOf" srcId="{3CE38185-5378-4151-9D5F-C86571F7A285}" destId="{9DF89AAF-39F5-4682-AAB5-0631F6386F90}" srcOrd="4" destOrd="0" presId="urn:microsoft.com/office/officeart/2005/8/layout/radial5"/>
    <dgm:cxn modelId="{323FBCB4-69B6-4D8D-81E9-9B69F75CFF0F}" type="presParOf" srcId="{3CE38185-5378-4151-9D5F-C86571F7A285}" destId="{7F18A6A2-F7F2-4DE0-86B1-E2437A2B4D61}" srcOrd="5" destOrd="0" presId="urn:microsoft.com/office/officeart/2005/8/layout/radial5"/>
    <dgm:cxn modelId="{0A63DBA9-B1BC-430D-987E-A1F22C18F4A6}" type="presParOf" srcId="{7F18A6A2-F7F2-4DE0-86B1-E2437A2B4D61}" destId="{7FD47B20-42E9-4919-A2CF-D6C9E1D03FE3}" srcOrd="0" destOrd="0" presId="urn:microsoft.com/office/officeart/2005/8/layout/radial5"/>
    <dgm:cxn modelId="{35EC0C5B-B11F-4B94-9F1F-826F8004BB5D}" type="presParOf" srcId="{3CE38185-5378-4151-9D5F-C86571F7A285}" destId="{482B2599-1A89-47CE-8D58-E665A73289DD}" srcOrd="6" destOrd="0" presId="urn:microsoft.com/office/officeart/2005/8/layout/radial5"/>
    <dgm:cxn modelId="{6C7C44A5-DBC3-42A4-A4A3-BFE48D5426E5}" type="presParOf" srcId="{3CE38185-5378-4151-9D5F-C86571F7A285}" destId="{2EBAB1D3-5806-4548-B999-C5FF6997F70F}" srcOrd="7" destOrd="0" presId="urn:microsoft.com/office/officeart/2005/8/layout/radial5"/>
    <dgm:cxn modelId="{3AE59F1C-EC81-4CFD-8AB9-40B5FC376CAE}" type="presParOf" srcId="{2EBAB1D3-5806-4548-B999-C5FF6997F70F}" destId="{C9874FB2-F7CC-4BA9-AA11-1998D0E6D8AB}" srcOrd="0" destOrd="0" presId="urn:microsoft.com/office/officeart/2005/8/layout/radial5"/>
    <dgm:cxn modelId="{F8EDCA49-8926-4CD0-A3D4-6F76E4A5CF14}" type="presParOf" srcId="{3CE38185-5378-4151-9D5F-C86571F7A285}" destId="{5892FDA6-3F62-4C56-86AB-3EC1FA6E9553}" srcOrd="8" destOrd="0" presId="urn:microsoft.com/office/officeart/2005/8/layout/radial5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7FFBF90-3DDB-4C97-BE56-50AA2DF02DE8}">
      <dsp:nvSpPr>
        <dsp:cNvPr id="0" name=""/>
        <dsp:cNvSpPr/>
      </dsp:nvSpPr>
      <dsp:spPr>
        <a:xfrm>
          <a:off x="1903469" y="873612"/>
          <a:ext cx="1335031" cy="758256"/>
        </a:xfrm>
        <a:prstGeom prst="ellipse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80000"/>
            </a:lnSpc>
            <a:spcBef>
              <a:spcPct val="0"/>
            </a:spcBef>
            <a:spcAft>
              <a:spcPts val="0"/>
            </a:spcAft>
            <a:buNone/>
          </a:pPr>
          <a:r>
            <a:rPr lang="ru-RU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Классические модели</a:t>
          </a:r>
        </a:p>
        <a:p>
          <a:pPr lvl="0" algn="ctr" defTabSz="488950">
            <a:lnSpc>
              <a:spcPct val="80000"/>
            </a:lnSpc>
            <a:spcBef>
              <a:spcPct val="0"/>
            </a:spcBef>
            <a:spcAft>
              <a:spcPts val="0"/>
            </a:spcAft>
            <a:buNone/>
          </a:pPr>
          <a:r>
            <a:rPr lang="ru-RU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рыночной конкуренции</a:t>
          </a:r>
        </a:p>
      </dsp:txBody>
      <dsp:txXfrm>
        <a:off x="2098980" y="984656"/>
        <a:ext cx="944009" cy="536168"/>
      </dsp:txXfrm>
    </dsp:sp>
    <dsp:sp modelId="{B5FB9660-B6B8-412E-955B-328600100FCC}">
      <dsp:nvSpPr>
        <dsp:cNvPr id="0" name=""/>
        <dsp:cNvSpPr/>
      </dsp:nvSpPr>
      <dsp:spPr>
        <a:xfrm rot="16165150">
          <a:off x="2509517" y="658198"/>
          <a:ext cx="113148" cy="2237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endParaRPr lang="ru-RU" sz="9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 rot="10800000">
        <a:off x="2526661" y="719922"/>
        <a:ext cx="79204" cy="134259"/>
      </dsp:txXfrm>
    </dsp:sp>
    <dsp:sp modelId="{A166D74E-45B7-4DD7-8CCD-DB2FF87F7D1A}">
      <dsp:nvSpPr>
        <dsp:cNvPr id="0" name=""/>
        <dsp:cNvSpPr/>
      </dsp:nvSpPr>
      <dsp:spPr>
        <a:xfrm>
          <a:off x="1917058" y="2011"/>
          <a:ext cx="1289166" cy="658134"/>
        </a:xfrm>
        <a:prstGeom prst="ellipse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r>
            <a:rPr lang="ru-RU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Совершенная конкуренция</a:t>
          </a:r>
        </a:p>
      </dsp:txBody>
      <dsp:txXfrm>
        <a:off x="2105852" y="98392"/>
        <a:ext cx="911578" cy="465372"/>
      </dsp:txXfrm>
    </dsp:sp>
    <dsp:sp modelId="{E75CEE83-E08C-49ED-8012-3AC4F9FB99CF}">
      <dsp:nvSpPr>
        <dsp:cNvPr id="0" name=""/>
        <dsp:cNvSpPr/>
      </dsp:nvSpPr>
      <dsp:spPr>
        <a:xfrm rot="43169">
          <a:off x="3284915" y="1150527"/>
          <a:ext cx="112228" cy="2237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endParaRPr lang="ru-RU" sz="9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3284916" y="1195069"/>
        <a:ext cx="78560" cy="134259"/>
      </dsp:txXfrm>
    </dsp:sp>
    <dsp:sp modelId="{9DF89AAF-39F5-4682-AAB5-0631F6386F90}">
      <dsp:nvSpPr>
        <dsp:cNvPr id="0" name=""/>
        <dsp:cNvSpPr/>
      </dsp:nvSpPr>
      <dsp:spPr>
        <a:xfrm>
          <a:off x="3449885" y="942689"/>
          <a:ext cx="1270811" cy="658134"/>
        </a:xfrm>
        <a:prstGeom prst="ellipse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r>
            <a:rPr lang="ru-RU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Монополистическая конкуренция</a:t>
          </a:r>
        </a:p>
      </dsp:txBody>
      <dsp:txXfrm>
        <a:off x="3635991" y="1039070"/>
        <a:ext cx="898599" cy="465372"/>
      </dsp:txXfrm>
    </dsp:sp>
    <dsp:sp modelId="{7F18A6A2-F7F2-4DE0-86B1-E2437A2B4D61}">
      <dsp:nvSpPr>
        <dsp:cNvPr id="0" name=""/>
        <dsp:cNvSpPr/>
      </dsp:nvSpPr>
      <dsp:spPr>
        <a:xfrm rot="5434865">
          <a:off x="2509624" y="1623319"/>
          <a:ext cx="112934" cy="2237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endParaRPr lang="ru-RU" sz="9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 rot="10800000">
        <a:off x="2526736" y="1651133"/>
        <a:ext cx="79054" cy="134259"/>
      </dsp:txXfrm>
    </dsp:sp>
    <dsp:sp modelId="{482B2599-1A89-47CE-8D58-E665A73289DD}">
      <dsp:nvSpPr>
        <dsp:cNvPr id="0" name=""/>
        <dsp:cNvSpPr/>
      </dsp:nvSpPr>
      <dsp:spPr>
        <a:xfrm>
          <a:off x="1951455" y="1844929"/>
          <a:ext cx="1220371" cy="658134"/>
        </a:xfrm>
        <a:prstGeom prst="ellipse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r>
            <a:rPr lang="ru-RU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Олигополия</a:t>
          </a:r>
        </a:p>
      </dsp:txBody>
      <dsp:txXfrm>
        <a:off x="2130174" y="1941310"/>
        <a:ext cx="862933" cy="465372"/>
      </dsp:txXfrm>
    </dsp:sp>
    <dsp:sp modelId="{2EBAB1D3-5806-4548-B999-C5FF6997F70F}">
      <dsp:nvSpPr>
        <dsp:cNvPr id="0" name=""/>
        <dsp:cNvSpPr/>
      </dsp:nvSpPr>
      <dsp:spPr>
        <a:xfrm rot="10779992">
          <a:off x="1722410" y="1145423"/>
          <a:ext cx="127973" cy="223765"/>
        </a:xfrm>
        <a:prstGeom prst="rightArrow">
          <a:avLst>
            <a:gd name="adj1" fmla="val 60000"/>
            <a:gd name="adj2" fmla="val 50000"/>
          </a:avLst>
        </a:prstGeom>
        <a:gradFill rotWithShape="0">
          <a:gsLst>
            <a:gs pos="0">
              <a:sysClr val="windowText" lastClr="000000">
                <a:tint val="60000"/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Text" lastClr="000000">
                <a:tint val="60000"/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Text" lastClr="000000">
                <a:tint val="60000"/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endParaRPr lang="ru-RU" sz="9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 rot="10800000">
        <a:off x="1760802" y="1190064"/>
        <a:ext cx="89581" cy="134259"/>
      </dsp:txXfrm>
    </dsp:sp>
    <dsp:sp modelId="{5892FDA6-3F62-4C56-86AB-3EC1FA6E9553}">
      <dsp:nvSpPr>
        <dsp:cNvPr id="0" name=""/>
        <dsp:cNvSpPr/>
      </dsp:nvSpPr>
      <dsp:spPr>
        <a:xfrm>
          <a:off x="336466" y="932820"/>
          <a:ext cx="1325627" cy="658134"/>
        </a:xfrm>
        <a:prstGeom prst="ellipse">
          <a:avLst/>
        </a:prstGeom>
        <a:gradFill rotWithShape="0">
          <a:gsLst>
            <a:gs pos="0">
              <a:sysClr val="window" lastClr="FFFFFF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ysClr>
            </a:gs>
            <a:gs pos="50000">
              <a:sysClr val="window" lastClr="FFFFFF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ysClr>
            </a:gs>
            <a:gs pos="100000">
              <a:sysClr val="window" lastClr="FFFFFF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ysClr>
            </a:gs>
          </a:gsLst>
          <a:lin ang="5400000" scaled="0"/>
        </a:gradFill>
        <a:ln w="19050">
          <a:solidFill>
            <a:sysClr val="windowText" lastClr="000000"/>
          </a:solidFill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ts val="0"/>
            </a:spcAft>
            <a:buNone/>
          </a:pPr>
          <a:r>
            <a:rPr lang="ru-RU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Чистая монополия</a:t>
          </a:r>
        </a:p>
      </dsp:txBody>
      <dsp:txXfrm>
        <a:off x="530600" y="1029201"/>
        <a:ext cx="937359" cy="46537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5">
  <dgm:title val=""/>
  <dgm:desc val=""/>
  <dgm:catLst>
    <dgm:cat type="relationship" pri="23000"/>
    <dgm:cat type="cycle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Name0">
    <dgm:varLst>
      <dgm:chMax val="1"/>
      <dgm:dir/>
      <dgm:animLvl val="ctr"/>
      <dgm:resizeHandles val="exact"/>
    </dgm:varLst>
    <dgm:choose name="Name1">
      <dgm:if name="Name2" func="var" arg="dir" op="equ" val="norm">
        <dgm:alg type="cycle">
          <dgm:param type="stAng" val="0"/>
          <dgm:param type="spanAng" val="360"/>
          <dgm:param type="ctrShpMap" val="fNode"/>
        </dgm:alg>
      </dgm:if>
      <dgm:else name="Name3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parTrans" refType="w" refFor="ch" refForName="centerShape" fact="0.4"/>
      <dgm:constr type="w" for="ch" forName="node" refType="w" refFor="ch" refForName="centerShape" op="equ" fact="1.25"/>
      <dgm:constr type="sp" refType="w" refFor="ch" refForName="centerShape" op="equ" fact="0.4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node" refType="primFontSz" refFor="ch" refForName="centerShape" op="lte"/>
      <dgm:constr type="primFontSz" for="des" forName="connectorText" op="equ" val="55"/>
      <dgm:constr type="primFontSz" for="des" forName="connectorText" refType="primFontSz" refFor="ch" refForName="centerShape" op="lte" fact="0.8"/>
      <dgm:constr type="primFontSz" for="des" forName="connectorText" refType="primFontSz" refFor="des" refForName="node" op="lte"/>
    </dgm:constrLst>
    <dgm:choose name="Name4">
      <dgm:if name="Name5" axis="ch ch" ptType="node node" st="1 1" cnt="1 0" func="cnt" op="lte" val="6">
        <dgm:ruleLst>
          <dgm:rule type="w" for="ch" forName="node" val="NaN" fact="1" max="NaN"/>
        </dgm:ruleLst>
      </dgm:if>
      <dgm:if name="Name6" axis="ch ch" ptType="node node" st="1 1" cnt="1 0" func="cnt" op="lte" val="8">
        <dgm:ruleLst>
          <dgm:rule type="w" for="ch" forName="node" val="NaN" fact="0.9" max="NaN"/>
        </dgm:ruleLst>
      </dgm:if>
      <dgm:if name="Name7" axis="ch ch" ptType="node node" st="1 1" cnt="1 0" func="cnt" op="lte" val="10">
        <dgm:ruleLst>
          <dgm:rule type="w" for="ch" forName="node" val="NaN" fact="0.8" max="NaN"/>
        </dgm:ruleLst>
      </dgm:if>
      <dgm:if name="Name8" axis="ch ch" ptType="node node" st="1 1" cnt="1 0" func="cnt" op="lte" val="12">
        <dgm:ruleLst>
          <dgm:rule type="w" for="ch" forName="node" val="NaN" fact="0.7" max="NaN"/>
        </dgm:ruleLst>
      </dgm:if>
      <dgm:if name="Name9" axis="ch ch" ptType="node node" st="1 1" cnt="1 0" func="cnt" op="lte" val="14">
        <dgm:ruleLst>
          <dgm:rule type="w" for="ch" forName="node" val="NaN" fact="0.6" max="NaN"/>
        </dgm:ruleLst>
      </dgm:if>
      <dgm:else name="Name10">
        <dgm:ruleLst>
          <dgm:rule type="w" for="ch" forName="node" val="NaN" fact="0.5" max="NaN"/>
        </dgm:ruleLst>
      </dgm:else>
    </dgm:choose>
    <dgm:forEach name="Name11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forEach name="Name12" axis="ch">
        <dgm:forEach name="Name13" axis="self" ptType="parTrans">
          <dgm:layoutNode name="parTrans" styleLbl="sibTrans2D1">
            <dgm:alg type="conn"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h" refType="w" fact="0.85"/>
            </dgm:constrLst>
            <dgm:ruleLst/>
            <dgm:layoutNode name="connectorText">
              <dgm:alg type="tx">
                <dgm:param type="autoTxRot" val="grav"/>
              </dgm:alg>
              <dgm:shape xmlns:r="http://schemas.openxmlformats.org/officeDocument/2006/relationships" type="conn" r:blip="" hideGeom="1">
                <dgm:adjLst/>
              </dgm:shape>
              <dgm:presOf axis="self"/>
              <dgm:constrLst>
                <dgm:constr type="lMarg"/>
                <dgm:constr type="rMarg"/>
                <dgm:constr type="tMarg"/>
                <dgm:constr type="bMarg"/>
              </dgm:constrLst>
              <dgm:ruleLst>
                <dgm:rule type="primFontSz" val="5" fact="NaN" max="NaN"/>
              </dgm:ruleLst>
            </dgm:layoutNode>
          </dgm:layoutNode>
        </dgm:forEach>
        <dgm:forEach name="Name14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w" val="INF" fact="NaN" max="NaN"/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2425</Words>
  <Characters>13826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Учетная запись Майкрософт</cp:lastModifiedBy>
  <cp:revision>2</cp:revision>
  <dcterms:created xsi:type="dcterms:W3CDTF">2023-06-11T11:07:00Z</dcterms:created>
  <dcterms:modified xsi:type="dcterms:W3CDTF">2023-06-11T11:07:00Z</dcterms:modified>
</cp:coreProperties>
</file>