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F50A1" w:rsidRPr="008F50A1" w:rsidRDefault="008F50A1" w:rsidP="008F50A1">
      <w:pPr>
        <w:pStyle w:val="1-"/>
        <w:jc w:val="right"/>
        <w:rPr>
          <w:b/>
          <w:bCs/>
          <w:sz w:val="24"/>
          <w:szCs w:val="24"/>
        </w:rPr>
      </w:pPr>
      <w:bookmarkStart w:id="0" w:name="_Hlk98163436"/>
      <w:r w:rsidRPr="008F50A1">
        <w:rPr>
          <w:b/>
          <w:bCs/>
          <w:sz w:val="24"/>
          <w:szCs w:val="24"/>
        </w:rPr>
        <w:t>Афанасьев М.Ю.</w:t>
      </w:r>
    </w:p>
    <w:bookmarkEnd w:id="0"/>
    <w:p w:rsidR="008F50A1" w:rsidRPr="008F50A1" w:rsidRDefault="008F50A1" w:rsidP="008F50A1">
      <w:pPr>
        <w:spacing w:line="240" w:lineRule="auto"/>
        <w:ind w:firstLine="0"/>
        <w:jc w:val="center"/>
        <w:rPr>
          <w:bCs/>
          <w:szCs w:val="24"/>
          <w:shd w:val="clear" w:color="auto" w:fill="FFFFFF"/>
        </w:rPr>
      </w:pPr>
      <w:r w:rsidRPr="008F50A1">
        <w:rPr>
          <w:bCs/>
          <w:szCs w:val="24"/>
          <w:shd w:val="clear" w:color="auto" w:fill="FFFFFF"/>
        </w:rPr>
        <w:t>СРАВНИТЕЛЬНЫЙ АНАЛИЗ ПОДХОДОВ К ОЦЕНКЕ ЭКОНОМИЧЕСКОЙ СЛОЖНОСТИ РЕГИОНАЛЬНЫХ ЭКОНОМИК</w:t>
      </w:r>
    </w:p>
    <w:p w:rsidR="008F50A1" w:rsidRPr="00306263" w:rsidRDefault="008F50A1" w:rsidP="008F50A1">
      <w:pPr>
        <w:pStyle w:val="1-"/>
      </w:pPr>
    </w:p>
    <w:p w:rsidR="00C37C62" w:rsidRPr="001D3BB3" w:rsidRDefault="0049122B" w:rsidP="001D3BB3">
      <w:pPr>
        <w:spacing w:line="240" w:lineRule="auto"/>
        <w:rPr>
          <w:i/>
          <w:iCs/>
          <w:szCs w:val="24"/>
        </w:rPr>
      </w:pPr>
      <w:r w:rsidRPr="008A2F4C">
        <w:rPr>
          <w:b/>
          <w:bCs/>
          <w:i/>
          <w:iCs/>
        </w:rPr>
        <w:t>Аннотация.</w:t>
      </w:r>
      <w:r>
        <w:rPr>
          <w:i/>
          <w:iCs/>
        </w:rPr>
        <w:t xml:space="preserve"> </w:t>
      </w:r>
      <w:r w:rsidR="008F50A1" w:rsidRPr="001D3BB3">
        <w:rPr>
          <w:i/>
          <w:iCs/>
        </w:rPr>
        <w:t xml:space="preserve">Предложен подход к оценке экономической сложности регионов России по видам </w:t>
      </w:r>
      <w:r w:rsidR="008F50A1" w:rsidRPr="001D3BB3">
        <w:rPr>
          <w:i/>
          <w:iCs/>
          <w:szCs w:val="24"/>
        </w:rPr>
        <w:t>экономической деятельности</w:t>
      </w:r>
      <w:r w:rsidR="00124E0C">
        <w:rPr>
          <w:i/>
          <w:iCs/>
          <w:szCs w:val="24"/>
        </w:rPr>
        <w:t xml:space="preserve">. </w:t>
      </w:r>
      <w:r w:rsidR="008F50A1" w:rsidRPr="001D3BB3">
        <w:rPr>
          <w:i/>
          <w:iCs/>
          <w:szCs w:val="24"/>
        </w:rPr>
        <w:t xml:space="preserve">Построены 0-1 матрицы </w:t>
      </w:r>
      <w:r w:rsidR="00124E0C">
        <w:rPr>
          <w:i/>
          <w:iCs/>
          <w:szCs w:val="24"/>
        </w:rPr>
        <w:t>по данным об объемах производства по</w:t>
      </w:r>
      <w:r w:rsidR="008F50A1" w:rsidRPr="001D3BB3">
        <w:rPr>
          <w:i/>
          <w:iCs/>
          <w:szCs w:val="24"/>
        </w:rPr>
        <w:t xml:space="preserve"> сектор</w:t>
      </w:r>
      <w:r w:rsidR="00124E0C">
        <w:rPr>
          <w:i/>
          <w:iCs/>
          <w:szCs w:val="24"/>
        </w:rPr>
        <w:t>ам</w:t>
      </w:r>
      <w:r w:rsidR="008F50A1" w:rsidRPr="001D3BB3">
        <w:rPr>
          <w:i/>
          <w:iCs/>
          <w:szCs w:val="24"/>
        </w:rPr>
        <w:t xml:space="preserve"> и вид</w:t>
      </w:r>
      <w:r w:rsidR="00124E0C">
        <w:rPr>
          <w:i/>
          <w:iCs/>
          <w:szCs w:val="24"/>
        </w:rPr>
        <w:t>ам</w:t>
      </w:r>
      <w:r w:rsidR="008F50A1" w:rsidRPr="001D3BB3">
        <w:rPr>
          <w:i/>
          <w:iCs/>
          <w:szCs w:val="24"/>
        </w:rPr>
        <w:t xml:space="preserve"> экономической деятельности</w:t>
      </w:r>
      <w:r w:rsidR="001D3BB3">
        <w:rPr>
          <w:i/>
          <w:iCs/>
          <w:szCs w:val="24"/>
        </w:rPr>
        <w:t xml:space="preserve"> (ВЭД)</w:t>
      </w:r>
      <w:r w:rsidR="00C37C62" w:rsidRPr="001D3BB3">
        <w:rPr>
          <w:i/>
          <w:iCs/>
          <w:szCs w:val="24"/>
        </w:rPr>
        <w:t>.</w:t>
      </w:r>
      <w:r w:rsidR="008F50A1" w:rsidRPr="001D3BB3">
        <w:rPr>
          <w:i/>
          <w:iCs/>
          <w:szCs w:val="24"/>
        </w:rPr>
        <w:t xml:space="preserve"> Их структуры правильно отражают идею, заложенную в индексе экономической сложности. </w:t>
      </w:r>
      <w:r w:rsidR="00C37C62" w:rsidRPr="001D3BB3">
        <w:rPr>
          <w:i/>
          <w:iCs/>
          <w:szCs w:val="24"/>
        </w:rPr>
        <w:t>Проведён сравнительный анализ оценок экономической сложности регионов по ВЭД и оценок экономической сложности по секторам.</w:t>
      </w:r>
      <w:r w:rsidR="00C37C62" w:rsidRPr="001D3BB3">
        <w:rPr>
          <w:i/>
          <w:iCs/>
        </w:rPr>
        <w:t xml:space="preserve"> </w:t>
      </w:r>
      <w:r w:rsidR="00124E0C">
        <w:rPr>
          <w:i/>
          <w:iCs/>
        </w:rPr>
        <w:t xml:space="preserve"> Показано, что </w:t>
      </w:r>
      <w:r w:rsidR="00C37C62" w:rsidRPr="001D3BB3">
        <w:rPr>
          <w:i/>
          <w:iCs/>
        </w:rPr>
        <w:t xml:space="preserve">оценки экономической сложности имеют высокую устойчивость </w:t>
      </w:r>
      <w:r w:rsidR="00C37C62" w:rsidRPr="001D3BB3">
        <w:rPr>
          <w:i/>
          <w:iCs/>
          <w:szCs w:val="24"/>
        </w:rPr>
        <w:t xml:space="preserve">при переходе от данных по секторам к данным по ВЭД. </w:t>
      </w:r>
      <w:r w:rsidR="00C37C62" w:rsidRPr="001D3BB3">
        <w:rPr>
          <w:i/>
          <w:iCs/>
        </w:rPr>
        <w:t xml:space="preserve">Оценка экономической сложности регионов по ВЭД может быть полезна </w:t>
      </w:r>
      <w:r w:rsidR="00C37C62" w:rsidRPr="001D3BB3">
        <w:rPr>
          <w:i/>
          <w:iCs/>
          <w:szCs w:val="24"/>
        </w:rPr>
        <w:t>при решении задач управления, направленных на повышение экономической сложности региона.</w:t>
      </w:r>
    </w:p>
    <w:p w:rsidR="008F50A1" w:rsidRPr="001D3BB3" w:rsidRDefault="008F50A1" w:rsidP="001D3BB3">
      <w:pPr>
        <w:spacing w:line="240" w:lineRule="auto"/>
        <w:rPr>
          <w:i/>
          <w:iCs/>
          <w:color w:val="000000"/>
          <w:szCs w:val="24"/>
          <w:shd w:val="clear" w:color="auto" w:fill="FFFFFF"/>
        </w:rPr>
      </w:pPr>
      <w:r w:rsidRPr="001D3BB3">
        <w:rPr>
          <w:b/>
          <w:i/>
          <w:iCs/>
          <w:szCs w:val="24"/>
          <w:bdr w:val="none" w:sz="0" w:space="0" w:color="auto" w:frame="1"/>
        </w:rPr>
        <w:t xml:space="preserve">Ключевые слова: </w:t>
      </w:r>
      <w:bookmarkStart w:id="1" w:name="_Hlk137743348"/>
      <w:r w:rsidRPr="001D3BB3">
        <w:rPr>
          <w:i/>
          <w:iCs/>
          <w:szCs w:val="24"/>
          <w:bdr w:val="none" w:sz="0" w:space="0" w:color="auto" w:frame="1"/>
        </w:rPr>
        <w:t>региональная экономика, экономическая сложность</w:t>
      </w:r>
      <w:r w:rsidR="00AD11CC">
        <w:rPr>
          <w:i/>
          <w:iCs/>
          <w:szCs w:val="24"/>
          <w:bdr w:val="none" w:sz="0" w:space="0" w:color="auto" w:frame="1"/>
        </w:rPr>
        <w:t>, эконометрика</w:t>
      </w:r>
      <w:bookmarkEnd w:id="1"/>
    </w:p>
    <w:p w:rsidR="008F50A1" w:rsidRDefault="008F50A1" w:rsidP="008F50A1">
      <w:pPr>
        <w:ind w:firstLine="0"/>
        <w:jc w:val="center"/>
        <w:rPr>
          <w:rFonts w:ascii="Newton-Regular" w:hAnsi="Newton-Regular" w:cs="Newton-Regular"/>
          <w:sz w:val="28"/>
          <w:szCs w:val="28"/>
        </w:rPr>
      </w:pPr>
    </w:p>
    <w:p w:rsidR="008F50A1" w:rsidRPr="008F50A1" w:rsidRDefault="008F50A1" w:rsidP="008F50A1">
      <w:pPr>
        <w:pStyle w:val="0--12"/>
        <w:spacing w:line="240" w:lineRule="auto"/>
        <w:ind w:firstLine="709"/>
        <w:rPr>
          <w:rFonts w:eastAsia="NewBaskervilleC-Roman"/>
          <w:b/>
          <w:szCs w:val="24"/>
        </w:rPr>
      </w:pPr>
      <w:bookmarkStart w:id="2" w:name="_Hlk97464463"/>
      <w:r w:rsidRPr="008F50A1">
        <w:rPr>
          <w:rFonts w:eastAsia="NewBaskervilleC-Roman"/>
          <w:b/>
          <w:szCs w:val="24"/>
        </w:rPr>
        <w:t>Описание структуры региональной экономики по ВЭД.</w:t>
      </w:r>
      <w:r w:rsidRPr="008F50A1">
        <w:rPr>
          <w:rFonts w:eastAsia="NewBaskervilleC-Roman"/>
          <w:szCs w:val="24"/>
        </w:rPr>
        <w:t xml:space="preserve"> Для описания структуры региональной экономики использованы данные об объемах отгруженной продукции по ВЭД. Сначала определим показатель </w:t>
      </w:r>
      <m:oMath>
        <m:sSub>
          <m:sSubPr>
            <m:ctrlPr>
              <w:rPr>
                <w:rFonts w:ascii="Cambria Math" w:eastAsia="NewBaskervilleC-Roman" w:hAnsi="Cambria Math"/>
                <w:i/>
                <w:szCs w:val="24"/>
              </w:rPr>
            </m:ctrlPr>
          </m:sSubPr>
          <m:e>
            <m:r>
              <w:rPr>
                <w:rFonts w:ascii="Cambria Math" w:eastAsia="NewBaskervilleC-Roman" w:hAnsi="Cambria Math"/>
                <w:szCs w:val="24"/>
                <w:lang w:val="en-US"/>
              </w:rPr>
              <m:t>RCA</m:t>
            </m:r>
          </m:e>
          <m:sub>
            <m:r>
              <w:rPr>
                <w:rFonts w:ascii="Cambria Math" w:eastAsia="NewBaskervilleC-Roman" w:hAnsi="Cambria Math"/>
                <w:szCs w:val="24"/>
              </w:rPr>
              <m:t>cp</m:t>
            </m:r>
          </m:sub>
        </m:sSub>
      </m:oMath>
      <w:r w:rsidRPr="008F50A1">
        <w:rPr>
          <w:rFonts w:eastAsia="NewBaskervilleC-Roman"/>
          <w:szCs w:val="24"/>
        </w:rPr>
        <w:t xml:space="preserve"> </w:t>
      </w:r>
      <w:bookmarkStart w:id="3" w:name="_Hlk100765172"/>
      <w:r w:rsidRPr="008F50A1">
        <w:rPr>
          <w:rFonts w:eastAsia="NewBaskervilleC-Roman"/>
          <w:szCs w:val="24"/>
        </w:rPr>
        <w:t>выявленных сравнительных преимуществ</w:t>
      </w:r>
      <w:bookmarkEnd w:id="3"/>
      <w:r w:rsidRPr="008F50A1">
        <w:rPr>
          <w:rFonts w:eastAsia="NewBaskervilleC-Roman"/>
          <w:szCs w:val="24"/>
        </w:rPr>
        <w:t xml:space="preserve">: </w:t>
      </w:r>
    </w:p>
    <w:p w:rsidR="008F50A1" w:rsidRPr="008F50A1" w:rsidRDefault="008F50A1" w:rsidP="008F50A1">
      <w:pPr>
        <w:tabs>
          <w:tab w:val="center" w:pos="4535"/>
          <w:tab w:val="left" w:pos="8504"/>
        </w:tabs>
        <w:spacing w:line="240" w:lineRule="auto"/>
        <w:ind w:firstLine="709"/>
        <w:contextualSpacing/>
        <w:jc w:val="right"/>
        <w:rPr>
          <w:rFonts w:eastAsia="NewBaskervilleC-Roman"/>
          <w:szCs w:val="24"/>
        </w:rPr>
      </w:pPr>
      <w:r w:rsidRPr="008F50A1">
        <w:rPr>
          <w:szCs w:val="24"/>
        </w:rPr>
        <w:tab/>
      </w:r>
      <m:oMath>
        <m:sSub>
          <m:sSubPr>
            <m:ctrlPr>
              <w:rPr>
                <w:rFonts w:ascii="Cambria Math" w:hAnsi="Cambria Math"/>
                <w:i/>
                <w:szCs w:val="24"/>
              </w:rPr>
            </m:ctrlPr>
          </m:sSubPr>
          <m:e>
            <m:r>
              <w:rPr>
                <w:rFonts w:ascii="Cambria Math" w:hAnsi="Cambria Math"/>
                <w:szCs w:val="24"/>
              </w:rPr>
              <m:t>RCA</m:t>
            </m:r>
          </m:e>
          <m:sub>
            <m:r>
              <w:rPr>
                <w:rFonts w:ascii="Cambria Math" w:hAnsi="Cambria Math"/>
                <w:szCs w:val="24"/>
                <w:lang w:val="en-US"/>
              </w:rPr>
              <m:t>kj</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kj</m:t>
            </m:r>
          </m:sub>
        </m:sSub>
        <m:r>
          <w:rPr>
            <w:rFonts w:ascii="Cambria Math" w:hAnsi="Cambria Math"/>
            <w:szCs w:val="24"/>
          </w:rPr>
          <m:t>/</m:t>
        </m:r>
        <m:nary>
          <m:naryPr>
            <m:chr m:val="∑"/>
            <m:limLoc m:val="subSup"/>
            <m:supHide m:val="1"/>
            <m:ctrlPr>
              <w:rPr>
                <w:rFonts w:ascii="Cambria Math" w:hAnsi="Cambria Math"/>
                <w:i/>
                <w:szCs w:val="24"/>
              </w:rPr>
            </m:ctrlPr>
          </m:naryPr>
          <m:sub>
            <m:r>
              <w:rPr>
                <w:rFonts w:ascii="Cambria Math" w:hAnsi="Cambria Math"/>
                <w:szCs w:val="24"/>
              </w:rPr>
              <m:t>j</m:t>
            </m:r>
          </m:sub>
          <m:sup/>
          <m:e>
            <m:sSub>
              <m:sSubPr>
                <m:ctrlPr>
                  <w:rPr>
                    <w:rFonts w:ascii="Cambria Math" w:hAnsi="Cambria Math"/>
                    <w:i/>
                    <w:szCs w:val="24"/>
                  </w:rPr>
                </m:ctrlPr>
              </m:sSubPr>
              <m:e>
                <m:r>
                  <w:rPr>
                    <w:rFonts w:ascii="Cambria Math" w:hAnsi="Cambria Math"/>
                    <w:szCs w:val="24"/>
                  </w:rPr>
                  <m:t>y</m:t>
                </m:r>
              </m:e>
              <m:sub>
                <m:r>
                  <w:rPr>
                    <w:rFonts w:ascii="Cambria Math" w:hAnsi="Cambria Math"/>
                    <w:szCs w:val="24"/>
                  </w:rPr>
                  <m:t>kj</m:t>
                </m:r>
              </m:sub>
            </m:sSub>
            <m:r>
              <w:rPr>
                <w:rFonts w:ascii="Cambria Math" w:hAnsi="Cambria Math"/>
                <w:szCs w:val="24"/>
              </w:rPr>
              <m:t>)</m:t>
            </m:r>
          </m:e>
        </m:nary>
        <m:r>
          <w:rPr>
            <w:rFonts w:ascii="Cambria Math" w:hAnsi="Cambria Math"/>
            <w:szCs w:val="24"/>
          </w:rPr>
          <m:t>/ (</m:t>
        </m:r>
        <m:nary>
          <m:naryPr>
            <m:chr m:val="∑"/>
            <m:limLoc m:val="subSup"/>
            <m:supHide m:val="1"/>
            <m:ctrlPr>
              <w:rPr>
                <w:rFonts w:ascii="Cambria Math" w:hAnsi="Cambria Math"/>
                <w:i/>
                <w:szCs w:val="24"/>
              </w:rPr>
            </m:ctrlPr>
          </m:naryPr>
          <m:sub>
            <m:r>
              <w:rPr>
                <w:rFonts w:ascii="Cambria Math" w:hAnsi="Cambria Math"/>
                <w:szCs w:val="24"/>
              </w:rPr>
              <m:t>k</m:t>
            </m:r>
          </m:sub>
          <m:sup/>
          <m:e>
            <m:sSub>
              <m:sSubPr>
                <m:ctrlPr>
                  <w:rPr>
                    <w:rFonts w:ascii="Cambria Math" w:hAnsi="Cambria Math"/>
                    <w:i/>
                    <w:szCs w:val="24"/>
                  </w:rPr>
                </m:ctrlPr>
              </m:sSubPr>
              <m:e>
                <m:r>
                  <w:rPr>
                    <w:rFonts w:ascii="Cambria Math" w:hAnsi="Cambria Math"/>
                    <w:szCs w:val="24"/>
                  </w:rPr>
                  <m:t>y</m:t>
                </m:r>
              </m:e>
              <m:sub>
                <m:r>
                  <w:rPr>
                    <w:rFonts w:ascii="Cambria Math" w:hAnsi="Cambria Math"/>
                    <w:szCs w:val="24"/>
                  </w:rPr>
                  <m:t>kj</m:t>
                </m:r>
              </m:sub>
            </m:sSub>
            <m:r>
              <w:rPr>
                <w:rFonts w:ascii="Cambria Math" w:hAnsi="Cambria Math"/>
                <w:szCs w:val="24"/>
              </w:rPr>
              <m:t>/</m:t>
            </m:r>
            <m:nary>
              <m:naryPr>
                <m:chr m:val="∑"/>
                <m:limLoc m:val="subSup"/>
                <m:supHide m:val="1"/>
                <m:ctrlPr>
                  <w:rPr>
                    <w:rFonts w:ascii="Cambria Math" w:hAnsi="Cambria Math"/>
                    <w:i/>
                    <w:szCs w:val="24"/>
                  </w:rPr>
                </m:ctrlPr>
              </m:naryPr>
              <m:sub>
                <m:r>
                  <w:rPr>
                    <w:rFonts w:ascii="Cambria Math" w:hAnsi="Cambria Math"/>
                    <w:szCs w:val="24"/>
                  </w:rPr>
                  <m:t>kj</m:t>
                </m:r>
              </m:sub>
              <m:sup/>
              <m:e>
                <m:sSub>
                  <m:sSubPr>
                    <m:ctrlPr>
                      <w:rPr>
                        <w:rFonts w:ascii="Cambria Math" w:hAnsi="Cambria Math"/>
                        <w:i/>
                        <w:szCs w:val="24"/>
                      </w:rPr>
                    </m:ctrlPr>
                  </m:sSubPr>
                  <m:e>
                    <m:r>
                      <w:rPr>
                        <w:rFonts w:ascii="Cambria Math" w:hAnsi="Cambria Math"/>
                        <w:szCs w:val="24"/>
                      </w:rPr>
                      <m:t>y</m:t>
                    </m:r>
                  </m:e>
                  <m:sub>
                    <m:r>
                      <w:rPr>
                        <w:rFonts w:ascii="Cambria Math" w:hAnsi="Cambria Math"/>
                        <w:szCs w:val="24"/>
                      </w:rPr>
                      <m:t>kj</m:t>
                    </m:r>
                  </m:sub>
                </m:sSub>
              </m:e>
            </m:nary>
          </m:e>
        </m:nary>
        <m:r>
          <w:rPr>
            <w:rFonts w:ascii="Cambria Math" w:hAnsi="Cambria Math"/>
            <w:szCs w:val="24"/>
          </w:rPr>
          <m:t>)</m:t>
        </m:r>
      </m:oMath>
      <w:r w:rsidRPr="008F50A1">
        <w:rPr>
          <w:szCs w:val="24"/>
        </w:rPr>
        <w:t>,</w:t>
      </w:r>
      <w:r w:rsidRPr="008F50A1">
        <w:rPr>
          <w:szCs w:val="24"/>
        </w:rPr>
        <w:tab/>
        <w:t>(1)</w:t>
      </w:r>
    </w:p>
    <w:p w:rsidR="008F50A1" w:rsidRPr="008F50A1" w:rsidRDefault="008F50A1" w:rsidP="008F50A1">
      <w:pPr>
        <w:pStyle w:val="0---"/>
        <w:spacing w:line="240" w:lineRule="auto"/>
        <w:ind w:firstLine="709"/>
        <w:rPr>
          <w:rFonts w:eastAsia="NewBaskervilleC-Roman"/>
          <w:szCs w:val="24"/>
        </w:rPr>
      </w:pPr>
      <w:r w:rsidRPr="008F50A1">
        <w:rPr>
          <w:rFonts w:eastAsia="NewBaskervilleC-Roman"/>
          <w:szCs w:val="24"/>
        </w:rPr>
        <w:t xml:space="preserve">где </w:t>
      </w:r>
      <m:oMath>
        <m:sSub>
          <m:sSubPr>
            <m:ctrlPr>
              <w:rPr>
                <w:rFonts w:ascii="Cambria Math" w:eastAsiaTheme="minorHAnsi" w:hAnsi="Cambria Math"/>
                <w:i/>
                <w:szCs w:val="24"/>
                <w:lang w:eastAsia="en-US"/>
              </w:rPr>
            </m:ctrlPr>
          </m:sSubPr>
          <m:e>
            <m:r>
              <w:rPr>
                <w:rFonts w:ascii="Cambria Math" w:hAnsi="Cambria Math"/>
                <w:szCs w:val="24"/>
              </w:rPr>
              <m:t>y</m:t>
            </m:r>
          </m:e>
          <m:sub>
            <m:r>
              <w:rPr>
                <w:rFonts w:ascii="Cambria Math" w:hAnsi="Cambria Math"/>
                <w:szCs w:val="24"/>
              </w:rPr>
              <m:t>kj</m:t>
            </m:r>
          </m:sub>
        </m:sSub>
      </m:oMath>
      <w:r w:rsidRPr="008F50A1">
        <w:rPr>
          <w:rFonts w:eastAsia="NewBaskervilleC-Roman"/>
          <w:szCs w:val="24"/>
        </w:rPr>
        <w:t xml:space="preserve">— объем производства по ВЭД </w:t>
      </w:r>
      <m:oMath>
        <m:r>
          <w:rPr>
            <w:rFonts w:ascii="Cambria Math" w:eastAsia="NewBaskervilleC-Roman" w:hAnsi="Cambria Math"/>
            <w:szCs w:val="24"/>
          </w:rPr>
          <m:t>j</m:t>
        </m:r>
      </m:oMath>
      <w:r w:rsidRPr="008F50A1">
        <w:rPr>
          <w:rFonts w:eastAsia="NewBaskervilleC-Roman"/>
          <w:i/>
          <w:iCs/>
          <w:szCs w:val="24"/>
        </w:rPr>
        <w:t xml:space="preserve"> </w:t>
      </w:r>
      <w:r w:rsidRPr="008F50A1">
        <w:rPr>
          <w:rFonts w:eastAsia="NewBaskervilleC-Roman"/>
          <w:szCs w:val="24"/>
        </w:rPr>
        <w:t xml:space="preserve">экономики региона </w:t>
      </w:r>
      <m:oMath>
        <m:r>
          <w:rPr>
            <w:rFonts w:ascii="Cambria Math" w:eastAsia="NewBaskervilleC-Roman" w:hAnsi="Cambria Math"/>
            <w:szCs w:val="24"/>
          </w:rPr>
          <m:t>k</m:t>
        </m:r>
      </m:oMath>
      <w:r w:rsidRPr="008F50A1">
        <w:rPr>
          <w:rFonts w:eastAsia="NewBaskervilleC-Roman"/>
          <w:szCs w:val="24"/>
        </w:rPr>
        <w:t xml:space="preserve">; </w:t>
      </w:r>
      <m:oMath>
        <m:sSub>
          <m:sSubPr>
            <m:ctrlPr>
              <w:rPr>
                <w:rFonts w:ascii="Cambria Math" w:eastAsia="NewBaskervilleC-Roman" w:hAnsi="Cambria Math"/>
                <w:i/>
                <w:szCs w:val="24"/>
              </w:rPr>
            </m:ctrlPr>
          </m:sSubPr>
          <m:e>
            <m:r>
              <w:rPr>
                <w:rFonts w:ascii="Cambria Math" w:eastAsia="NewBaskervilleC-Roman" w:hAnsi="Cambria Math"/>
                <w:szCs w:val="24"/>
                <w:lang w:val="en-US"/>
              </w:rPr>
              <m:t>RCA</m:t>
            </m:r>
          </m:e>
          <m:sub>
            <m:r>
              <w:rPr>
                <w:rFonts w:ascii="Cambria Math" w:eastAsia="NewBaskervilleC-Roman" w:hAnsi="Cambria Math"/>
                <w:szCs w:val="24"/>
              </w:rPr>
              <m:t>kj</m:t>
            </m:r>
          </m:sub>
        </m:sSub>
      </m:oMath>
      <w:r w:rsidRPr="008F50A1">
        <w:rPr>
          <w:rFonts w:eastAsia="NewBaskervilleC-Roman"/>
          <w:szCs w:val="24"/>
        </w:rPr>
        <w:t xml:space="preserve">— отношение доли производства по ВЭД </w:t>
      </w:r>
      <m:oMath>
        <m:r>
          <w:rPr>
            <w:rFonts w:ascii="Cambria Math" w:eastAsia="NewBaskervilleC-Roman" w:hAnsi="Cambria Math"/>
            <w:szCs w:val="24"/>
          </w:rPr>
          <m:t>j</m:t>
        </m:r>
      </m:oMath>
      <w:r w:rsidRPr="008F50A1">
        <w:rPr>
          <w:rFonts w:eastAsia="NewBaskervilleC-Roman"/>
          <w:i/>
          <w:iCs/>
          <w:szCs w:val="24"/>
        </w:rPr>
        <w:t xml:space="preserve"> </w:t>
      </w:r>
      <w:r w:rsidRPr="008F50A1">
        <w:rPr>
          <w:rFonts w:eastAsia="NewBaskervilleC-Roman"/>
          <w:szCs w:val="24"/>
        </w:rPr>
        <w:t xml:space="preserve">в общем объеме производства по всем ВЭД экономики региона </w:t>
      </w:r>
      <m:oMath>
        <m:r>
          <w:rPr>
            <w:rFonts w:ascii="Cambria Math" w:eastAsia="NewBaskervilleC-Roman" w:hAnsi="Cambria Math"/>
            <w:szCs w:val="24"/>
          </w:rPr>
          <m:t>k</m:t>
        </m:r>
      </m:oMath>
      <w:r w:rsidRPr="008F50A1">
        <w:rPr>
          <w:rFonts w:eastAsia="NewBaskervilleC-Roman"/>
          <w:i/>
          <w:iCs/>
          <w:szCs w:val="24"/>
        </w:rPr>
        <w:t xml:space="preserve"> </w:t>
      </w:r>
      <w:r w:rsidRPr="008F50A1">
        <w:rPr>
          <w:rFonts w:eastAsia="NewBaskervilleC-Roman"/>
          <w:szCs w:val="24"/>
        </w:rPr>
        <w:t xml:space="preserve">к доле производства по ВЭД </w:t>
      </w:r>
      <m:oMath>
        <m:r>
          <w:rPr>
            <w:rFonts w:ascii="Cambria Math" w:eastAsia="NewBaskervilleC-Roman" w:hAnsi="Cambria Math"/>
            <w:szCs w:val="24"/>
          </w:rPr>
          <m:t>j</m:t>
        </m:r>
      </m:oMath>
      <w:r w:rsidRPr="008F50A1">
        <w:rPr>
          <w:rFonts w:eastAsia="NewBaskervilleC-Roman"/>
          <w:iCs/>
          <w:szCs w:val="24"/>
        </w:rPr>
        <w:t xml:space="preserve"> всех регионов в объеме производства по всем ВЭД экономик всех регионов</w:t>
      </w:r>
      <w:r w:rsidRPr="008F50A1">
        <w:rPr>
          <w:rFonts w:eastAsia="NewBaskervilleC-Roman"/>
          <w:szCs w:val="24"/>
        </w:rPr>
        <w:t>. В соответствии с работой (</w:t>
      </w:r>
      <w:r w:rsidRPr="008F50A1">
        <w:rPr>
          <w:bCs/>
          <w:szCs w:val="24"/>
          <w:lang w:val="en-US"/>
        </w:rPr>
        <w:t>Hausmann</w:t>
      </w:r>
      <w:r w:rsidRPr="008F50A1">
        <w:rPr>
          <w:bCs/>
          <w:szCs w:val="24"/>
        </w:rPr>
        <w:t xml:space="preserve">, </w:t>
      </w:r>
      <w:r w:rsidRPr="008F50A1">
        <w:rPr>
          <w:bCs/>
          <w:szCs w:val="24"/>
          <w:lang w:val="en-US"/>
        </w:rPr>
        <w:t>Klinger</w:t>
      </w:r>
      <w:r w:rsidRPr="008F50A1">
        <w:rPr>
          <w:bCs/>
          <w:szCs w:val="24"/>
        </w:rPr>
        <w:t xml:space="preserve">, </w:t>
      </w:r>
      <w:r w:rsidRPr="008F50A1">
        <w:rPr>
          <w:rFonts w:eastAsia="NewBaskervilleC-Roman"/>
          <w:szCs w:val="24"/>
        </w:rPr>
        <w:t xml:space="preserve">2006), для выявления сравнительных преимуществ в экономиках используется показатель </w:t>
      </w:r>
      <m:oMath>
        <m:sSub>
          <m:sSubPr>
            <m:ctrlPr>
              <w:rPr>
                <w:rFonts w:ascii="Cambria Math" w:eastAsia="NewBaskervilleC-Roman" w:hAnsi="Cambria Math"/>
                <w:i/>
                <w:szCs w:val="24"/>
              </w:rPr>
            </m:ctrlPr>
          </m:sSubPr>
          <m:e>
            <m:r>
              <w:rPr>
                <w:rFonts w:ascii="Cambria Math" w:eastAsia="NewBaskervilleC-Roman" w:hAnsi="Cambria Math"/>
                <w:szCs w:val="24"/>
                <w:lang w:val="en-US"/>
              </w:rPr>
              <m:t>RCA</m:t>
            </m:r>
          </m:e>
          <m:sub>
            <m:r>
              <w:rPr>
                <w:rFonts w:ascii="Cambria Math" w:eastAsia="NewBaskervilleC-Roman" w:hAnsi="Cambria Math"/>
                <w:szCs w:val="24"/>
              </w:rPr>
              <m:t>kj</m:t>
            </m:r>
          </m:sub>
        </m:sSub>
      </m:oMath>
      <w:r w:rsidRPr="008F50A1">
        <w:rPr>
          <w:rFonts w:eastAsia="NewBaskervilleC-Roman"/>
          <w:szCs w:val="24"/>
        </w:rPr>
        <w:t xml:space="preserve"> для которого проверяется условие типа ограничения снизу. А именно, если значение </w:t>
      </w:r>
      <m:oMath>
        <m:sSub>
          <m:sSubPr>
            <m:ctrlPr>
              <w:rPr>
                <w:rFonts w:ascii="Cambria Math" w:eastAsia="NewBaskervilleC-Roman" w:hAnsi="Cambria Math"/>
                <w:i/>
                <w:szCs w:val="24"/>
              </w:rPr>
            </m:ctrlPr>
          </m:sSubPr>
          <m:e>
            <m:r>
              <w:rPr>
                <w:rFonts w:ascii="Cambria Math" w:eastAsia="NewBaskervilleC-Roman" w:hAnsi="Cambria Math"/>
                <w:szCs w:val="24"/>
                <w:lang w:val="en-US"/>
              </w:rPr>
              <m:t>RCA</m:t>
            </m:r>
          </m:e>
          <m:sub>
            <m:r>
              <w:rPr>
                <w:rFonts w:ascii="Cambria Math" w:eastAsia="NewBaskervilleC-Roman" w:hAnsi="Cambria Math"/>
                <w:szCs w:val="24"/>
              </w:rPr>
              <m:t>kj</m:t>
            </m:r>
          </m:sub>
        </m:sSub>
      </m:oMath>
      <w:r w:rsidRPr="008F50A1">
        <w:rPr>
          <w:rFonts w:eastAsia="NewBaskervilleC-Roman"/>
          <w:szCs w:val="24"/>
        </w:rPr>
        <w:t xml:space="preserve"> превышает единицу, то считается, что экономика региона </w:t>
      </w:r>
      <m:oMath>
        <m:r>
          <w:rPr>
            <w:rFonts w:ascii="Cambria Math" w:eastAsia="NewBaskervilleC-Roman" w:hAnsi="Cambria Math"/>
            <w:szCs w:val="24"/>
          </w:rPr>
          <m:t>k</m:t>
        </m:r>
      </m:oMath>
      <w:r w:rsidRPr="008F50A1">
        <w:rPr>
          <w:rFonts w:eastAsia="NewBaskervilleC-Roman"/>
          <w:szCs w:val="24"/>
        </w:rPr>
        <w:t xml:space="preserve"> обладает выявленными сравнительными преимуществами в выпуске продукции по ВЭД </w:t>
      </w:r>
      <m:oMath>
        <m:r>
          <w:rPr>
            <w:rFonts w:ascii="Cambria Math" w:eastAsia="NewBaskervilleC-Roman" w:hAnsi="Cambria Math"/>
            <w:szCs w:val="24"/>
          </w:rPr>
          <m:t>j</m:t>
        </m:r>
      </m:oMath>
      <w:r w:rsidRPr="008F50A1">
        <w:rPr>
          <w:rFonts w:eastAsia="NewBaskervilleC-Roman"/>
          <w:szCs w:val="24"/>
        </w:rPr>
        <w:t>; в противном случае — выявленных сравнительных преимуществ не существует:</w:t>
      </w:r>
    </w:p>
    <w:p w:rsidR="008F50A1" w:rsidRPr="008F50A1" w:rsidRDefault="008F50A1" w:rsidP="008F50A1">
      <w:pPr>
        <w:pStyle w:val="MTDisplayEquation"/>
        <w:spacing w:line="240" w:lineRule="auto"/>
        <w:rPr>
          <w:rFonts w:ascii="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kj</m:t>
              </m:r>
            </m:sub>
          </m:sSub>
          <m:r>
            <w:rPr>
              <w:rFonts w:ascii="Cambria Math" w:hAnsi="Cambria Math"/>
              <w:sz w:val="24"/>
              <w:szCs w:val="24"/>
            </w:rPr>
            <m:t>=</m:t>
          </m:r>
          <m:d>
            <m:dPr>
              <m:begChr m:val="{"/>
              <m:endChr m:val=""/>
              <m:ctrlPr>
                <w:rPr>
                  <w:rFonts w:ascii="Cambria Math" w:hAnsi="Cambria Math"/>
                  <w:i/>
                  <w:sz w:val="24"/>
                  <w:szCs w:val="24"/>
                </w:rPr>
              </m:ctrlPr>
            </m:dPr>
            <m:e>
              <m:eqArr>
                <m:eqArrPr>
                  <m:ctrlPr>
                    <w:rPr>
                      <w:rFonts w:ascii="Cambria Math" w:hAnsi="Cambria Math"/>
                      <w:i/>
                      <w:sz w:val="24"/>
                      <w:szCs w:val="24"/>
                    </w:rPr>
                  </m:ctrlPr>
                </m:eqArrPr>
                <m:e>
                  <m:r>
                    <w:rPr>
                      <w:rFonts w:ascii="Cambria Math" w:hAnsi="Cambria Math"/>
                      <w:sz w:val="24"/>
                      <w:szCs w:val="24"/>
                    </w:rPr>
                    <m:t xml:space="preserve">1,  если </m:t>
                  </m:r>
                  <m:sSub>
                    <m:sSubPr>
                      <m:ctrlPr>
                        <w:rPr>
                          <w:rFonts w:ascii="Cambria Math" w:eastAsiaTheme="minorHAnsi" w:hAnsi="Cambria Math"/>
                          <w:i/>
                          <w:sz w:val="24"/>
                          <w:szCs w:val="24"/>
                        </w:rPr>
                      </m:ctrlPr>
                    </m:sSubPr>
                    <m:e>
                      <m:r>
                        <w:rPr>
                          <w:rFonts w:ascii="Cambria Math" w:hAnsi="Cambria Math"/>
                          <w:sz w:val="24"/>
                          <w:szCs w:val="24"/>
                        </w:rPr>
                        <m:t>RCA</m:t>
                      </m:r>
                    </m:e>
                    <m:sub>
                      <m:r>
                        <w:rPr>
                          <w:rFonts w:ascii="Cambria Math" w:hAnsi="Cambria Math"/>
                          <w:sz w:val="24"/>
                          <w:szCs w:val="24"/>
                        </w:rPr>
                        <m:t>kj</m:t>
                      </m:r>
                    </m:sub>
                  </m:sSub>
                  <m:r>
                    <m:rPr>
                      <m:sty m:val="p"/>
                    </m:rPr>
                    <w:rPr>
                      <w:rFonts w:ascii="Cambria Math" w:hAnsi="Cambria Math"/>
                      <w:sz w:val="24"/>
                      <w:szCs w:val="24"/>
                    </w:rPr>
                    <m:t xml:space="preserve"> ≥1</m:t>
                  </m:r>
                  <m:r>
                    <w:rPr>
                      <w:rFonts w:ascii="Cambria Math" w:hAnsi="Cambria Math"/>
                      <w:sz w:val="24"/>
                      <w:szCs w:val="24"/>
                    </w:rPr>
                    <m:t>;</m:t>
                  </m:r>
                  <m:ctrlPr>
                    <w:rPr>
                      <w:rFonts w:ascii="Cambria Math" w:hAnsi="Cambria Math"/>
                      <w:i/>
                      <w:sz w:val="24"/>
                      <w:szCs w:val="24"/>
                      <w:lang w:val="en-US"/>
                    </w:rPr>
                  </m:ctrlPr>
                </m:e>
                <m:e>
                  <m:r>
                    <w:rPr>
                      <w:rFonts w:ascii="Cambria Math" w:hAnsi="Cambria Math"/>
                      <w:sz w:val="24"/>
                      <w:szCs w:val="24"/>
                    </w:rPr>
                    <m:t xml:space="preserve">0,  если </m:t>
                  </m:r>
                  <m:sSub>
                    <m:sSubPr>
                      <m:ctrlPr>
                        <w:rPr>
                          <w:rFonts w:ascii="Cambria Math" w:eastAsiaTheme="minorHAnsi" w:hAnsi="Cambria Math"/>
                          <w:i/>
                          <w:sz w:val="24"/>
                          <w:szCs w:val="24"/>
                        </w:rPr>
                      </m:ctrlPr>
                    </m:sSubPr>
                    <m:e>
                      <m:r>
                        <w:rPr>
                          <w:rFonts w:ascii="Cambria Math" w:hAnsi="Cambria Math"/>
                          <w:sz w:val="24"/>
                          <w:szCs w:val="24"/>
                        </w:rPr>
                        <m:t>RCA</m:t>
                      </m:r>
                    </m:e>
                    <m:sub>
                      <m:r>
                        <w:rPr>
                          <w:rFonts w:ascii="Cambria Math" w:hAnsi="Cambria Math"/>
                          <w:sz w:val="24"/>
                          <w:szCs w:val="24"/>
                        </w:rPr>
                        <m:t>kj</m:t>
                      </m:r>
                    </m:sub>
                  </m:sSub>
                  <m:r>
                    <m:rPr>
                      <m:sty m:val="p"/>
                    </m:rPr>
                    <w:rPr>
                      <w:rFonts w:ascii="Cambria Math" w:hAnsi="Cambria Math"/>
                      <w:sz w:val="24"/>
                      <w:szCs w:val="24"/>
                    </w:rPr>
                    <m:t xml:space="preserve"> &lt;1.</m:t>
                  </m:r>
                  <m:r>
                    <w:rPr>
                      <w:rFonts w:ascii="Cambria Math" w:hAnsi="Cambria Math"/>
                      <w:sz w:val="24"/>
                      <w:szCs w:val="24"/>
                    </w:rPr>
                    <m:t xml:space="preserve">  </m:t>
                  </m:r>
                  <m:ctrlPr>
                    <w:rPr>
                      <w:rFonts w:ascii="Cambria Math" w:hAnsi="Cambria Math"/>
                      <w:i/>
                      <w:sz w:val="24"/>
                      <w:szCs w:val="24"/>
                      <w:lang w:val="en-US"/>
                    </w:rPr>
                  </m:ctrlPr>
                </m:e>
              </m:eqArr>
            </m:e>
          </m:d>
        </m:oMath>
      </m:oMathPara>
    </w:p>
    <w:p w:rsidR="008F50A1" w:rsidRPr="008F50A1" w:rsidRDefault="008F50A1" w:rsidP="008F50A1">
      <w:pPr>
        <w:spacing w:line="240" w:lineRule="auto"/>
        <w:ind w:firstLine="709"/>
        <w:contextualSpacing/>
        <w:rPr>
          <w:rFonts w:eastAsia="Times New Roman"/>
          <w:iCs/>
          <w:szCs w:val="24"/>
        </w:rPr>
      </w:pPr>
      <w:r w:rsidRPr="008F50A1">
        <w:rPr>
          <w:rFonts w:eastAsia="NewBaskervilleC-Roman"/>
          <w:szCs w:val="24"/>
        </w:rPr>
        <w:t xml:space="preserve">Матрица </w:t>
      </w:r>
      <m:oMath>
        <m:r>
          <w:rPr>
            <w:rFonts w:ascii="Cambria Math" w:eastAsia="NewBaskervilleC-Roman" w:hAnsi="Cambria Math"/>
            <w:szCs w:val="24"/>
          </w:rPr>
          <m:t>A=</m:t>
        </m:r>
        <m:d>
          <m:dPr>
            <m:ctrlPr>
              <w:rPr>
                <w:rFonts w:ascii="Cambria Math" w:eastAsia="NewBaskervilleC-Roman" w:hAnsi="Cambria Math"/>
                <w:i/>
                <w:szCs w:val="24"/>
              </w:rPr>
            </m:ctrlPr>
          </m:dPr>
          <m:e>
            <m:sSub>
              <m:sSubPr>
                <m:ctrlPr>
                  <w:rPr>
                    <w:rFonts w:ascii="Cambria Math" w:eastAsia="NewBaskervilleC-Roman" w:hAnsi="Cambria Math"/>
                    <w:i/>
                    <w:szCs w:val="24"/>
                  </w:rPr>
                </m:ctrlPr>
              </m:sSubPr>
              <m:e>
                <m:r>
                  <w:rPr>
                    <w:rFonts w:ascii="Cambria Math" w:eastAsia="NewBaskervilleC-Roman" w:hAnsi="Cambria Math"/>
                    <w:szCs w:val="24"/>
                  </w:rPr>
                  <m:t>a</m:t>
                </m:r>
              </m:e>
              <m:sub>
                <m:r>
                  <w:rPr>
                    <w:rFonts w:ascii="Cambria Math" w:eastAsia="NewBaskervilleC-Roman" w:hAnsi="Cambria Math"/>
                    <w:szCs w:val="24"/>
                  </w:rPr>
                  <m:t>kj</m:t>
                </m:r>
              </m:sub>
            </m:sSub>
          </m:e>
        </m:d>
      </m:oMath>
      <w:r w:rsidRPr="008F50A1">
        <w:rPr>
          <w:rFonts w:eastAsia="NewBaskervilleC-Roman"/>
          <w:szCs w:val="24"/>
        </w:rPr>
        <w:t xml:space="preserve"> содержит данные о ВЭД, которые в разных регионах развиты на уровне выявленных сравнительных преимуществ, определенных при помощи выражения (1). Строки этой матрицы соответствуют регионам, столбцы — ВЭД. </w:t>
      </w:r>
      <w:r w:rsidRPr="008F50A1">
        <w:rPr>
          <w:iCs/>
          <w:szCs w:val="24"/>
        </w:rPr>
        <w:t xml:space="preserve">Вектор </w:t>
      </w:r>
      <m:oMath>
        <m:d>
          <m:dPr>
            <m:ctrlPr>
              <w:rPr>
                <w:rFonts w:ascii="Cambria Math" w:hAnsi="Cambria Math"/>
                <w:i/>
                <w:szCs w:val="24"/>
              </w:rPr>
            </m:ctrlPr>
          </m:dPr>
          <m:e>
            <m:sSub>
              <m:sSubPr>
                <m:ctrlPr>
                  <w:rPr>
                    <w:rFonts w:ascii="Cambria Math" w:hAnsi="Cambria Math"/>
                    <w:i/>
                    <w:iCs/>
                    <w:szCs w:val="24"/>
                    <w:lang w:val="en-US"/>
                  </w:rPr>
                </m:ctrlPr>
              </m:sSubPr>
              <m:e>
                <m:r>
                  <w:rPr>
                    <w:rFonts w:ascii="Cambria Math" w:hAnsi="Cambria Math"/>
                    <w:szCs w:val="24"/>
                    <w:lang w:val="en-US"/>
                  </w:rPr>
                  <m:t>a</m:t>
                </m:r>
              </m:e>
              <m:sub>
                <m:r>
                  <w:rPr>
                    <w:rFonts w:ascii="Cambria Math" w:hAnsi="Cambria Math"/>
                    <w:szCs w:val="24"/>
                    <w:lang w:val="en-US"/>
                  </w:rPr>
                  <m:t>k</m:t>
                </m:r>
                <m:sSub>
                  <m:sSubPr>
                    <m:ctrlPr>
                      <w:rPr>
                        <w:rFonts w:ascii="Cambria Math" w:eastAsiaTheme="minorHAnsi" w:hAnsi="Cambria Math"/>
                        <w:i/>
                        <w:szCs w:val="24"/>
                        <w:lang w:val="en-US" w:eastAsia="en-US"/>
                      </w:rPr>
                    </m:ctrlPr>
                  </m:sSubPr>
                  <m:e>
                    <m:r>
                      <w:rPr>
                        <w:rFonts w:ascii="Cambria Math" w:hAnsi="Cambria Math"/>
                        <w:szCs w:val="24"/>
                        <w:lang w:val="en-US"/>
                      </w:rPr>
                      <m:t>j</m:t>
                    </m:r>
                  </m:e>
                  <m:sub>
                    <m:r>
                      <w:rPr>
                        <w:rFonts w:ascii="Cambria Math" w:hAnsi="Cambria Math"/>
                        <w:szCs w:val="24"/>
                      </w:rPr>
                      <m:t>1</m:t>
                    </m:r>
                  </m:sub>
                </m:sSub>
              </m:sub>
            </m:sSub>
            <m:r>
              <w:rPr>
                <w:rFonts w:ascii="Cambria Math" w:hAnsi="Cambria Math"/>
                <w:szCs w:val="24"/>
              </w:rPr>
              <m:t>,⋯</m:t>
            </m:r>
            <m:r>
              <w:rPr>
                <w:rFonts w:ascii="Cambria Math" w:eastAsiaTheme="minorEastAsia" w:hAnsi="Cambria Math"/>
                <w:szCs w:val="24"/>
              </w:rPr>
              <m:t>,</m:t>
            </m:r>
            <m:sSub>
              <m:sSubPr>
                <m:ctrlPr>
                  <w:rPr>
                    <w:rFonts w:ascii="Cambria Math" w:eastAsiaTheme="minorEastAsia" w:hAnsi="Cambria Math"/>
                    <w:i/>
                    <w:iCs/>
                    <w:szCs w:val="24"/>
                  </w:rPr>
                </m:ctrlPr>
              </m:sSubPr>
              <m:e>
                <m:r>
                  <w:rPr>
                    <w:rFonts w:ascii="Cambria Math" w:eastAsiaTheme="minorEastAsia" w:hAnsi="Cambria Math"/>
                    <w:szCs w:val="24"/>
                  </w:rPr>
                  <m:t>a</m:t>
                </m:r>
              </m:e>
              <m:sub>
                <m:r>
                  <w:rPr>
                    <w:rFonts w:ascii="Cambria Math" w:eastAsiaTheme="minorEastAsia" w:hAnsi="Cambria Math"/>
                    <w:szCs w:val="24"/>
                  </w:rPr>
                  <m:t>k</m:t>
                </m:r>
                <m:sSub>
                  <m:sSubPr>
                    <m:ctrlPr>
                      <w:rPr>
                        <w:rFonts w:ascii="Cambria Math" w:eastAsiaTheme="minorHAnsi" w:hAnsi="Cambria Math"/>
                        <w:i/>
                        <w:szCs w:val="24"/>
                        <w:lang w:val="en-US" w:eastAsia="en-US"/>
                      </w:rPr>
                    </m:ctrlPr>
                  </m:sSubPr>
                  <m:e>
                    <m:r>
                      <w:rPr>
                        <w:rFonts w:ascii="Cambria Math" w:hAnsi="Cambria Math"/>
                        <w:szCs w:val="24"/>
                        <w:lang w:val="en-US"/>
                      </w:rPr>
                      <m:t>j</m:t>
                    </m:r>
                  </m:e>
                  <m:sub>
                    <m:r>
                      <w:rPr>
                        <w:rFonts w:ascii="Cambria Math" w:hAnsi="Cambria Math"/>
                        <w:szCs w:val="24"/>
                      </w:rPr>
                      <m:t>m</m:t>
                    </m:r>
                  </m:sub>
                </m:sSub>
              </m:sub>
            </m:sSub>
            <m:ctrlPr>
              <w:rPr>
                <w:rFonts w:ascii="Cambria Math" w:eastAsiaTheme="minorEastAsia" w:hAnsi="Cambria Math"/>
                <w:i/>
                <w:szCs w:val="24"/>
              </w:rPr>
            </m:ctrlPr>
          </m:e>
        </m:d>
      </m:oMath>
      <w:r w:rsidRPr="008F50A1">
        <w:rPr>
          <w:iCs/>
          <w:szCs w:val="24"/>
        </w:rPr>
        <w:t xml:space="preserve"> будем назвать </w:t>
      </w:r>
      <w:r w:rsidRPr="008F50A1">
        <w:rPr>
          <w:rFonts w:eastAsia="Times New Roman"/>
          <w:i/>
          <w:iCs/>
          <w:szCs w:val="24"/>
        </w:rPr>
        <w:t>структурой сильных ВЭД</w:t>
      </w:r>
      <w:r w:rsidRPr="008F50A1">
        <w:rPr>
          <w:rFonts w:eastAsia="Times New Roman"/>
          <w:iCs/>
          <w:szCs w:val="24"/>
        </w:rPr>
        <w:t xml:space="preserve"> экономики региона </w:t>
      </w:r>
      <m:oMath>
        <m:r>
          <w:rPr>
            <w:rFonts w:ascii="Cambria Math" w:eastAsia="Times New Roman" w:hAnsi="Cambria Math"/>
            <w:szCs w:val="24"/>
          </w:rPr>
          <m:t>k</m:t>
        </m:r>
      </m:oMath>
      <w:r w:rsidRPr="008F50A1">
        <w:rPr>
          <w:rFonts w:eastAsia="Times New Roman"/>
          <w:iCs/>
          <w:szCs w:val="24"/>
        </w:rPr>
        <w:t xml:space="preserve">. </w:t>
      </w:r>
    </w:p>
    <w:p w:rsidR="008F50A1" w:rsidRPr="008F50A1" w:rsidRDefault="008F50A1" w:rsidP="008F50A1">
      <w:pPr>
        <w:spacing w:line="240" w:lineRule="auto"/>
        <w:ind w:firstLine="709"/>
        <w:rPr>
          <w:szCs w:val="24"/>
        </w:rPr>
      </w:pPr>
      <w:r w:rsidRPr="008F50A1">
        <w:rPr>
          <w:b/>
          <w:iCs/>
          <w:szCs w:val="24"/>
        </w:rPr>
        <w:t>Экономическая сложность.</w:t>
      </w:r>
      <w:r w:rsidRPr="008F50A1">
        <w:rPr>
          <w:iCs/>
          <w:szCs w:val="24"/>
        </w:rPr>
        <w:t xml:space="preserve"> Понятие «</w:t>
      </w:r>
      <w:r w:rsidRPr="008F50A1">
        <w:rPr>
          <w:b/>
          <w:i/>
          <w:iCs/>
          <w:szCs w:val="24"/>
        </w:rPr>
        <w:t>экономическая сложность</w:t>
      </w:r>
      <w:r w:rsidRPr="008F50A1">
        <w:rPr>
          <w:b/>
          <w:i/>
          <w:szCs w:val="24"/>
        </w:rPr>
        <w:t xml:space="preserve"> региона</w:t>
      </w:r>
      <w:r w:rsidRPr="008F50A1">
        <w:rPr>
          <w:szCs w:val="24"/>
        </w:rPr>
        <w:t xml:space="preserve">» рассматривается как характеристика, отражающая уровень его технологического развития, который определяется сильными ВЭД в структуре его экономики. Аналогично экономическая сложность ВЭД зависит от уровня технологического развития тех регионов, в структуре которых этот ВЭД присутствует в качестве сильного. Экономическая сложность является латентной характеристикой региона </w:t>
      </w:r>
      <m:oMath>
        <m:sSub>
          <m:sSubPr>
            <m:ctrlPr>
              <w:rPr>
                <w:rFonts w:ascii="Cambria Math" w:eastAsia="NewBaskervilleC-Roman" w:hAnsi="Cambria Math"/>
                <w:i/>
                <w:szCs w:val="24"/>
              </w:rPr>
            </m:ctrlPr>
          </m:sSubPr>
          <m:e>
            <m:r>
              <w:rPr>
                <w:rFonts w:ascii="Cambria Math" w:eastAsia="NewBaskervilleC-Roman" w:hAnsi="Cambria Math"/>
                <w:szCs w:val="24"/>
                <w:lang w:val="en-US"/>
              </w:rPr>
              <m:t>ECI</m:t>
            </m:r>
          </m:e>
          <m:sub>
            <m:r>
              <w:rPr>
                <w:rFonts w:ascii="Cambria Math" w:eastAsia="NewBaskervilleC-Roman" w:hAnsi="Cambria Math"/>
                <w:szCs w:val="24"/>
              </w:rPr>
              <m:t>k</m:t>
            </m:r>
          </m:sub>
        </m:sSub>
      </m:oMath>
      <w:r w:rsidRPr="008F50A1">
        <w:rPr>
          <w:szCs w:val="24"/>
        </w:rPr>
        <w:t xml:space="preserve">, или ВЭД </w:t>
      </w:r>
      <m:oMath>
        <m:sSub>
          <m:sSubPr>
            <m:ctrlPr>
              <w:rPr>
                <w:rFonts w:ascii="Cambria Math" w:eastAsia="NewBaskervilleC-Roman" w:hAnsi="Cambria Math"/>
                <w:i/>
                <w:szCs w:val="24"/>
              </w:rPr>
            </m:ctrlPr>
          </m:sSubPr>
          <m:e>
            <m:r>
              <w:rPr>
                <w:rFonts w:ascii="Cambria Math" w:eastAsia="NewBaskervilleC-Roman" w:hAnsi="Cambria Math"/>
                <w:szCs w:val="24"/>
                <w:lang w:val="en-US"/>
              </w:rPr>
              <m:t>ECI</m:t>
            </m:r>
          </m:e>
          <m:sub>
            <m:r>
              <w:rPr>
                <w:rFonts w:ascii="Cambria Math" w:eastAsia="NewBaskervilleC-Roman" w:hAnsi="Cambria Math"/>
                <w:szCs w:val="24"/>
              </w:rPr>
              <m:t>j</m:t>
            </m:r>
          </m:sub>
        </m:sSub>
      </m:oMath>
      <w:r w:rsidRPr="008F50A1">
        <w:rPr>
          <w:szCs w:val="24"/>
        </w:rPr>
        <w:t>. Оценки экономической сложности обладают следующими свойствами: экономическая сложность региона про</w:t>
      </w:r>
      <w:r w:rsidR="007E52DE">
        <w:rPr>
          <w:szCs w:val="24"/>
        </w:rPr>
        <w:t>п</w:t>
      </w:r>
      <w:r w:rsidRPr="008F50A1">
        <w:rPr>
          <w:szCs w:val="24"/>
        </w:rPr>
        <w:t>орциональна среднему уровню экономической сложности сильных ВЭД в структуре его экономики:</w:t>
      </w:r>
    </w:p>
    <w:p w:rsidR="008F50A1" w:rsidRPr="008F50A1" w:rsidRDefault="008F50A1" w:rsidP="008F50A1">
      <w:pPr>
        <w:pStyle w:val="1"/>
        <w:tabs>
          <w:tab w:val="center" w:pos="4535"/>
          <w:tab w:val="left" w:pos="8504"/>
        </w:tabs>
        <w:spacing w:line="240" w:lineRule="auto"/>
        <w:ind w:left="0" w:firstLine="709"/>
        <w:jc w:val="center"/>
        <w:rPr>
          <w:rFonts w:ascii="Times New Roman" w:hAnsi="Times New Roman"/>
          <w:szCs w:val="24"/>
        </w:rPr>
      </w:pPr>
      <w:r w:rsidRPr="008F50A1">
        <w:rPr>
          <w:rFonts w:ascii="Times New Roman" w:hAnsi="Times New Roman"/>
          <w:szCs w:val="24"/>
        </w:rPr>
        <w:tab/>
      </w:r>
      <m:oMath>
        <m:sSub>
          <m:sSubPr>
            <m:ctrlPr>
              <w:rPr>
                <w:rFonts w:ascii="Cambria Math" w:hAnsi="Cambria Math"/>
                <w:i/>
                <w:szCs w:val="24"/>
              </w:rPr>
            </m:ctrlPr>
          </m:sSubPr>
          <m:e>
            <m:r>
              <w:rPr>
                <w:rFonts w:ascii="Cambria Math" w:hAnsi="Cambria Math"/>
                <w:szCs w:val="24"/>
              </w:rPr>
              <m:t>ECI</m:t>
            </m:r>
          </m:e>
          <m:sub>
            <m:r>
              <w:rPr>
                <w:rFonts w:ascii="Cambria Math" w:hAnsi="Cambria Math"/>
                <w:szCs w:val="24"/>
              </w:rPr>
              <m:t>k</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1</m:t>
            </m:r>
          </m:sub>
        </m:sSub>
        <m:nary>
          <m:naryPr>
            <m:chr m:val="∑"/>
            <m:limLoc m:val="subSup"/>
            <m:supHide m:val="1"/>
            <m:ctrlPr>
              <w:rPr>
                <w:rFonts w:ascii="Cambria Math" w:hAnsi="Cambria Math"/>
                <w:i/>
                <w:szCs w:val="24"/>
              </w:rPr>
            </m:ctrlPr>
          </m:naryPr>
          <m:sub>
            <m:r>
              <w:rPr>
                <w:rFonts w:ascii="Cambria Math" w:hAnsi="Cambria Math"/>
                <w:szCs w:val="24"/>
              </w:rPr>
              <m:t>j</m:t>
            </m:r>
          </m:sub>
          <m:sup/>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kj</m:t>
                </m:r>
              </m:sub>
            </m:sSub>
            <m:sSub>
              <m:sSubPr>
                <m:ctrlPr>
                  <w:rPr>
                    <w:rFonts w:ascii="Cambria Math" w:hAnsi="Cambria Math"/>
                    <w:i/>
                    <w:szCs w:val="24"/>
                  </w:rPr>
                </m:ctrlPr>
              </m:sSubPr>
              <m:e>
                <m:r>
                  <w:rPr>
                    <w:rFonts w:ascii="Cambria Math" w:hAnsi="Cambria Math"/>
                    <w:szCs w:val="24"/>
                  </w:rPr>
                  <m:t>ECI</m:t>
                </m:r>
              </m:e>
              <m:sub>
                <m:r>
                  <w:rPr>
                    <w:rFonts w:ascii="Cambria Math" w:hAnsi="Cambria Math"/>
                    <w:szCs w:val="24"/>
                  </w:rPr>
                  <m:t>j</m:t>
                </m:r>
              </m:sub>
            </m:sSub>
          </m:e>
        </m:nary>
      </m:oMath>
      <w:r w:rsidRPr="008F50A1">
        <w:rPr>
          <w:rFonts w:ascii="Times New Roman" w:hAnsi="Times New Roman"/>
          <w:szCs w:val="24"/>
        </w:rPr>
        <w:t xml:space="preserve">, </w:t>
      </w:r>
      <m:oMath>
        <m:sSub>
          <m:sSubPr>
            <m:ctrlPr>
              <w:rPr>
                <w:rFonts w:ascii="Cambria Math" w:hAnsi="Cambria Math"/>
                <w:i/>
                <w:szCs w:val="24"/>
                <w:lang w:val="en-US"/>
              </w:rPr>
            </m:ctrlPr>
          </m:sSubPr>
          <m:e>
            <m:r>
              <w:rPr>
                <w:rFonts w:ascii="Cambria Math" w:hAnsi="Cambria Math"/>
                <w:szCs w:val="24"/>
                <w:lang w:val="en-US"/>
              </w:rPr>
              <m:t>r</m:t>
            </m:r>
          </m:e>
          <m:sub>
            <m:r>
              <w:rPr>
                <w:rFonts w:ascii="Cambria Math" w:hAnsi="Cambria Math"/>
                <w:szCs w:val="24"/>
                <w:lang w:val="en-US"/>
              </w:rPr>
              <m:t>kj</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lang w:val="en-US"/>
              </w:rPr>
              <m:t>a</m:t>
            </m:r>
          </m:e>
          <m:sub>
            <m:r>
              <w:rPr>
                <w:rFonts w:ascii="Cambria Math" w:hAnsi="Cambria Math"/>
                <w:szCs w:val="24"/>
                <w:lang w:val="en-US"/>
              </w:rPr>
              <m:t>kj</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lang w:val="en-US"/>
              </w:rPr>
              <m:t>q</m:t>
            </m:r>
          </m:e>
          <m:sub>
            <m:r>
              <w:rPr>
                <w:rFonts w:ascii="Cambria Math" w:hAnsi="Cambria Math"/>
                <w:szCs w:val="24"/>
                <w:lang w:val="en-US"/>
              </w:rPr>
              <m:t>k</m:t>
            </m:r>
            <m:r>
              <w:rPr>
                <w:rFonts w:ascii="Cambria Math" w:hAnsi="Cambria Math"/>
                <w:szCs w:val="24"/>
              </w:rPr>
              <m:t>,0</m:t>
            </m:r>
          </m:sub>
        </m:sSub>
      </m:oMath>
      <w:r w:rsidRPr="008F50A1">
        <w:rPr>
          <w:rFonts w:ascii="Times New Roman" w:hAnsi="Times New Roman"/>
          <w:szCs w:val="24"/>
        </w:rPr>
        <w:t xml:space="preserve">, </w:t>
      </w:r>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k0</m:t>
            </m:r>
          </m:sub>
        </m:sSub>
        <m:r>
          <w:rPr>
            <w:rFonts w:ascii="Cambria Math" w:hAnsi="Cambria Math"/>
            <w:szCs w:val="24"/>
          </w:rPr>
          <m:t>=</m:t>
        </m:r>
        <m:nary>
          <m:naryPr>
            <m:chr m:val="∑"/>
            <m:limLoc m:val="subSup"/>
            <m:supHide m:val="1"/>
            <m:ctrlPr>
              <w:rPr>
                <w:rFonts w:ascii="Cambria Math" w:hAnsi="Cambria Math"/>
                <w:i/>
                <w:szCs w:val="24"/>
              </w:rPr>
            </m:ctrlPr>
          </m:naryPr>
          <m:sub>
            <m:r>
              <w:rPr>
                <w:rFonts w:ascii="Cambria Math" w:hAnsi="Cambria Math"/>
                <w:szCs w:val="24"/>
              </w:rPr>
              <m:t>j</m:t>
            </m:r>
          </m:sub>
          <m:sup/>
          <m:e>
            <m:sSub>
              <m:sSubPr>
                <m:ctrlPr>
                  <w:rPr>
                    <w:rFonts w:ascii="Cambria Math" w:hAnsi="Cambria Math"/>
                    <w:i/>
                    <w:szCs w:val="24"/>
                  </w:rPr>
                </m:ctrlPr>
              </m:sSubPr>
              <m:e>
                <m:r>
                  <w:rPr>
                    <w:rFonts w:ascii="Cambria Math" w:hAnsi="Cambria Math"/>
                    <w:szCs w:val="24"/>
                  </w:rPr>
                  <m:t>a</m:t>
                </m:r>
              </m:e>
              <m:sub>
                <m:r>
                  <w:rPr>
                    <w:rFonts w:ascii="Cambria Math" w:hAnsi="Cambria Math"/>
                    <w:szCs w:val="24"/>
                  </w:rPr>
                  <m:t>kj</m:t>
                </m:r>
              </m:sub>
            </m:sSub>
          </m:e>
        </m:nary>
      </m:oMath>
      <w:r w:rsidRPr="008F50A1">
        <w:rPr>
          <w:rFonts w:ascii="Times New Roman" w:hAnsi="Times New Roman"/>
          <w:szCs w:val="24"/>
        </w:rPr>
        <w:t>,</w:t>
      </w:r>
      <w:r w:rsidRPr="008F50A1">
        <w:rPr>
          <w:rFonts w:ascii="Times New Roman" w:hAnsi="Times New Roman"/>
          <w:szCs w:val="24"/>
        </w:rPr>
        <w:tab/>
        <w:t xml:space="preserve"> (2)</w:t>
      </w:r>
    </w:p>
    <w:p w:rsidR="008F50A1" w:rsidRPr="008F50A1" w:rsidRDefault="008F50A1" w:rsidP="008F50A1">
      <w:pPr>
        <w:spacing w:line="240" w:lineRule="auto"/>
        <w:ind w:firstLine="709"/>
        <w:rPr>
          <w:i/>
          <w:szCs w:val="24"/>
        </w:rPr>
      </w:pPr>
      <w:r w:rsidRPr="008F50A1">
        <w:rPr>
          <w:szCs w:val="24"/>
        </w:rPr>
        <w:t xml:space="preserve">где </w:t>
      </w:r>
      <m:oMath>
        <m:sSub>
          <m:sSubPr>
            <m:ctrlPr>
              <w:rPr>
                <w:rFonts w:ascii="Cambria Math" w:hAnsi="Cambria Math"/>
                <w:i/>
                <w:szCs w:val="24"/>
              </w:rPr>
            </m:ctrlPr>
          </m:sSubPr>
          <m:e>
            <m:r>
              <w:rPr>
                <w:rFonts w:ascii="Cambria Math" w:hAnsi="Cambria Math"/>
                <w:szCs w:val="24"/>
              </w:rPr>
              <m:t>a</m:t>
            </m:r>
          </m:e>
          <m:sub>
            <m:r>
              <w:rPr>
                <w:rFonts w:ascii="Cambria Math" w:hAnsi="Cambria Math"/>
                <w:szCs w:val="24"/>
              </w:rPr>
              <m:t>1</m:t>
            </m:r>
          </m:sub>
        </m:sSub>
      </m:oMath>
      <w:r w:rsidRPr="008F50A1">
        <w:rPr>
          <w:szCs w:val="24"/>
        </w:rPr>
        <w:t xml:space="preserve"> — положительная константа. </w:t>
      </w:r>
    </w:p>
    <w:p w:rsidR="008F50A1" w:rsidRPr="008F50A1" w:rsidRDefault="008F50A1" w:rsidP="008F50A1">
      <w:pPr>
        <w:pStyle w:val="1"/>
        <w:spacing w:line="240" w:lineRule="auto"/>
        <w:ind w:left="0" w:firstLine="709"/>
        <w:rPr>
          <w:rFonts w:ascii="Times New Roman" w:hAnsi="Times New Roman"/>
          <w:i/>
          <w:szCs w:val="24"/>
        </w:rPr>
      </w:pPr>
      <w:r w:rsidRPr="008F50A1">
        <w:rPr>
          <w:rFonts w:ascii="Times New Roman" w:hAnsi="Times New Roman"/>
          <w:szCs w:val="24"/>
        </w:rPr>
        <w:t xml:space="preserve">Экономическая сложность ВЭД пропорциональна среднему уровню экономической сложности регионов, в структуре экономик которых этот ВЭД является сильным: </w:t>
      </w:r>
    </w:p>
    <w:p w:rsidR="008F50A1" w:rsidRPr="008F50A1" w:rsidRDefault="008F50A1" w:rsidP="008F50A1">
      <w:pPr>
        <w:pStyle w:val="1"/>
        <w:tabs>
          <w:tab w:val="center" w:pos="4535"/>
          <w:tab w:val="left" w:pos="8504"/>
        </w:tabs>
        <w:spacing w:line="240" w:lineRule="auto"/>
        <w:ind w:left="0" w:firstLine="709"/>
        <w:jc w:val="center"/>
        <w:rPr>
          <w:rFonts w:ascii="Times New Roman" w:hAnsi="Times New Roman"/>
          <w:szCs w:val="24"/>
        </w:rPr>
      </w:pPr>
      <w:r w:rsidRPr="008F50A1">
        <w:rPr>
          <w:rFonts w:ascii="Times New Roman" w:hAnsi="Times New Roman"/>
          <w:szCs w:val="24"/>
        </w:rPr>
        <w:tab/>
      </w:r>
      <m:oMath>
        <m:sSub>
          <m:sSubPr>
            <m:ctrlPr>
              <w:rPr>
                <w:rFonts w:ascii="Cambria Math" w:hAnsi="Cambria Math"/>
                <w:i/>
                <w:szCs w:val="24"/>
              </w:rPr>
            </m:ctrlPr>
          </m:sSubPr>
          <m:e>
            <m:r>
              <w:rPr>
                <w:rFonts w:ascii="Cambria Math" w:hAnsi="Cambria Math"/>
                <w:szCs w:val="24"/>
              </w:rPr>
              <m:t>ECI</m:t>
            </m:r>
          </m:e>
          <m:sub>
            <m:r>
              <w:rPr>
                <w:rFonts w:ascii="Cambria Math" w:hAnsi="Cambria Math"/>
                <w:szCs w:val="24"/>
              </w:rPr>
              <m:t>j</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2</m:t>
            </m:r>
          </m:sub>
        </m:sSub>
        <m:nary>
          <m:naryPr>
            <m:chr m:val="∑"/>
            <m:limLoc m:val="subSup"/>
            <m:supHide m:val="1"/>
            <m:ctrlPr>
              <w:rPr>
                <w:rFonts w:ascii="Cambria Math" w:hAnsi="Cambria Math"/>
                <w:i/>
                <w:szCs w:val="24"/>
              </w:rPr>
            </m:ctrlPr>
          </m:naryPr>
          <m:sub>
            <m:r>
              <w:rPr>
                <w:rFonts w:ascii="Cambria Math" w:hAnsi="Cambria Math"/>
                <w:szCs w:val="24"/>
              </w:rPr>
              <m:t>k</m:t>
            </m:r>
          </m:sub>
          <m:sup/>
          <m:e>
            <m:sSubSup>
              <m:sSubSupPr>
                <m:ctrlPr>
                  <w:rPr>
                    <w:rFonts w:ascii="Cambria Math" w:hAnsi="Cambria Math"/>
                    <w:i/>
                    <w:szCs w:val="24"/>
                  </w:rPr>
                </m:ctrlPr>
              </m:sSubSupPr>
              <m:e>
                <m:r>
                  <w:rPr>
                    <w:rFonts w:ascii="Cambria Math" w:hAnsi="Cambria Math"/>
                    <w:szCs w:val="24"/>
                  </w:rPr>
                  <m:t>r</m:t>
                </m:r>
              </m:e>
              <m:sub>
                <m:r>
                  <w:rPr>
                    <w:rFonts w:ascii="Cambria Math" w:hAnsi="Cambria Math"/>
                    <w:szCs w:val="24"/>
                  </w:rPr>
                  <m:t>jk</m:t>
                </m:r>
              </m:sub>
              <m:sup>
                <m:r>
                  <w:rPr>
                    <w:rFonts w:ascii="Cambria Math" w:hAnsi="Cambria Math"/>
                    <w:szCs w:val="24"/>
                  </w:rPr>
                  <m:t>*</m:t>
                </m:r>
              </m:sup>
            </m:sSubSup>
            <m:sSub>
              <m:sSubPr>
                <m:ctrlPr>
                  <w:rPr>
                    <w:rFonts w:ascii="Cambria Math" w:hAnsi="Cambria Math"/>
                    <w:i/>
                    <w:szCs w:val="24"/>
                  </w:rPr>
                </m:ctrlPr>
              </m:sSubPr>
              <m:e>
                <m:r>
                  <w:rPr>
                    <w:rFonts w:ascii="Cambria Math" w:hAnsi="Cambria Math"/>
                    <w:szCs w:val="24"/>
                  </w:rPr>
                  <m:t>ECI</m:t>
                </m:r>
              </m:e>
              <m:sub>
                <m:r>
                  <w:rPr>
                    <w:rFonts w:ascii="Cambria Math" w:hAnsi="Cambria Math"/>
                    <w:szCs w:val="24"/>
                  </w:rPr>
                  <m:t>k</m:t>
                </m:r>
              </m:sub>
            </m:sSub>
          </m:e>
        </m:nary>
      </m:oMath>
      <w:r w:rsidRPr="008F50A1">
        <w:rPr>
          <w:rFonts w:ascii="Times New Roman" w:hAnsi="Times New Roman"/>
          <w:szCs w:val="24"/>
        </w:rPr>
        <w:t xml:space="preserve">, </w:t>
      </w:r>
      <m:oMath>
        <m:sSubSup>
          <m:sSubSupPr>
            <m:ctrlPr>
              <w:rPr>
                <w:rFonts w:ascii="Cambria Math" w:hAnsi="Cambria Math"/>
                <w:i/>
                <w:szCs w:val="24"/>
                <w:lang w:val="en-US"/>
              </w:rPr>
            </m:ctrlPr>
          </m:sSubSupPr>
          <m:e>
            <m:r>
              <w:rPr>
                <w:rFonts w:ascii="Cambria Math" w:hAnsi="Cambria Math"/>
                <w:szCs w:val="24"/>
                <w:lang w:val="en-US"/>
              </w:rPr>
              <m:t>r</m:t>
            </m:r>
          </m:e>
          <m:sub>
            <m:r>
              <w:rPr>
                <w:rFonts w:ascii="Cambria Math" w:hAnsi="Cambria Math"/>
                <w:szCs w:val="24"/>
                <w:lang w:val="en-US"/>
              </w:rPr>
              <m:t>jk</m:t>
            </m:r>
          </m:sub>
          <m:sup>
            <m:r>
              <w:rPr>
                <w:rFonts w:ascii="Cambria Math" w:hAnsi="Cambria Math"/>
                <w:szCs w:val="24"/>
              </w:rPr>
              <m:t>*</m:t>
            </m:r>
          </m:sup>
        </m:sSubSup>
        <m:r>
          <w:rPr>
            <w:rFonts w:ascii="Cambria Math" w:hAnsi="Cambria Math"/>
            <w:szCs w:val="24"/>
          </w:rPr>
          <m:t>=</m:t>
        </m:r>
        <m:sSub>
          <m:sSubPr>
            <m:ctrlPr>
              <w:rPr>
                <w:rFonts w:ascii="Cambria Math" w:hAnsi="Cambria Math"/>
                <w:i/>
                <w:szCs w:val="24"/>
                <w:lang w:val="en-US"/>
              </w:rPr>
            </m:ctrlPr>
          </m:sSubPr>
          <m:e>
            <m:r>
              <w:rPr>
                <w:rFonts w:ascii="Cambria Math" w:hAnsi="Cambria Math"/>
                <w:szCs w:val="24"/>
                <w:lang w:val="en-US"/>
              </w:rPr>
              <m:t>a</m:t>
            </m:r>
          </m:e>
          <m:sub>
            <m:r>
              <w:rPr>
                <w:rFonts w:ascii="Cambria Math" w:hAnsi="Cambria Math"/>
                <w:szCs w:val="24"/>
                <w:lang w:val="en-US"/>
              </w:rPr>
              <m:t>kj</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lang w:val="en-US"/>
              </w:rPr>
              <m:t>q</m:t>
            </m:r>
          </m:e>
          <m:sub>
            <m:r>
              <w:rPr>
                <w:rFonts w:ascii="Cambria Math" w:hAnsi="Cambria Math"/>
                <w:szCs w:val="24"/>
                <w:lang w:val="en-US"/>
              </w:rPr>
              <m:t>j</m:t>
            </m:r>
            <m:r>
              <w:rPr>
                <w:rFonts w:ascii="Cambria Math" w:hAnsi="Cambria Math"/>
                <w:szCs w:val="24"/>
              </w:rPr>
              <m:t>0</m:t>
            </m:r>
          </m:sub>
        </m:sSub>
      </m:oMath>
      <w:r w:rsidRPr="008F50A1">
        <w:rPr>
          <w:rFonts w:ascii="Times New Roman" w:hAnsi="Times New Roman"/>
          <w:szCs w:val="24"/>
        </w:rPr>
        <w:t xml:space="preserve">, </w:t>
      </w:r>
      <m:oMath>
        <m:sSub>
          <m:sSubPr>
            <m:ctrlPr>
              <w:rPr>
                <w:rFonts w:ascii="Cambria Math" w:hAnsi="Cambria Math"/>
                <w:i/>
                <w:szCs w:val="24"/>
              </w:rPr>
            </m:ctrlPr>
          </m:sSubPr>
          <m:e>
            <m:r>
              <w:rPr>
                <w:rFonts w:ascii="Cambria Math" w:hAnsi="Cambria Math"/>
                <w:szCs w:val="24"/>
              </w:rPr>
              <m:t>q</m:t>
            </m:r>
          </m:e>
          <m:sub>
            <m:r>
              <w:rPr>
                <w:rFonts w:ascii="Cambria Math" w:hAnsi="Cambria Math"/>
                <w:szCs w:val="24"/>
              </w:rPr>
              <m:t>j0</m:t>
            </m:r>
          </m:sub>
        </m:sSub>
        <m:r>
          <w:rPr>
            <w:rFonts w:ascii="Cambria Math" w:hAnsi="Cambria Math"/>
            <w:szCs w:val="24"/>
          </w:rPr>
          <m:t>=</m:t>
        </m:r>
        <m:nary>
          <m:naryPr>
            <m:chr m:val="∑"/>
            <m:limLoc m:val="subSup"/>
            <m:supHide m:val="1"/>
            <m:ctrlPr>
              <w:rPr>
                <w:rFonts w:ascii="Cambria Math" w:hAnsi="Cambria Math"/>
                <w:i/>
                <w:szCs w:val="24"/>
              </w:rPr>
            </m:ctrlPr>
          </m:naryPr>
          <m:sub>
            <m:r>
              <w:rPr>
                <w:rFonts w:ascii="Cambria Math" w:hAnsi="Cambria Math"/>
                <w:szCs w:val="24"/>
              </w:rPr>
              <m:t>k</m:t>
            </m:r>
          </m:sub>
          <m:sup/>
          <m:e>
            <m:sSub>
              <m:sSubPr>
                <m:ctrlPr>
                  <w:rPr>
                    <w:rFonts w:ascii="Cambria Math" w:hAnsi="Cambria Math"/>
                    <w:i/>
                    <w:szCs w:val="24"/>
                  </w:rPr>
                </m:ctrlPr>
              </m:sSubPr>
              <m:e>
                <m:r>
                  <w:rPr>
                    <w:rFonts w:ascii="Cambria Math" w:hAnsi="Cambria Math"/>
                    <w:szCs w:val="24"/>
                  </w:rPr>
                  <m:t>a</m:t>
                </m:r>
              </m:e>
              <m:sub>
                <m:r>
                  <w:rPr>
                    <w:rFonts w:ascii="Cambria Math" w:hAnsi="Cambria Math"/>
                    <w:szCs w:val="24"/>
                  </w:rPr>
                  <m:t>kj</m:t>
                </m:r>
              </m:sub>
            </m:sSub>
          </m:e>
        </m:nary>
      </m:oMath>
      <w:r w:rsidRPr="008F50A1">
        <w:rPr>
          <w:rFonts w:ascii="Times New Roman" w:hAnsi="Times New Roman"/>
          <w:szCs w:val="24"/>
        </w:rPr>
        <w:t>,</w:t>
      </w:r>
      <w:r w:rsidRPr="008F50A1">
        <w:rPr>
          <w:rFonts w:ascii="Times New Roman" w:hAnsi="Times New Roman"/>
          <w:szCs w:val="24"/>
        </w:rPr>
        <w:tab/>
        <w:t>(3)</w:t>
      </w:r>
    </w:p>
    <w:p w:rsidR="008F50A1" w:rsidRPr="008F50A1" w:rsidRDefault="008F50A1" w:rsidP="008F50A1">
      <w:pPr>
        <w:spacing w:line="240" w:lineRule="auto"/>
        <w:ind w:firstLine="709"/>
        <w:rPr>
          <w:szCs w:val="24"/>
        </w:rPr>
      </w:pPr>
      <w:r w:rsidRPr="008F50A1">
        <w:rPr>
          <w:szCs w:val="24"/>
        </w:rPr>
        <w:lastRenderedPageBreak/>
        <w:t xml:space="preserve">где </w:t>
      </w:r>
      <m:oMath>
        <m:sSub>
          <m:sSubPr>
            <m:ctrlPr>
              <w:rPr>
                <w:rFonts w:ascii="Cambria Math" w:hAnsi="Cambria Math"/>
                <w:i/>
                <w:szCs w:val="24"/>
              </w:rPr>
            </m:ctrlPr>
          </m:sSubPr>
          <m:e>
            <m:r>
              <w:rPr>
                <w:rFonts w:ascii="Cambria Math" w:hAnsi="Cambria Math"/>
                <w:szCs w:val="24"/>
              </w:rPr>
              <m:t>a</m:t>
            </m:r>
          </m:e>
          <m:sub>
            <m:r>
              <w:rPr>
                <w:rFonts w:ascii="Cambria Math" w:hAnsi="Cambria Math"/>
                <w:szCs w:val="24"/>
              </w:rPr>
              <m:t>2</m:t>
            </m:r>
          </m:sub>
        </m:sSub>
      </m:oMath>
      <w:r w:rsidRPr="008F50A1">
        <w:rPr>
          <w:szCs w:val="24"/>
        </w:rPr>
        <w:t xml:space="preserve"> — положительная константа. </w:t>
      </w:r>
      <w:bookmarkStart w:id="4" w:name="_Hlk98162477"/>
      <w:r w:rsidRPr="008F50A1">
        <w:rPr>
          <w:szCs w:val="24"/>
        </w:rPr>
        <w:t xml:space="preserve">Пусть </w:t>
      </w:r>
      <m:oMath>
        <m:r>
          <m:rPr>
            <m:sty m:val="bi"/>
          </m:rPr>
          <w:rPr>
            <w:rFonts w:ascii="Cambria Math" w:hAnsi="Cambria Math"/>
            <w:szCs w:val="24"/>
          </w:rPr>
          <m:t>c</m:t>
        </m:r>
        <m:r>
          <w:rPr>
            <w:rFonts w:ascii="Cambria Math" w:hAnsi="Cambria Math"/>
            <w:szCs w:val="24"/>
          </w:rPr>
          <m:t>=</m:t>
        </m:r>
        <m:sSup>
          <m:sSupPr>
            <m:ctrlPr>
              <w:rPr>
                <w:rFonts w:ascii="Cambria Math" w:hAnsi="Cambria Math"/>
                <w:i/>
                <w:szCs w:val="24"/>
              </w:rPr>
            </m:ctrlPr>
          </m:sSupPr>
          <m:e>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ECI</m:t>
                    </m:r>
                  </m:e>
                  <m:sub>
                    <m:sSub>
                      <m:sSubPr>
                        <m:ctrlPr>
                          <w:rPr>
                            <w:rFonts w:ascii="Cambria Math" w:hAnsi="Cambria Math"/>
                            <w:i/>
                            <w:szCs w:val="24"/>
                          </w:rPr>
                        </m:ctrlPr>
                      </m:sSubPr>
                      <m:e>
                        <m:r>
                          <w:rPr>
                            <w:rFonts w:ascii="Cambria Math" w:hAnsi="Cambria Math"/>
                            <w:szCs w:val="24"/>
                          </w:rPr>
                          <m:t>k</m:t>
                        </m:r>
                      </m:e>
                      <m:sub>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ECI</m:t>
                    </m:r>
                  </m:e>
                  <m:sub>
                    <m:sSub>
                      <m:sSubPr>
                        <m:ctrlPr>
                          <w:rPr>
                            <w:rFonts w:ascii="Cambria Math" w:hAnsi="Cambria Math"/>
                            <w:i/>
                            <w:szCs w:val="24"/>
                          </w:rPr>
                        </m:ctrlPr>
                      </m:sSubPr>
                      <m:e>
                        <m:r>
                          <w:rPr>
                            <w:rFonts w:ascii="Cambria Math" w:hAnsi="Cambria Math"/>
                            <w:szCs w:val="24"/>
                          </w:rPr>
                          <m:t>k</m:t>
                        </m:r>
                      </m:e>
                      <m:sub>
                        <m:r>
                          <w:rPr>
                            <w:rFonts w:ascii="Cambria Math" w:hAnsi="Cambria Math"/>
                            <w:szCs w:val="24"/>
                          </w:rPr>
                          <m:t>2</m:t>
                        </m:r>
                      </m:sub>
                    </m:sSub>
                  </m:sub>
                </m:sSub>
                <m:r>
                  <w:rPr>
                    <w:rFonts w:ascii="Cambria Math" w:hAnsi="Cambria Math"/>
                    <w:szCs w:val="24"/>
                  </w:rPr>
                  <m:t>,⋯</m:t>
                </m:r>
              </m:e>
            </m:d>
          </m:e>
          <m:sup>
            <m:r>
              <w:rPr>
                <w:rFonts w:ascii="Cambria Math" w:hAnsi="Cambria Math"/>
                <w:szCs w:val="24"/>
              </w:rPr>
              <m:t>T</m:t>
            </m:r>
          </m:sup>
        </m:sSup>
        <m:r>
          <w:rPr>
            <w:rFonts w:ascii="Cambria Math" w:hAnsi="Cambria Math"/>
            <w:szCs w:val="24"/>
          </w:rPr>
          <m:t xml:space="preserve"> </m:t>
        </m:r>
      </m:oMath>
      <w:r w:rsidRPr="008F50A1">
        <w:rPr>
          <w:szCs w:val="24"/>
        </w:rPr>
        <w:t> — вектор-столбец значений ОЭС для регионов</w:t>
      </w:r>
      <w:bookmarkEnd w:id="4"/>
      <w:r w:rsidRPr="008F50A1">
        <w:rPr>
          <w:szCs w:val="24"/>
        </w:rPr>
        <w:t xml:space="preserve">; </w:t>
      </w:r>
      <m:oMath>
        <m:r>
          <m:rPr>
            <m:sty m:val="bi"/>
          </m:rPr>
          <w:rPr>
            <w:rFonts w:ascii="Cambria Math" w:hAnsi="Cambria Math"/>
            <w:szCs w:val="24"/>
          </w:rPr>
          <m:t>p</m:t>
        </m:r>
        <m:r>
          <w:rPr>
            <w:rFonts w:ascii="Cambria Math" w:hAnsi="Cambria Math"/>
            <w:szCs w:val="24"/>
          </w:rPr>
          <m:t>=</m:t>
        </m:r>
        <m:sSup>
          <m:sSupPr>
            <m:ctrlPr>
              <w:rPr>
                <w:rFonts w:ascii="Cambria Math" w:hAnsi="Cambria Math"/>
                <w:i/>
                <w:szCs w:val="24"/>
              </w:rPr>
            </m:ctrlPr>
          </m:sSupPr>
          <m:e>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ECI</m:t>
                    </m:r>
                  </m:e>
                  <m:sub>
                    <m:r>
                      <w:rPr>
                        <w:rFonts w:ascii="Cambria Math" w:hAnsi="Cambria Math"/>
                        <w:szCs w:val="24"/>
                      </w:rPr>
                      <m:t>j</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ECI</m:t>
                    </m:r>
                  </m:e>
                  <m:sub>
                    <m:sSub>
                      <m:sSubPr>
                        <m:ctrlPr>
                          <w:rPr>
                            <w:rFonts w:ascii="Cambria Math" w:hAnsi="Cambria Math"/>
                            <w:i/>
                            <w:szCs w:val="24"/>
                          </w:rPr>
                        </m:ctrlPr>
                      </m:sSubPr>
                      <m:e>
                        <m:r>
                          <w:rPr>
                            <w:rFonts w:ascii="Cambria Math" w:hAnsi="Cambria Math"/>
                            <w:szCs w:val="24"/>
                          </w:rPr>
                          <m:t>j</m:t>
                        </m:r>
                      </m:e>
                      <m:sub>
                        <m:r>
                          <w:rPr>
                            <w:rFonts w:ascii="Cambria Math" w:hAnsi="Cambria Math"/>
                            <w:szCs w:val="24"/>
                          </w:rPr>
                          <m:t>2</m:t>
                        </m:r>
                      </m:sub>
                    </m:sSub>
                  </m:sub>
                </m:sSub>
                <m:r>
                  <w:rPr>
                    <w:rFonts w:ascii="Cambria Math" w:hAnsi="Cambria Math"/>
                    <w:szCs w:val="24"/>
                  </w:rPr>
                  <m:t>,⋯</m:t>
                </m:r>
              </m:e>
            </m:d>
          </m:e>
          <m:sup>
            <m:r>
              <w:rPr>
                <w:rFonts w:ascii="Cambria Math" w:hAnsi="Cambria Math"/>
                <w:szCs w:val="24"/>
              </w:rPr>
              <m:t>T</m:t>
            </m:r>
          </m:sup>
        </m:sSup>
      </m:oMath>
      <w:r w:rsidRPr="008F50A1">
        <w:rPr>
          <w:szCs w:val="24"/>
        </w:rPr>
        <w:t xml:space="preserve"> — вектор-столбец значений ОЭС сложности для ВЭД;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kj</m:t>
                </m:r>
              </m:sub>
            </m:sSub>
          </m:e>
        </m:d>
      </m:oMath>
      <w:r w:rsidRPr="008F50A1">
        <w:rPr>
          <w:szCs w:val="24"/>
        </w:rPr>
        <w:t xml:space="preserve">,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r</m:t>
                </m:r>
              </m:e>
              <m:sub>
                <m:r>
                  <w:rPr>
                    <w:rFonts w:ascii="Cambria Math" w:hAnsi="Cambria Math"/>
                    <w:szCs w:val="24"/>
                  </w:rPr>
                  <m:t>jk</m:t>
                </m:r>
              </m:sub>
              <m:sup>
                <m:r>
                  <w:rPr>
                    <w:rFonts w:ascii="Cambria Math" w:hAnsi="Cambria Math"/>
                    <w:szCs w:val="24"/>
                  </w:rPr>
                  <m:t>*</m:t>
                </m:r>
              </m:sup>
            </m:sSubSup>
          </m:e>
        </m:d>
      </m:oMath>
      <w:r w:rsidRPr="008F50A1">
        <w:rPr>
          <w:szCs w:val="24"/>
        </w:rPr>
        <w:t xml:space="preserve"> — матрицы весов. Из соотношений (2) и (3) следует, что </w:t>
      </w:r>
      <m:oMath>
        <m:r>
          <w:rPr>
            <w:rFonts w:ascii="Cambria Math" w:hAnsi="Cambria Math"/>
            <w:szCs w:val="24"/>
          </w:rPr>
          <m:t>c=</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a</m:t>
            </m:r>
          </m:e>
          <m:sub>
            <m:r>
              <w:rPr>
                <w:rFonts w:ascii="Cambria Math" w:hAnsi="Cambria Math"/>
                <w:szCs w:val="24"/>
              </w:rPr>
              <m:t>2</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r>
          <m:rPr>
            <m:sty m:val="bi"/>
          </m:rPr>
          <w:rPr>
            <w:rFonts w:ascii="Cambria Math" w:hAnsi="Cambria Math"/>
            <w:szCs w:val="24"/>
          </w:rPr>
          <m:t>c</m:t>
        </m:r>
      </m:oMath>
      <w:r w:rsidRPr="008F50A1">
        <w:rPr>
          <w:szCs w:val="24"/>
        </w:rPr>
        <w:t xml:space="preserve">, </w:t>
      </w:r>
      <m:oMath>
        <m:r>
          <m:rPr>
            <m:sty m:val="bi"/>
          </m:rPr>
          <w:rPr>
            <w:rFonts w:ascii="Cambria Math" w:hAnsi="Cambria Math"/>
            <w:szCs w:val="24"/>
          </w:rPr>
          <m:t>p</m:t>
        </m:r>
        <m:r>
          <w:rPr>
            <w:rFonts w:ascii="Cambria Math" w:hAnsi="Cambria Math"/>
            <w:szCs w:val="24"/>
          </w:rPr>
          <m:t>=</m:t>
        </m:r>
        <m:sSub>
          <m:sSubPr>
            <m:ctrlPr>
              <w:rPr>
                <w:rFonts w:ascii="Cambria Math" w:hAnsi="Cambria Math"/>
                <w:i/>
                <w:szCs w:val="24"/>
              </w:rPr>
            </m:ctrlPr>
          </m:sSubPr>
          <m:e>
            <m:r>
              <w:rPr>
                <w:rFonts w:ascii="Cambria Math" w:hAnsi="Cambria Math"/>
                <w:szCs w:val="24"/>
              </w:rPr>
              <m:t>a</m:t>
            </m:r>
          </m:e>
          <m:sub>
            <m:r>
              <w:rPr>
                <w:rFonts w:ascii="Cambria Math" w:hAnsi="Cambria Math"/>
                <w:szCs w:val="24"/>
              </w:rPr>
              <m:t>1</m:t>
            </m:r>
          </m:sub>
        </m:sSub>
        <m:sSub>
          <m:sSubPr>
            <m:ctrlPr>
              <w:rPr>
                <w:rFonts w:ascii="Cambria Math" w:hAnsi="Cambria Math"/>
                <w:i/>
                <w:szCs w:val="24"/>
              </w:rPr>
            </m:ctrlPr>
          </m:sSubPr>
          <m:e>
            <m:r>
              <w:rPr>
                <w:rFonts w:ascii="Cambria Math" w:hAnsi="Cambria Math"/>
                <w:szCs w:val="24"/>
              </w:rPr>
              <m:t>a</m:t>
            </m:r>
          </m:e>
          <m:sub>
            <m:r>
              <w:rPr>
                <w:rFonts w:ascii="Cambria Math" w:hAnsi="Cambria Math"/>
                <w:szCs w:val="24"/>
              </w:rPr>
              <m:t>2</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r>
          <m:rPr>
            <m:sty m:val="bi"/>
          </m:rPr>
          <w:rPr>
            <w:rFonts w:ascii="Cambria Math" w:hAnsi="Cambria Math"/>
            <w:szCs w:val="24"/>
          </w:rPr>
          <m:t>p</m:t>
        </m:r>
      </m:oMath>
      <w:r w:rsidRPr="008F50A1">
        <w:rPr>
          <w:szCs w:val="24"/>
        </w:rPr>
        <w:t xml:space="preserve">. Таким образом, ОЭС региона определяются как собственный вектор матрицы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oMath>
      <w:r w:rsidRPr="008F50A1">
        <w:rPr>
          <w:szCs w:val="24"/>
        </w:rPr>
        <w:t xml:space="preserve">, а ОЭС ВЭД — как собственный вектор матрицы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oMath>
      <w:r w:rsidRPr="008F50A1">
        <w:rPr>
          <w:szCs w:val="24"/>
        </w:rPr>
        <w:t xml:space="preserve">. </w:t>
      </w:r>
      <w:r w:rsidRPr="008F50A1">
        <w:rPr>
          <w:bCs/>
          <w:szCs w:val="24"/>
        </w:rPr>
        <w:t xml:space="preserve">Матрицы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oMath>
      <w:r w:rsidRPr="008F50A1">
        <w:rPr>
          <w:szCs w:val="24"/>
        </w:rPr>
        <w:t xml:space="preserve"> и  </w:t>
      </w:r>
      <m:oMath>
        <m:sSub>
          <m:sSubPr>
            <m:ctrlPr>
              <w:rPr>
                <w:rFonts w:ascii="Cambria Math" w:hAnsi="Cambria Math"/>
                <w:i/>
                <w:szCs w:val="24"/>
              </w:rPr>
            </m:ctrlPr>
          </m:sSubPr>
          <m:e>
            <m:r>
              <m:rPr>
                <m:sty m:val="bi"/>
              </m:rPr>
              <w:rPr>
                <w:rFonts w:ascii="Cambria Math" w:hAnsi="Cambria Math"/>
                <w:szCs w:val="24"/>
              </w:rPr>
              <m:t xml:space="preserve">R </m:t>
            </m:r>
          </m:e>
          <m:sub>
            <m:r>
              <w:rPr>
                <w:rFonts w:ascii="Cambria Math" w:hAnsi="Cambria Math"/>
                <w:szCs w:val="24"/>
              </w:rPr>
              <m:t>2</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oMath>
      <w:r w:rsidRPr="008F50A1">
        <w:rPr>
          <w:szCs w:val="24"/>
        </w:rPr>
        <w:t xml:space="preserve">  являю</w:t>
      </w:r>
      <w:proofErr w:type="spellStart"/>
      <w:r w:rsidRPr="008F50A1">
        <w:rPr>
          <w:szCs w:val="24"/>
        </w:rPr>
        <w:t>тся</w:t>
      </w:r>
      <w:proofErr w:type="spellEnd"/>
      <w:r w:rsidRPr="008F50A1">
        <w:rPr>
          <w:szCs w:val="24"/>
        </w:rPr>
        <w:t xml:space="preserve"> стохастическими: их элементы неотрицательны, а их сумма по строкам равна 1. В силу стохастичности, матрица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oMath>
      <w:r w:rsidRPr="008F50A1">
        <w:rPr>
          <w:szCs w:val="24"/>
        </w:rPr>
        <w:t xml:space="preserve"> имеет собственное значение, равное 1, и отвечающий ему собственный вектор, который состоит из одинаковых координат. В работах (</w:t>
      </w:r>
      <w:r w:rsidRPr="008F50A1">
        <w:rPr>
          <w:szCs w:val="24"/>
          <w:lang w:val="en-US"/>
        </w:rPr>
        <w:t>Hausmann</w:t>
      </w:r>
      <w:r w:rsidRPr="008F50A1">
        <w:rPr>
          <w:szCs w:val="24"/>
        </w:rPr>
        <w:t xml:space="preserve">, </w:t>
      </w:r>
      <w:r w:rsidRPr="008F50A1">
        <w:rPr>
          <w:szCs w:val="24"/>
          <w:lang w:val="en-US"/>
        </w:rPr>
        <w:t>Rodrik</w:t>
      </w:r>
      <w:r w:rsidRPr="008F50A1">
        <w:rPr>
          <w:szCs w:val="24"/>
        </w:rPr>
        <w:t xml:space="preserve">, 2003; </w:t>
      </w:r>
      <w:proofErr w:type="spellStart"/>
      <w:r w:rsidRPr="008F50A1">
        <w:rPr>
          <w:color w:val="222222"/>
          <w:szCs w:val="24"/>
          <w:shd w:val="clear" w:color="auto" w:fill="FFFFFF"/>
          <w:lang w:val="en-US"/>
        </w:rPr>
        <w:t>Sciarra</w:t>
      </w:r>
      <w:proofErr w:type="spellEnd"/>
      <w:r w:rsidRPr="008F50A1">
        <w:rPr>
          <w:color w:val="222222"/>
          <w:szCs w:val="24"/>
          <w:shd w:val="clear" w:color="auto" w:fill="FFFFFF"/>
        </w:rPr>
        <w:t xml:space="preserve"> </w:t>
      </w:r>
      <w:r w:rsidRPr="008F50A1">
        <w:rPr>
          <w:color w:val="222222"/>
          <w:szCs w:val="24"/>
          <w:shd w:val="clear" w:color="auto" w:fill="FFFFFF"/>
          <w:lang w:val="en-US"/>
        </w:rPr>
        <w:t>et</w:t>
      </w:r>
      <w:r w:rsidRPr="008F50A1">
        <w:rPr>
          <w:color w:val="222222"/>
          <w:szCs w:val="24"/>
          <w:shd w:val="clear" w:color="auto" w:fill="FFFFFF"/>
        </w:rPr>
        <w:t xml:space="preserve"> </w:t>
      </w:r>
      <w:r w:rsidRPr="008F50A1">
        <w:rPr>
          <w:color w:val="222222"/>
          <w:szCs w:val="24"/>
          <w:shd w:val="clear" w:color="auto" w:fill="FFFFFF"/>
          <w:lang w:val="en-US"/>
        </w:rPr>
        <w:t>al</w:t>
      </w:r>
      <w:r w:rsidRPr="008F50A1">
        <w:rPr>
          <w:color w:val="222222"/>
          <w:szCs w:val="24"/>
          <w:shd w:val="clear" w:color="auto" w:fill="FFFFFF"/>
        </w:rPr>
        <w:t>., 2020</w:t>
      </w:r>
      <w:r w:rsidRPr="008F50A1">
        <w:rPr>
          <w:szCs w:val="24"/>
        </w:rPr>
        <w:t xml:space="preserve">) в качестве значений ОЭС регионов и ВЭД предлагается использовать значение собственного вектора матриц </w:t>
      </w:r>
      <m:oMath>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1</m:t>
            </m:r>
          </m:sub>
        </m:sSub>
        <m:sSub>
          <m:sSubPr>
            <m:ctrlPr>
              <w:rPr>
                <w:rFonts w:ascii="Cambria Math" w:hAnsi="Cambria Math"/>
                <w:i/>
                <w:szCs w:val="24"/>
              </w:rPr>
            </m:ctrlPr>
          </m:sSubPr>
          <m:e>
            <m:r>
              <m:rPr>
                <m:sty m:val="bi"/>
              </m:rPr>
              <w:rPr>
                <w:rFonts w:ascii="Cambria Math" w:hAnsi="Cambria Math"/>
                <w:szCs w:val="24"/>
              </w:rPr>
              <m:t>R</m:t>
            </m:r>
          </m:e>
          <m:sub>
            <m:r>
              <w:rPr>
                <w:rFonts w:ascii="Cambria Math" w:hAnsi="Cambria Math"/>
                <w:szCs w:val="24"/>
              </w:rPr>
              <m:t>2</m:t>
            </m:r>
          </m:sub>
        </m:sSub>
      </m:oMath>
      <w:r w:rsidRPr="008F50A1">
        <w:rPr>
          <w:szCs w:val="24"/>
        </w:rPr>
        <w:t xml:space="preserve">, которые соответствуют второму максимальному собственному значению. </w:t>
      </w:r>
    </w:p>
    <w:p w:rsidR="008F50A1" w:rsidRPr="001D3BB3" w:rsidRDefault="008F50A1" w:rsidP="008F50A1">
      <w:pPr>
        <w:spacing w:line="240" w:lineRule="auto"/>
        <w:ind w:firstLine="709"/>
        <w:rPr>
          <w:szCs w:val="24"/>
        </w:rPr>
      </w:pPr>
      <w:bookmarkStart w:id="5" w:name="_Hlk98161460"/>
      <w:bookmarkEnd w:id="2"/>
      <w:r w:rsidRPr="008F50A1">
        <w:rPr>
          <w:b/>
          <w:bCs/>
          <w:szCs w:val="24"/>
        </w:rPr>
        <w:t>Экономическая сложность по ВЭД.</w:t>
      </w:r>
      <w:r w:rsidRPr="008F50A1">
        <w:rPr>
          <w:szCs w:val="24"/>
        </w:rPr>
        <w:t xml:space="preserve"> </w:t>
      </w:r>
      <w:bookmarkEnd w:id="5"/>
      <w:r w:rsidRPr="008F50A1">
        <w:rPr>
          <w:szCs w:val="24"/>
        </w:rPr>
        <w:t xml:space="preserve">Используемые далее </w:t>
      </w:r>
      <w:r w:rsidR="001D3BB3">
        <w:rPr>
          <w:szCs w:val="24"/>
        </w:rPr>
        <w:t>оценки экономической сложности (</w:t>
      </w:r>
      <w:r w:rsidRPr="008F50A1">
        <w:rPr>
          <w:szCs w:val="24"/>
        </w:rPr>
        <w:t>ОЭС</w:t>
      </w:r>
      <w:r w:rsidR="001D3BB3">
        <w:rPr>
          <w:szCs w:val="24"/>
        </w:rPr>
        <w:t>)</w:t>
      </w:r>
      <w:r w:rsidRPr="008F50A1">
        <w:rPr>
          <w:szCs w:val="24"/>
        </w:rPr>
        <w:t xml:space="preserve"> регионов по ВЭД получены на основе показателей промышленного производства по четырём укрупнённым видам экономической деятельности, а также </w:t>
      </w:r>
      <w:r w:rsidRPr="001D3BB3">
        <w:rPr>
          <w:szCs w:val="24"/>
        </w:rPr>
        <w:t>структуры объёмов отгруженной продукции по 24 ВЭД. В результате по данным Федеральной службы государственной статистики</w:t>
      </w:r>
      <w:r w:rsidRPr="001D3BB3">
        <w:rPr>
          <w:rStyle w:val="a6"/>
          <w:szCs w:val="24"/>
        </w:rPr>
        <w:footnoteReference w:id="1"/>
      </w:r>
      <w:r w:rsidRPr="001D3BB3">
        <w:rPr>
          <w:szCs w:val="24"/>
        </w:rPr>
        <w:t xml:space="preserve"> получены объёмы отгруженных товаров, выполненных работ и услуг за 2019 год по 24 ВЭД. </w:t>
      </w:r>
    </w:p>
    <w:p w:rsidR="008F50A1" w:rsidRPr="008F50A1" w:rsidRDefault="008F50A1" w:rsidP="008F50A1">
      <w:pPr>
        <w:spacing w:line="240" w:lineRule="auto"/>
        <w:ind w:firstLine="709"/>
        <w:rPr>
          <w:szCs w:val="24"/>
        </w:rPr>
      </w:pPr>
      <w:r w:rsidRPr="001D3BB3">
        <w:rPr>
          <w:szCs w:val="24"/>
        </w:rPr>
        <w:t>Для оценки экономической сложности по ВЭД к данным отгруженной продукции промышленного производства за 2019 г. был применён подход, предложенный в  (</w:t>
      </w:r>
      <w:r w:rsidRPr="001D3BB3">
        <w:rPr>
          <w:szCs w:val="24"/>
          <w:lang w:val="en-US"/>
        </w:rPr>
        <w:t>Hausmann</w:t>
      </w:r>
      <w:r w:rsidRPr="001D3BB3">
        <w:rPr>
          <w:szCs w:val="24"/>
        </w:rPr>
        <w:t xml:space="preserve">, </w:t>
      </w:r>
      <w:r w:rsidRPr="001D3BB3">
        <w:rPr>
          <w:szCs w:val="24"/>
          <w:lang w:val="en-US"/>
        </w:rPr>
        <w:t>Hwang</w:t>
      </w:r>
      <w:r w:rsidRPr="001D3BB3">
        <w:rPr>
          <w:szCs w:val="24"/>
        </w:rPr>
        <w:t xml:space="preserve">, </w:t>
      </w:r>
      <w:r w:rsidRPr="001D3BB3">
        <w:rPr>
          <w:szCs w:val="24"/>
          <w:lang w:val="en-US"/>
        </w:rPr>
        <w:t>Rodrik</w:t>
      </w:r>
      <w:r w:rsidRPr="001D3BB3">
        <w:rPr>
          <w:szCs w:val="24"/>
        </w:rPr>
        <w:t xml:space="preserve">, 2006; </w:t>
      </w:r>
      <w:r w:rsidRPr="001D3BB3">
        <w:rPr>
          <w:szCs w:val="24"/>
          <w:lang w:val="en-US"/>
        </w:rPr>
        <w:t>Hidalgo</w:t>
      </w:r>
      <w:r w:rsidRPr="001D3BB3">
        <w:rPr>
          <w:szCs w:val="24"/>
        </w:rPr>
        <w:t xml:space="preserve">, </w:t>
      </w:r>
      <w:r w:rsidRPr="001D3BB3">
        <w:rPr>
          <w:szCs w:val="24"/>
          <w:lang w:val="en-US"/>
        </w:rPr>
        <w:t>Hausmann</w:t>
      </w:r>
      <w:r w:rsidRPr="001D3BB3">
        <w:rPr>
          <w:szCs w:val="24"/>
        </w:rPr>
        <w:t xml:space="preserve">, 2009: </w:t>
      </w:r>
      <w:r w:rsidRPr="001D3BB3">
        <w:rPr>
          <w:szCs w:val="24"/>
          <w:lang w:val="en-US"/>
        </w:rPr>
        <w:t>Hartmann</w:t>
      </w:r>
      <w:r w:rsidRPr="001D3BB3">
        <w:rPr>
          <w:szCs w:val="24"/>
        </w:rPr>
        <w:t xml:space="preserve">, 2017). В результате </w:t>
      </w:r>
      <w:r w:rsidRPr="008F50A1">
        <w:rPr>
          <w:szCs w:val="24"/>
        </w:rPr>
        <w:t>получены ОЭС регионов и 24 видов экономической деятельности. На рис.1</w:t>
      </w:r>
      <w:r w:rsidRPr="008F50A1">
        <w:rPr>
          <w:szCs w:val="24"/>
          <w:lang w:val="en-US"/>
        </w:rPr>
        <w:t>a</w:t>
      </w:r>
      <w:r w:rsidRPr="008F50A1">
        <w:rPr>
          <w:szCs w:val="24"/>
        </w:rPr>
        <w:t xml:space="preserve"> можно наблюдать нелинейную зависимость экономической сложности регионов от числа сильных ВЭД. У регионов с малым числом сильных ВЭД ОЭС относительно низкие. С возрастанием числа сильных ВЭД наблюдается тенденция роста экономической сложности регионов. </w:t>
      </w:r>
    </w:p>
    <w:p w:rsidR="008F50A1" w:rsidRPr="008F50A1" w:rsidRDefault="008F50A1" w:rsidP="008F50A1">
      <w:pPr>
        <w:spacing w:line="240" w:lineRule="auto"/>
        <w:ind w:firstLine="709"/>
        <w:rPr>
          <w:szCs w:val="24"/>
        </w:rPr>
      </w:pPr>
    </w:p>
    <w:tbl>
      <w:tblPr>
        <w:tblStyle w:val="a7"/>
        <w:tblW w:w="0" w:type="auto"/>
        <w:tblLook w:val="04A0" w:firstRow="1" w:lastRow="0" w:firstColumn="1" w:lastColumn="0" w:noHBand="0" w:noVBand="1"/>
      </w:tblPr>
      <w:tblGrid>
        <w:gridCol w:w="4544"/>
        <w:gridCol w:w="4801"/>
      </w:tblGrid>
      <w:tr w:rsidR="008F50A1" w:rsidRPr="008F50A1" w:rsidTr="00543A9F">
        <w:tc>
          <w:tcPr>
            <w:tcW w:w="4390" w:type="dxa"/>
          </w:tcPr>
          <w:p w:rsidR="008F50A1" w:rsidRPr="008F50A1" w:rsidRDefault="008F50A1" w:rsidP="008F50A1">
            <w:pPr>
              <w:spacing w:line="240" w:lineRule="auto"/>
              <w:ind w:firstLine="709"/>
              <w:rPr>
                <w:szCs w:val="24"/>
              </w:rPr>
            </w:pPr>
            <w:r w:rsidRPr="008F50A1">
              <w:rPr>
                <w:noProof/>
                <w:szCs w:val="24"/>
              </w:rPr>
              <w:drawing>
                <wp:inline distT="0" distB="0" distL="0" distR="0" wp14:anchorId="0A7BCEDD" wp14:editId="4ABB9B19">
                  <wp:extent cx="2749550" cy="2514600"/>
                  <wp:effectExtent l="0" t="0" r="12700" b="0"/>
                  <wp:docPr id="516933718" name="Диаграмма 516933718">
                    <a:extLst xmlns:a="http://schemas.openxmlformats.org/drawingml/2006/main">
                      <a:ext uri="{FF2B5EF4-FFF2-40B4-BE49-F238E27FC236}">
                        <a16:creationId xmlns:a16="http://schemas.microsoft.com/office/drawing/2014/main" id="{5A87A11D-995C-4984-9C19-E79C75361A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c>
        <w:tc>
          <w:tcPr>
            <w:tcW w:w="4955" w:type="dxa"/>
          </w:tcPr>
          <w:p w:rsidR="008F50A1" w:rsidRPr="008F50A1" w:rsidRDefault="008F50A1" w:rsidP="008F50A1">
            <w:pPr>
              <w:spacing w:line="240" w:lineRule="auto"/>
              <w:ind w:firstLine="709"/>
              <w:rPr>
                <w:szCs w:val="24"/>
              </w:rPr>
            </w:pPr>
            <w:r w:rsidRPr="008F50A1">
              <w:rPr>
                <w:noProof/>
                <w:szCs w:val="24"/>
              </w:rPr>
              <w:drawing>
                <wp:inline distT="0" distB="0" distL="0" distR="0" wp14:anchorId="1A39EB5F" wp14:editId="3B075475">
                  <wp:extent cx="2952750" cy="2540000"/>
                  <wp:effectExtent l="0" t="0" r="0" b="12700"/>
                  <wp:docPr id="1530500984" name="Диаграмма 1530500984">
                    <a:extLst xmlns:a="http://schemas.openxmlformats.org/drawingml/2006/main">
                      <a:ext uri="{FF2B5EF4-FFF2-40B4-BE49-F238E27FC236}">
                        <a16:creationId xmlns:a16="http://schemas.microsoft.com/office/drawing/2014/main" id="{F2C69F74-202F-47B6-8C6D-44210594EA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r w:rsidR="008F50A1" w:rsidRPr="008F50A1" w:rsidTr="00543A9F">
        <w:trPr>
          <w:trHeight w:val="776"/>
        </w:trPr>
        <w:tc>
          <w:tcPr>
            <w:tcW w:w="4390" w:type="dxa"/>
          </w:tcPr>
          <w:p w:rsidR="008F50A1" w:rsidRPr="008F50A1" w:rsidRDefault="008F50A1" w:rsidP="00B5334C">
            <w:pPr>
              <w:spacing w:line="240" w:lineRule="auto"/>
              <w:ind w:firstLine="0"/>
              <w:rPr>
                <w:szCs w:val="24"/>
              </w:rPr>
            </w:pPr>
            <w:r w:rsidRPr="008F50A1">
              <w:rPr>
                <w:szCs w:val="24"/>
              </w:rPr>
              <w:t>Рис. 1</w:t>
            </w:r>
            <w:r w:rsidRPr="008F50A1">
              <w:rPr>
                <w:szCs w:val="24"/>
                <w:lang w:val="en-US"/>
              </w:rPr>
              <w:t>a</w:t>
            </w:r>
            <w:r w:rsidRPr="008F50A1">
              <w:rPr>
                <w:szCs w:val="24"/>
              </w:rPr>
              <w:t>. Зависимость ОЭС регионов (ось ординат) от числа сильных ВЭД (ось абсцисс).</w:t>
            </w:r>
          </w:p>
        </w:tc>
        <w:tc>
          <w:tcPr>
            <w:tcW w:w="4955" w:type="dxa"/>
          </w:tcPr>
          <w:p w:rsidR="008F50A1" w:rsidRPr="008F50A1" w:rsidRDefault="008F50A1" w:rsidP="00B5334C">
            <w:pPr>
              <w:spacing w:line="240" w:lineRule="auto"/>
              <w:ind w:firstLine="0"/>
              <w:rPr>
                <w:szCs w:val="24"/>
              </w:rPr>
            </w:pPr>
            <w:r w:rsidRPr="008F50A1">
              <w:rPr>
                <w:szCs w:val="24"/>
              </w:rPr>
              <w:t>Рис. 1</w:t>
            </w:r>
            <w:r w:rsidRPr="008F50A1">
              <w:rPr>
                <w:szCs w:val="24"/>
                <w:lang w:val="en-US"/>
              </w:rPr>
              <w:t>b</w:t>
            </w:r>
            <w:r w:rsidRPr="008F50A1">
              <w:rPr>
                <w:szCs w:val="24"/>
              </w:rPr>
              <w:t>. Зависимость ОЭС регионов (ось ординат) от числа сильных секторов (ось абсцисс).</w:t>
            </w:r>
          </w:p>
        </w:tc>
      </w:tr>
    </w:tbl>
    <w:p w:rsidR="008F50A1" w:rsidRPr="008F50A1" w:rsidRDefault="008F50A1" w:rsidP="008F50A1">
      <w:pPr>
        <w:spacing w:line="240" w:lineRule="auto"/>
        <w:ind w:firstLine="709"/>
        <w:jc w:val="center"/>
        <w:rPr>
          <w:szCs w:val="24"/>
        </w:rPr>
      </w:pPr>
    </w:p>
    <w:p w:rsidR="008F50A1" w:rsidRPr="008F50A1" w:rsidRDefault="008F50A1" w:rsidP="008F50A1">
      <w:pPr>
        <w:spacing w:line="240" w:lineRule="auto"/>
        <w:ind w:firstLine="709"/>
        <w:rPr>
          <w:szCs w:val="24"/>
        </w:rPr>
      </w:pPr>
      <w:r w:rsidRPr="008F50A1">
        <w:rPr>
          <w:szCs w:val="24"/>
        </w:rPr>
        <w:t xml:space="preserve">По результатам расчётов ОЭС регионов высокие значения у Калужской области (7 сильных ВЭД; ОЭС региона 0,06103), Ульяновской области (12; 0,05662), Республики Марий Эл (9; 0,05488), Республики Мордовия (8; 0,05437), Пензенской области (13; 0,05418), Чувашской Республики (14; 0,054) и т.д. С учетом видов специализации региональных экономик, описанных в работе (Айвазян, Афанасьев, </w:t>
      </w:r>
      <w:proofErr w:type="spellStart"/>
      <w:r w:rsidRPr="008F50A1">
        <w:rPr>
          <w:szCs w:val="24"/>
        </w:rPr>
        <w:t>Кудров</w:t>
      </w:r>
      <w:proofErr w:type="spellEnd"/>
      <w:r w:rsidRPr="008F50A1">
        <w:rPr>
          <w:szCs w:val="24"/>
        </w:rPr>
        <w:t xml:space="preserve">, 2016), эти </w:t>
      </w:r>
      <w:r w:rsidRPr="008F50A1">
        <w:rPr>
          <w:szCs w:val="24"/>
        </w:rPr>
        <w:lastRenderedPageBreak/>
        <w:t>регионы можно отнести к смешанному типу. Они специализируются на обрабатывающей промышленности и сельском хозяйстве. Относительно низкие ОЭС у Тюменской области (2; -0,58096), Сахалинской области (3; -0,47772), Астраханской области (4;-0,2764);</w:t>
      </w:r>
      <w:bookmarkStart w:id="6" w:name="_Hlk100606301"/>
      <w:r w:rsidRPr="008F50A1">
        <w:rPr>
          <w:szCs w:val="24"/>
        </w:rPr>
        <w:t xml:space="preserve"> Оренбургской области </w:t>
      </w:r>
      <w:bookmarkEnd w:id="6"/>
      <w:r w:rsidRPr="008F50A1">
        <w:rPr>
          <w:szCs w:val="24"/>
        </w:rPr>
        <w:t xml:space="preserve">(6; -0,21304), Республики Саха (Якутия) (8; -0,19579), Республики Коми (8; -0,17566). Это преимущественно регионы со специализацией в добывающей промышленности. </w:t>
      </w:r>
      <w:bookmarkStart w:id="7" w:name="_Hlk101872207"/>
      <w:r w:rsidRPr="008F50A1">
        <w:rPr>
          <w:szCs w:val="24"/>
        </w:rPr>
        <w:t>Таким образом, относительно высокие ОЭС у развитых «обрабатывающих» и «сельскохозяйственных регионов», а низкие – у «добывающих» регионов.</w:t>
      </w:r>
      <w:bookmarkEnd w:id="7"/>
      <w:r w:rsidRPr="008F50A1">
        <w:rPr>
          <w:szCs w:val="24"/>
        </w:rPr>
        <w:t xml:space="preserve"> </w:t>
      </w:r>
    </w:p>
    <w:p w:rsidR="008F50A1" w:rsidRPr="008F50A1" w:rsidRDefault="008F50A1" w:rsidP="008F50A1">
      <w:pPr>
        <w:spacing w:line="240" w:lineRule="auto"/>
        <w:ind w:firstLine="709"/>
        <w:rPr>
          <w:rFonts w:eastAsia="Times New Roman"/>
          <w:color w:val="000000"/>
          <w:szCs w:val="24"/>
        </w:rPr>
      </w:pPr>
      <w:r w:rsidRPr="008F50A1">
        <w:rPr>
          <w:b/>
          <w:bCs/>
          <w:szCs w:val="24"/>
        </w:rPr>
        <w:t>Индекс экономической сложности</w:t>
      </w:r>
      <w:r w:rsidRPr="008F50A1">
        <w:rPr>
          <w:szCs w:val="24"/>
        </w:rPr>
        <w:t xml:space="preserve"> измеряет сложность производственной структуры региона путем объединения информации о </w:t>
      </w:r>
      <w:r w:rsidRPr="008F50A1">
        <w:rPr>
          <w:b/>
          <w:bCs/>
          <w:i/>
          <w:iCs/>
          <w:szCs w:val="24"/>
        </w:rPr>
        <w:t>разнообразии</w:t>
      </w:r>
      <w:r w:rsidRPr="008F50A1">
        <w:rPr>
          <w:szCs w:val="24"/>
        </w:rPr>
        <w:t xml:space="preserve"> региональной экономии (количество сильных секторов, или ВЭД) и </w:t>
      </w:r>
      <w:r w:rsidRPr="008F50A1">
        <w:rPr>
          <w:b/>
          <w:bCs/>
          <w:i/>
          <w:iCs/>
          <w:szCs w:val="24"/>
        </w:rPr>
        <w:t>распространенности</w:t>
      </w:r>
      <w:r w:rsidRPr="008F50A1">
        <w:rPr>
          <w:szCs w:val="24"/>
        </w:rPr>
        <w:t xml:space="preserve"> сильных секторов или ВЭД (количество регионов, в которых сектор или ВЭД является сильным, то есть производит продукцию на уровне выявленных сравнительных преимуществ). Идея, лежащая в основе индекса экономической сложности, заключается в том, что развитые региональные экономики разнообразны (диверсифицированы) и производят продукцию сильных секторов или ВЭД, которые в среднем имеют низкую распространенность, потому что только несколько региональных экономик развили сектор или ВЭД до уровня сильного. Характеристики сложности производственных структур регионов можно рассматривать как показатель уровня человеческого и социального капитала региональной экономики, поскольку способность региона производить продукцию сильных секторов с высокими оценками сложности зависит от накопленных знаний и способности людей формировать социальные и профессиональные сети для того, чтобы собирать, накапливать и использовать в производстве новые знания (</w:t>
      </w:r>
      <w:r w:rsidRPr="008F50A1">
        <w:rPr>
          <w:szCs w:val="24"/>
          <w:lang w:val="en-US"/>
        </w:rPr>
        <w:t>Hidalgo</w:t>
      </w:r>
      <w:r w:rsidRPr="008F50A1">
        <w:rPr>
          <w:szCs w:val="24"/>
        </w:rPr>
        <w:t xml:space="preserve">, 2015).  </w:t>
      </w:r>
    </w:p>
    <w:p w:rsidR="008F50A1" w:rsidRPr="008F50A1" w:rsidRDefault="008F50A1" w:rsidP="008F50A1">
      <w:pPr>
        <w:spacing w:line="240" w:lineRule="auto"/>
        <w:ind w:firstLine="709"/>
        <w:rPr>
          <w:szCs w:val="24"/>
        </w:rPr>
      </w:pPr>
    </w:p>
    <w:p w:rsidR="00C37C62" w:rsidRDefault="00C37C62" w:rsidP="00C37C62">
      <w:pPr>
        <w:rPr>
          <w:szCs w:val="24"/>
        </w:rPr>
      </w:pPr>
    </w:p>
    <w:tbl>
      <w:tblPr>
        <w:tblStyle w:val="a7"/>
        <w:tblW w:w="7366" w:type="dxa"/>
        <w:jc w:val="center"/>
        <w:tblLayout w:type="fixed"/>
        <w:tblLook w:val="04A0" w:firstRow="1" w:lastRow="0" w:firstColumn="1" w:lastColumn="0" w:noHBand="0" w:noVBand="1"/>
      </w:tblPr>
      <w:tblGrid>
        <w:gridCol w:w="3823"/>
        <w:gridCol w:w="3543"/>
      </w:tblGrid>
      <w:tr w:rsidR="00C37C62" w:rsidRPr="00306263" w:rsidTr="00543A9F">
        <w:trPr>
          <w:trHeight w:val="4033"/>
          <w:jc w:val="center"/>
        </w:trPr>
        <w:tc>
          <w:tcPr>
            <w:tcW w:w="3823" w:type="dxa"/>
          </w:tcPr>
          <w:p w:rsidR="00C37C62" w:rsidRPr="00306263" w:rsidRDefault="00C37C62" w:rsidP="00543A9F">
            <w:pPr>
              <w:ind w:firstLine="0"/>
              <w:rPr>
                <w:szCs w:val="24"/>
              </w:rPr>
            </w:pPr>
            <w:r w:rsidRPr="00306263">
              <w:rPr>
                <w:noProof/>
                <w:szCs w:val="24"/>
              </w:rPr>
              <w:drawing>
                <wp:inline distT="0" distB="0" distL="0" distR="0" wp14:anchorId="169E7FB1" wp14:editId="599558BB">
                  <wp:extent cx="2362200" cy="2467610"/>
                  <wp:effectExtent l="0" t="0" r="0" b="8890"/>
                  <wp:docPr id="70306817" name="Рисунок 70306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81358" cy="2487623"/>
                          </a:xfrm>
                          <a:prstGeom prst="rect">
                            <a:avLst/>
                          </a:prstGeom>
                          <a:noFill/>
                          <a:ln>
                            <a:noFill/>
                          </a:ln>
                        </pic:spPr>
                      </pic:pic>
                    </a:graphicData>
                  </a:graphic>
                </wp:inline>
              </w:drawing>
            </w:r>
          </w:p>
        </w:tc>
        <w:tc>
          <w:tcPr>
            <w:tcW w:w="3543" w:type="dxa"/>
          </w:tcPr>
          <w:p w:rsidR="00C37C62" w:rsidRPr="00306263" w:rsidRDefault="00C37C62" w:rsidP="00543A9F">
            <w:pPr>
              <w:ind w:firstLine="0"/>
              <w:rPr>
                <w:szCs w:val="24"/>
              </w:rPr>
            </w:pPr>
            <w:r w:rsidRPr="00306263">
              <w:rPr>
                <w:rFonts w:asciiTheme="minorHAnsi" w:eastAsiaTheme="minorHAnsi" w:hAnsiTheme="minorHAnsi" w:cstheme="minorBidi"/>
                <w:noProof/>
                <w:sz w:val="22"/>
                <w:szCs w:val="22"/>
              </w:rPr>
              <w:drawing>
                <wp:inline distT="0" distB="0" distL="0" distR="0" wp14:anchorId="5179D6F3" wp14:editId="4A37FA06">
                  <wp:extent cx="2178050" cy="2452018"/>
                  <wp:effectExtent l="0" t="0" r="0" b="5715"/>
                  <wp:docPr id="501540410" name="Рисунок 501540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47598" cy="2530314"/>
                          </a:xfrm>
                          <a:prstGeom prst="rect">
                            <a:avLst/>
                          </a:prstGeom>
                        </pic:spPr>
                      </pic:pic>
                    </a:graphicData>
                  </a:graphic>
                </wp:inline>
              </w:drawing>
            </w:r>
          </w:p>
        </w:tc>
      </w:tr>
      <w:tr w:rsidR="00C37C62" w:rsidTr="00543A9F">
        <w:trPr>
          <w:trHeight w:val="344"/>
          <w:jc w:val="center"/>
        </w:trPr>
        <w:tc>
          <w:tcPr>
            <w:tcW w:w="3823" w:type="dxa"/>
          </w:tcPr>
          <w:p w:rsidR="00C37C62" w:rsidRDefault="00C37C62" w:rsidP="00543A9F">
            <w:pPr>
              <w:ind w:firstLine="0"/>
              <w:rPr>
                <w:szCs w:val="24"/>
              </w:rPr>
            </w:pPr>
            <w:r w:rsidRPr="00306263">
              <w:rPr>
                <w:szCs w:val="24"/>
              </w:rPr>
              <w:t xml:space="preserve">Рис. 2. </w:t>
            </w:r>
            <w:r w:rsidRPr="00306263">
              <w:rPr>
                <w:rFonts w:eastAsia="Times New Roman"/>
                <w:color w:val="000000"/>
                <w:szCs w:val="24"/>
              </w:rPr>
              <w:t>Матрица 0-1 регион-сектор</w:t>
            </w:r>
          </w:p>
        </w:tc>
        <w:tc>
          <w:tcPr>
            <w:tcW w:w="3543" w:type="dxa"/>
          </w:tcPr>
          <w:p w:rsidR="00C37C62" w:rsidRDefault="00C37C62" w:rsidP="00543A9F">
            <w:pPr>
              <w:ind w:firstLine="0"/>
              <w:rPr>
                <w:szCs w:val="24"/>
              </w:rPr>
            </w:pPr>
            <w:r w:rsidRPr="00306263">
              <w:rPr>
                <w:szCs w:val="24"/>
              </w:rPr>
              <w:t xml:space="preserve">Рис. </w:t>
            </w:r>
            <w:r>
              <w:rPr>
                <w:szCs w:val="24"/>
              </w:rPr>
              <w:t>3</w:t>
            </w:r>
            <w:r w:rsidRPr="00306263">
              <w:rPr>
                <w:szCs w:val="24"/>
              </w:rPr>
              <w:t xml:space="preserve">. </w:t>
            </w:r>
            <w:r w:rsidRPr="00306263">
              <w:rPr>
                <w:rFonts w:eastAsia="Times New Roman"/>
                <w:color w:val="000000"/>
                <w:szCs w:val="24"/>
              </w:rPr>
              <w:t>Матрица 0-1 регион-</w:t>
            </w:r>
            <w:r>
              <w:rPr>
                <w:rFonts w:eastAsia="Times New Roman"/>
                <w:color w:val="000000"/>
                <w:szCs w:val="24"/>
              </w:rPr>
              <w:t>ВЭД</w:t>
            </w:r>
          </w:p>
        </w:tc>
      </w:tr>
    </w:tbl>
    <w:p w:rsidR="00C37C62" w:rsidRPr="008F50A1" w:rsidRDefault="00C37C62" w:rsidP="008F50A1">
      <w:pPr>
        <w:spacing w:line="240" w:lineRule="auto"/>
        <w:ind w:firstLine="709"/>
        <w:rPr>
          <w:szCs w:val="24"/>
        </w:rPr>
      </w:pPr>
    </w:p>
    <w:p w:rsidR="008F50A1" w:rsidRPr="008F50A1" w:rsidRDefault="008F50A1" w:rsidP="008F50A1">
      <w:pPr>
        <w:spacing w:line="240" w:lineRule="auto"/>
        <w:ind w:firstLine="709"/>
        <w:rPr>
          <w:rFonts w:eastAsia="Times New Roman"/>
          <w:color w:val="000000"/>
          <w:szCs w:val="24"/>
        </w:rPr>
      </w:pPr>
      <w:r w:rsidRPr="008F50A1">
        <w:rPr>
          <w:szCs w:val="24"/>
        </w:rPr>
        <w:t xml:space="preserve">На рисунке 2 представлена 0-1 матрица, описывающая структуру региональных экономик, построенная для порога </w:t>
      </w:r>
      <w:r w:rsidRPr="008F50A1">
        <w:rPr>
          <w:rFonts w:eastAsia="Times New Roman"/>
          <w:color w:val="000000"/>
          <w:szCs w:val="24"/>
        </w:rPr>
        <w:t xml:space="preserve">RCA 1. Строки матриц соответствуют регионам, столбцы – секторам экономики. </w:t>
      </w:r>
      <w:r w:rsidRPr="008F50A1">
        <w:rPr>
          <w:szCs w:val="24"/>
        </w:rPr>
        <w:t xml:space="preserve">ОЭС 79 регионов по данным о секторах экономики представлены в работе (Афанасьев, Гусев, 2022). </w:t>
      </w:r>
      <w:r w:rsidRPr="008F50A1">
        <w:rPr>
          <w:rFonts w:eastAsia="Times New Roman"/>
          <w:color w:val="000000"/>
          <w:szCs w:val="24"/>
        </w:rPr>
        <w:t xml:space="preserve">Темная ячейка матрицы означает, что соответствующий элемент матрицы равен 1. То есть, сектор является сильным в экономике региона. В противном случае элемент матрицы равен нулю и сектор сильным не является. Строки каждой матрицы упорядочены снизу вверх по возрастанию ОЭС регионов. Столбцы упорядочены слева направо по возрастанию ОЭС секторов. Рассмотрим структуру матрицы на рис. 2. Верхние строки содержат существенно больше единиц, чем нижние строки. Соответственно, регионы с более высокими ОЭС более диверсифицированы, чем регионы </w:t>
      </w:r>
      <w:r w:rsidRPr="008F50A1">
        <w:rPr>
          <w:rFonts w:eastAsia="Times New Roman"/>
          <w:color w:val="000000"/>
          <w:szCs w:val="24"/>
        </w:rPr>
        <w:lastRenderedPageBreak/>
        <w:t xml:space="preserve">с низкими оценками. Сектора с относительно высокими оценками сложности являются сильными преимущественно в регионах с относительно высокими оценками экономической сложности. Соответственно, правый нижний угол матрицы слабо заполнен единицами. Сектора с относительно низкими оценками сложности являются сильными в регионах с относительно низкими оценками экономической сложности. Соответственно, левый верхний угол матрицы слабо заполнен единицами. </w:t>
      </w:r>
    </w:p>
    <w:p w:rsidR="0049122B" w:rsidRDefault="008F50A1" w:rsidP="008F50A1">
      <w:pPr>
        <w:spacing w:line="240" w:lineRule="auto"/>
        <w:ind w:firstLine="709"/>
        <w:rPr>
          <w:rFonts w:eastAsia="Times New Roman"/>
          <w:color w:val="000000"/>
          <w:szCs w:val="24"/>
        </w:rPr>
      </w:pPr>
      <w:r w:rsidRPr="008F50A1">
        <w:rPr>
          <w:szCs w:val="24"/>
        </w:rPr>
        <w:t xml:space="preserve">На рисунке 3 представлена 0-1 матрица, описывающая структуру региональных экономик на основе ВЭД для порога </w:t>
      </w:r>
      <w:r w:rsidRPr="008F50A1">
        <w:rPr>
          <w:rFonts w:eastAsia="Times New Roman"/>
          <w:color w:val="000000"/>
          <w:szCs w:val="24"/>
        </w:rPr>
        <w:t xml:space="preserve">RCA 1. </w:t>
      </w:r>
      <w:r w:rsidRPr="008F50A1">
        <w:rPr>
          <w:szCs w:val="24"/>
        </w:rPr>
        <w:t xml:space="preserve">ОЭС 79 регионов по данным о ВЭЛ представлены в работе (Афанасьев, Гусев, 2023). </w:t>
      </w:r>
      <w:r w:rsidRPr="008F50A1">
        <w:rPr>
          <w:rFonts w:eastAsia="Times New Roman"/>
          <w:color w:val="000000"/>
          <w:szCs w:val="24"/>
        </w:rPr>
        <w:t xml:space="preserve">Темная ячейка матрицы означает, что соответствующий элемент матрицы равен 1. То есть, продукция данного ВЭД производится регионом на уровне выявленных сравнительных преимуществ. Строки каждой матрицы упорядочены снизу вверх по возрастанию ОЭС регионов. Столбцы упорядочены слева направо по возрастанию ОЭС ВЭД. Структура матрицы на рисунке 3 указывает на те же особенности, которые мы наблюдаем на рисунке 2, и правильно отражает идею, заложенную в индексе экономической сложности. </w:t>
      </w:r>
      <w:bookmarkStart w:id="8" w:name="_Hlk101129282"/>
    </w:p>
    <w:p w:rsidR="008F50A1" w:rsidRPr="008F50A1" w:rsidRDefault="008F50A1" w:rsidP="008F50A1">
      <w:pPr>
        <w:spacing w:line="240" w:lineRule="auto"/>
        <w:ind w:firstLine="709"/>
        <w:rPr>
          <w:szCs w:val="24"/>
          <w:lang w:eastAsia="en-US"/>
        </w:rPr>
      </w:pPr>
      <w:r w:rsidRPr="008F50A1">
        <w:rPr>
          <w:b/>
          <w:bCs/>
          <w:szCs w:val="24"/>
        </w:rPr>
        <w:t xml:space="preserve">Сравнительный анализ оценок экономической сложности. </w:t>
      </w:r>
      <w:bookmarkEnd w:id="8"/>
      <w:r w:rsidRPr="008F50A1">
        <w:rPr>
          <w:szCs w:val="24"/>
        </w:rPr>
        <w:t>При визуализации зависимости оценок экономической сложности регионов по 82 секторам (рис. 1</w:t>
      </w:r>
      <w:r w:rsidRPr="008F50A1">
        <w:rPr>
          <w:szCs w:val="24"/>
          <w:lang w:val="en-US"/>
        </w:rPr>
        <w:t>b</w:t>
      </w:r>
      <w:r w:rsidRPr="008F50A1">
        <w:rPr>
          <w:szCs w:val="24"/>
        </w:rPr>
        <w:t>) можно наблюдать те же тенденции, что были показаны для 24 ВЭД (рис. 1</w:t>
      </w:r>
      <w:r w:rsidRPr="008F50A1">
        <w:rPr>
          <w:szCs w:val="24"/>
          <w:lang w:val="en-US"/>
        </w:rPr>
        <w:t>a</w:t>
      </w:r>
      <w:r w:rsidRPr="008F50A1">
        <w:rPr>
          <w:szCs w:val="24"/>
        </w:rPr>
        <w:t xml:space="preserve">). Сравним ОЭС 79 регионов, полученные при пороговом значении </w:t>
      </w:r>
      <w:r w:rsidRPr="008F50A1">
        <w:rPr>
          <w:szCs w:val="24"/>
          <w:lang w:val="en-US"/>
        </w:rPr>
        <w:t>RCA</w:t>
      </w:r>
      <w:r w:rsidRPr="008F50A1">
        <w:rPr>
          <w:szCs w:val="24"/>
        </w:rPr>
        <w:t xml:space="preserve"> 1 на основе данных о налоговых поступлениях по 82 секторам и на основе данных по отгруженной продукции по 24 ВЭД за 2019 г. </w:t>
      </w:r>
      <w:r w:rsidRPr="008F50A1">
        <w:rPr>
          <w:rFonts w:eastAsia="Times New Roman"/>
          <w:color w:val="000000"/>
          <w:szCs w:val="24"/>
        </w:rPr>
        <w:t>На рис. 4</w:t>
      </w:r>
      <w:r w:rsidRPr="008F50A1">
        <w:rPr>
          <w:rFonts w:eastAsia="Times New Roman"/>
          <w:color w:val="000000"/>
          <w:szCs w:val="24"/>
          <w:lang w:val="en-US"/>
        </w:rPr>
        <w:t>a</w:t>
      </w:r>
      <w:r w:rsidRPr="008F50A1">
        <w:rPr>
          <w:rFonts w:eastAsia="Times New Roman"/>
          <w:color w:val="000000"/>
          <w:szCs w:val="24"/>
        </w:rPr>
        <w:t xml:space="preserve"> точка характеризует регион. Ее координата по оси абсцисс – ОЭС региона по секторам. Координата по оси ординат – ОЭС по ВЭД. В нижней части рисунка – точки, соответствующие трем добывающим регионам (Оренбургская, Тюменская, Сахалинская области). Эти регионы имеют самые большие объемы производства в секторе 1055 (добыча сырой нефти). В верхнем правом углу регионы с развитыми секторами обрабатывающей и сельскохозяйственной продукции.  Регионы, расположенные близко к диагонали, имеют близкие ОЭС по секторам и ВЭД. </w:t>
      </w:r>
      <w:r w:rsidRPr="008F50A1">
        <w:rPr>
          <w:szCs w:val="24"/>
        </w:rPr>
        <w:t xml:space="preserve">Коэффициент корреляции Пирсона </w:t>
      </w:r>
      <w:bookmarkStart w:id="9" w:name="_Hlk122073513"/>
      <w:r w:rsidRPr="008F50A1">
        <w:rPr>
          <w:szCs w:val="24"/>
        </w:rPr>
        <w:t xml:space="preserve">индекса экономической сложности </w:t>
      </w:r>
      <w:bookmarkEnd w:id="9"/>
      <w:r w:rsidRPr="008F50A1">
        <w:rPr>
          <w:szCs w:val="24"/>
        </w:rPr>
        <w:t xml:space="preserve">регионов по 82 секторам и индекса экономической сложности по 24 ВЭД составляет 0,771. </w:t>
      </w:r>
      <w:r w:rsidRPr="008F50A1">
        <w:rPr>
          <w:szCs w:val="24"/>
          <w:lang w:eastAsia="en-US"/>
        </w:rPr>
        <w:t xml:space="preserve">Коэффициент ранговой корреляции </w:t>
      </w:r>
      <w:proofErr w:type="spellStart"/>
      <w:r w:rsidRPr="008F50A1">
        <w:rPr>
          <w:szCs w:val="24"/>
          <w:lang w:eastAsia="en-US"/>
        </w:rPr>
        <w:t>Спирмена</w:t>
      </w:r>
      <w:proofErr w:type="spellEnd"/>
      <w:r w:rsidRPr="008F50A1">
        <w:rPr>
          <w:szCs w:val="24"/>
          <w:lang w:eastAsia="en-US"/>
        </w:rPr>
        <w:t xml:space="preserve"> составляет 0,758.</w:t>
      </w:r>
    </w:p>
    <w:p w:rsidR="00C37C62" w:rsidRPr="00306263" w:rsidRDefault="00C37C62" w:rsidP="00C37C62">
      <w:pPr>
        <w:rPr>
          <w:szCs w:val="24"/>
        </w:rPr>
      </w:pPr>
    </w:p>
    <w:tbl>
      <w:tblPr>
        <w:tblStyle w:val="a7"/>
        <w:tblW w:w="9372" w:type="dxa"/>
        <w:tblLook w:val="04A0" w:firstRow="1" w:lastRow="0" w:firstColumn="1" w:lastColumn="0" w:noHBand="0" w:noVBand="1"/>
      </w:tblPr>
      <w:tblGrid>
        <w:gridCol w:w="4566"/>
        <w:gridCol w:w="4806"/>
      </w:tblGrid>
      <w:tr w:rsidR="00C37C62" w:rsidRPr="00306263" w:rsidTr="00543A9F">
        <w:trPr>
          <w:trHeight w:val="3508"/>
        </w:trPr>
        <w:tc>
          <w:tcPr>
            <w:tcW w:w="4566" w:type="dxa"/>
          </w:tcPr>
          <w:p w:rsidR="00C37C62" w:rsidRPr="00306263" w:rsidRDefault="00C37C62" w:rsidP="00543A9F">
            <w:pPr>
              <w:ind w:firstLine="0"/>
              <w:rPr>
                <w:szCs w:val="24"/>
              </w:rPr>
            </w:pPr>
            <w:r w:rsidRPr="00306263">
              <w:rPr>
                <w:noProof/>
              </w:rPr>
              <w:drawing>
                <wp:inline distT="0" distB="0" distL="0" distR="0" wp14:anchorId="7B2CE263" wp14:editId="03F5F2A5">
                  <wp:extent cx="2762250" cy="2072640"/>
                  <wp:effectExtent l="0" t="0" r="0" b="3810"/>
                  <wp:docPr id="1556168196" name="Диаграмма 1556168196">
                    <a:extLst xmlns:a="http://schemas.openxmlformats.org/drawingml/2006/main">
                      <a:ext uri="{FF2B5EF4-FFF2-40B4-BE49-F238E27FC236}">
                        <a16:creationId xmlns:a16="http://schemas.microsoft.com/office/drawing/2014/main" id="{D5C27C06-5F71-40A4-BB2D-6D223D453A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c>
          <w:tcPr>
            <w:tcW w:w="4806" w:type="dxa"/>
          </w:tcPr>
          <w:p w:rsidR="00C37C62" w:rsidRPr="00306263" w:rsidRDefault="00C37C62" w:rsidP="00543A9F">
            <w:pPr>
              <w:ind w:firstLine="0"/>
              <w:rPr>
                <w:szCs w:val="24"/>
              </w:rPr>
            </w:pPr>
            <w:r w:rsidRPr="00306263">
              <w:rPr>
                <w:noProof/>
              </w:rPr>
              <w:drawing>
                <wp:inline distT="0" distB="0" distL="0" distR="0" wp14:anchorId="0D6A4F07" wp14:editId="42668407">
                  <wp:extent cx="2910840" cy="2072640"/>
                  <wp:effectExtent l="0" t="0" r="3810" b="3810"/>
                  <wp:docPr id="1331523130" name="Диаграмма 1331523130">
                    <a:extLst xmlns:a="http://schemas.openxmlformats.org/drawingml/2006/main">
                      <a:ext uri="{FF2B5EF4-FFF2-40B4-BE49-F238E27FC236}">
                        <a16:creationId xmlns:a16="http://schemas.microsoft.com/office/drawing/2014/main" id="{CAA9D2AC-FB4B-40F7-8813-21EE10D35D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C37C62" w:rsidRPr="00306263" w:rsidTr="00543A9F">
        <w:trPr>
          <w:trHeight w:val="833"/>
        </w:trPr>
        <w:tc>
          <w:tcPr>
            <w:tcW w:w="4566" w:type="dxa"/>
          </w:tcPr>
          <w:p w:rsidR="00C37C62" w:rsidRPr="00BF3A44" w:rsidRDefault="00C37C62" w:rsidP="00543A9F">
            <w:pPr>
              <w:spacing w:line="240" w:lineRule="auto"/>
              <w:rPr>
                <w:sz w:val="22"/>
                <w:szCs w:val="22"/>
              </w:rPr>
            </w:pPr>
            <w:r w:rsidRPr="00BF3A44">
              <w:rPr>
                <w:sz w:val="22"/>
                <w:szCs w:val="22"/>
              </w:rPr>
              <w:t xml:space="preserve">Рис. </w:t>
            </w:r>
            <w:r w:rsidRPr="00F30680">
              <w:rPr>
                <w:sz w:val="22"/>
                <w:szCs w:val="22"/>
              </w:rPr>
              <w:t>4</w:t>
            </w:r>
            <w:r>
              <w:rPr>
                <w:sz w:val="22"/>
                <w:szCs w:val="22"/>
                <w:lang w:val="en-US"/>
              </w:rPr>
              <w:t>a</w:t>
            </w:r>
            <w:r w:rsidRPr="00BF3A44">
              <w:rPr>
                <w:sz w:val="22"/>
                <w:szCs w:val="22"/>
              </w:rPr>
              <w:t>. Оценки экономической сложности регионов по секторам (ось абсцисс) и ВЭД (ось ординат) для 79 регионов</w:t>
            </w:r>
          </w:p>
        </w:tc>
        <w:tc>
          <w:tcPr>
            <w:tcW w:w="4806" w:type="dxa"/>
          </w:tcPr>
          <w:p w:rsidR="00C37C62" w:rsidRPr="00BF3A44" w:rsidRDefault="00C37C62" w:rsidP="00543A9F">
            <w:pPr>
              <w:spacing w:line="240" w:lineRule="auto"/>
              <w:rPr>
                <w:sz w:val="22"/>
                <w:szCs w:val="22"/>
              </w:rPr>
            </w:pPr>
            <w:r w:rsidRPr="00BF3A44">
              <w:rPr>
                <w:sz w:val="22"/>
                <w:szCs w:val="22"/>
              </w:rPr>
              <w:t xml:space="preserve">Рис. </w:t>
            </w:r>
            <w:r w:rsidRPr="00F30680">
              <w:rPr>
                <w:sz w:val="22"/>
                <w:szCs w:val="22"/>
              </w:rPr>
              <w:t>4</w:t>
            </w:r>
            <w:r>
              <w:rPr>
                <w:sz w:val="22"/>
                <w:szCs w:val="22"/>
                <w:lang w:val="en-US"/>
              </w:rPr>
              <w:t>b</w:t>
            </w:r>
            <w:r w:rsidRPr="00BF3A44">
              <w:rPr>
                <w:sz w:val="22"/>
                <w:szCs w:val="22"/>
              </w:rPr>
              <w:t>. Оценки экономической сложности регионов по секторам (ось абсцисс) и ВЭД (ось ординат) без трёх добывающих регионов</w:t>
            </w:r>
          </w:p>
        </w:tc>
      </w:tr>
    </w:tbl>
    <w:p w:rsidR="00C37C62" w:rsidRDefault="00C37C62" w:rsidP="008F50A1">
      <w:pPr>
        <w:spacing w:line="240" w:lineRule="auto"/>
        <w:ind w:firstLine="709"/>
        <w:rPr>
          <w:szCs w:val="24"/>
        </w:rPr>
      </w:pPr>
    </w:p>
    <w:p w:rsidR="008F50A1" w:rsidRDefault="008F50A1" w:rsidP="008F50A1">
      <w:pPr>
        <w:spacing w:line="240" w:lineRule="auto"/>
        <w:ind w:firstLine="709"/>
        <w:rPr>
          <w:szCs w:val="24"/>
        </w:rPr>
      </w:pPr>
      <w:r w:rsidRPr="008F50A1">
        <w:rPr>
          <w:szCs w:val="24"/>
        </w:rPr>
        <w:t>Также представляет интерес рассмотрение ситуации без трех указанных выше добывающих регионов (рис. 4</w:t>
      </w:r>
      <w:r w:rsidRPr="008F50A1">
        <w:rPr>
          <w:szCs w:val="24"/>
          <w:lang w:val="en-US"/>
        </w:rPr>
        <w:t>b</w:t>
      </w:r>
      <w:r w:rsidRPr="008F50A1">
        <w:rPr>
          <w:szCs w:val="24"/>
        </w:rPr>
        <w:t xml:space="preserve">). При отсутствии трёх добывающих регионов (Оренбургская, Тюменская и Сахалинская области) корреляция ОЭС возрастает до 0,825. Это говорит о том, что в некоторых случаях ОЭС регионов по 24 ВЭД могут представлять </w:t>
      </w:r>
      <w:r w:rsidRPr="008F50A1">
        <w:rPr>
          <w:szCs w:val="24"/>
        </w:rPr>
        <w:lastRenderedPageBreak/>
        <w:t xml:space="preserve">интерес в той же степени, как ОЭС по секторам. Можно сделать вывод, что ОЭС регионов имеют высокую устойчивость при переходе от данных по налоговым поступлениям к данным по объёмам производства и от данных по секторам к данным по ВЭД. </w:t>
      </w:r>
    </w:p>
    <w:p w:rsidR="00B5334C" w:rsidRDefault="00B5334C" w:rsidP="008F50A1">
      <w:pPr>
        <w:spacing w:line="240" w:lineRule="auto"/>
        <w:ind w:firstLine="709"/>
        <w:rPr>
          <w:szCs w:val="24"/>
        </w:rPr>
      </w:pPr>
    </w:p>
    <w:p w:rsidR="00B5334C" w:rsidRPr="008F50A1" w:rsidRDefault="00B5334C" w:rsidP="008F50A1">
      <w:pPr>
        <w:spacing w:line="240" w:lineRule="auto"/>
        <w:ind w:firstLine="709"/>
        <w:rPr>
          <w:szCs w:val="24"/>
        </w:rPr>
      </w:pPr>
      <w:r>
        <w:t>Статья подготовлена в Государственном академическом университете гуманитарных наук в рамках государственного задания Министерства науки и высшего образования Российской Федерации (тема №FZNF-2023-0003 «Традиции и ценности общества: механизмы формирования и трансформации в контексте глобальной истории</w:t>
      </w:r>
      <w:r>
        <w:t>»</w:t>
      </w:r>
      <w:r>
        <w:t>.</w:t>
      </w:r>
    </w:p>
    <w:p w:rsidR="002908AB" w:rsidRDefault="002908AB" w:rsidP="008F50A1">
      <w:pPr>
        <w:spacing w:line="240" w:lineRule="auto"/>
        <w:ind w:firstLine="709"/>
        <w:rPr>
          <w:szCs w:val="24"/>
        </w:rPr>
      </w:pPr>
    </w:p>
    <w:p w:rsidR="0049122B" w:rsidRPr="0049122B" w:rsidRDefault="0049122B" w:rsidP="0049122B">
      <w:pPr>
        <w:pStyle w:val="a8"/>
        <w:ind w:firstLine="0"/>
        <w:jc w:val="center"/>
        <w:rPr>
          <w:b/>
          <w:bCs/>
          <w:szCs w:val="24"/>
        </w:rPr>
      </w:pPr>
      <w:r w:rsidRPr="0049122B">
        <w:rPr>
          <w:b/>
          <w:bCs/>
        </w:rPr>
        <w:t>Библиографический список</w:t>
      </w:r>
    </w:p>
    <w:p w:rsidR="007E52DE" w:rsidRPr="008B7B90" w:rsidRDefault="007E52DE" w:rsidP="00DD5347">
      <w:pPr>
        <w:pStyle w:val="a8"/>
        <w:numPr>
          <w:ilvl w:val="0"/>
          <w:numId w:val="1"/>
        </w:numPr>
        <w:spacing w:line="240" w:lineRule="auto"/>
        <w:ind w:left="357" w:hanging="357"/>
        <w:rPr>
          <w:szCs w:val="24"/>
        </w:rPr>
      </w:pPr>
      <w:r w:rsidRPr="008B7B90">
        <w:rPr>
          <w:szCs w:val="24"/>
        </w:rPr>
        <w:t>Айвазян С. А.</w:t>
      </w:r>
      <w:r w:rsidR="008B7B90" w:rsidRPr="008B7B90">
        <w:rPr>
          <w:szCs w:val="24"/>
        </w:rPr>
        <w:t>,</w:t>
      </w:r>
      <w:r w:rsidRPr="008B7B90">
        <w:rPr>
          <w:szCs w:val="24"/>
        </w:rPr>
        <w:t xml:space="preserve"> </w:t>
      </w:r>
      <w:r w:rsidR="008B7B90" w:rsidRPr="008B7B90">
        <w:rPr>
          <w:szCs w:val="24"/>
        </w:rPr>
        <w:t xml:space="preserve">Афанасьев </w:t>
      </w:r>
      <w:r w:rsidR="008B7B90" w:rsidRPr="008B7B90">
        <w:rPr>
          <w:szCs w:val="24"/>
        </w:rPr>
        <w:t xml:space="preserve">М.Ю., </w:t>
      </w:r>
      <w:proofErr w:type="spellStart"/>
      <w:r w:rsidR="008B7B90" w:rsidRPr="008B7B90">
        <w:rPr>
          <w:szCs w:val="24"/>
        </w:rPr>
        <w:t>Кудров</w:t>
      </w:r>
      <w:proofErr w:type="spellEnd"/>
      <w:r w:rsidR="008B7B90" w:rsidRPr="008B7B90">
        <w:rPr>
          <w:szCs w:val="24"/>
        </w:rPr>
        <w:t xml:space="preserve"> А.В.</w:t>
      </w:r>
      <w:r w:rsidR="008B7B90" w:rsidRPr="008B7B90">
        <w:rPr>
          <w:szCs w:val="24"/>
        </w:rPr>
        <w:t xml:space="preserve"> </w:t>
      </w:r>
      <w:r w:rsidRPr="008B7B90">
        <w:rPr>
          <w:szCs w:val="24"/>
        </w:rPr>
        <w:t>Метод кластеризации регионов РФ с учетом отраслевой структуры ВРП // Прикладная эконометрика. 2016. № 1(41). С. 24-46.</w:t>
      </w:r>
    </w:p>
    <w:p w:rsidR="001D3BB3" w:rsidRPr="008B7B90" w:rsidRDefault="001D3BB3" w:rsidP="00DD5347">
      <w:pPr>
        <w:pStyle w:val="a8"/>
        <w:numPr>
          <w:ilvl w:val="0"/>
          <w:numId w:val="1"/>
        </w:numPr>
        <w:spacing w:line="240" w:lineRule="auto"/>
        <w:ind w:left="357" w:hanging="357"/>
        <w:rPr>
          <w:szCs w:val="24"/>
        </w:rPr>
      </w:pPr>
      <w:r w:rsidRPr="008B7B90">
        <w:t>Афанасьев М.Ю., Гусев А.А. Аппроксимация оценок экономической сложности при выборе приоритетных направлений диверсификации</w:t>
      </w:r>
      <w:r w:rsidR="00DD5347">
        <w:t xml:space="preserve"> </w:t>
      </w:r>
      <w:r w:rsidRPr="008B7B90">
        <w:t>// Цифровая экономика №1(17),</w:t>
      </w:r>
      <w:r w:rsidR="00DD5347">
        <w:t xml:space="preserve"> </w:t>
      </w:r>
      <w:r w:rsidRPr="008B7B90">
        <w:t>2023, 52-59</w:t>
      </w:r>
      <w:r w:rsidR="00DD5347">
        <w:t>.</w:t>
      </w:r>
      <w:r w:rsidRPr="008B7B90">
        <w:t xml:space="preserve">  </w:t>
      </w:r>
      <w:proofErr w:type="gramStart"/>
      <w:r w:rsidRPr="008B7B90">
        <w:rPr>
          <w:shd w:val="clear" w:color="auto" w:fill="FFFFFF"/>
        </w:rPr>
        <w:t>DOI</w:t>
      </w:r>
      <w:proofErr w:type="gramEnd"/>
      <w:r w:rsidRPr="008B7B90">
        <w:t>: 10.34706/DE-2021-04-05</w:t>
      </w:r>
    </w:p>
    <w:p w:rsidR="001D3BB3" w:rsidRPr="008B7B90" w:rsidRDefault="001D3BB3" w:rsidP="00DD5347">
      <w:pPr>
        <w:pStyle w:val="a8"/>
        <w:numPr>
          <w:ilvl w:val="0"/>
          <w:numId w:val="1"/>
        </w:numPr>
        <w:spacing w:line="240" w:lineRule="auto"/>
        <w:ind w:left="357" w:hanging="357"/>
        <w:rPr>
          <w:szCs w:val="24"/>
        </w:rPr>
      </w:pPr>
      <w:r w:rsidRPr="008B7B90">
        <w:t xml:space="preserve">Афанасьев М.Ю., Гусев А.А. </w:t>
      </w:r>
      <w:r w:rsidRPr="008B7B90">
        <w:rPr>
          <w:shd w:val="clear" w:color="auto" w:fill="FFFFFF"/>
        </w:rPr>
        <w:t>Об оценке экономической сложности регионов</w:t>
      </w:r>
      <w:r w:rsidR="00DD5347">
        <w:rPr>
          <w:shd w:val="clear" w:color="auto" w:fill="FFFFFF"/>
        </w:rPr>
        <w:t xml:space="preserve"> </w:t>
      </w:r>
      <w:r w:rsidR="00DD5347" w:rsidRPr="008B7B90">
        <w:t>//</w:t>
      </w:r>
      <w:r w:rsidR="00DD5347">
        <w:t xml:space="preserve"> </w:t>
      </w:r>
      <w:r w:rsidRPr="008B7B90">
        <w:t xml:space="preserve">Цифровая экономика, выпуск 1(22) 2023, с.5-15, </w:t>
      </w:r>
      <w:r w:rsidRPr="008B7B90">
        <w:rPr>
          <w:lang w:val="en-US"/>
        </w:rPr>
        <w:t>DOI</w:t>
      </w:r>
      <w:r w:rsidRPr="008B7B90">
        <w:t>: 10.34706/</w:t>
      </w:r>
      <w:r w:rsidRPr="008B7B90">
        <w:rPr>
          <w:lang w:val="en-US"/>
        </w:rPr>
        <w:t>DE</w:t>
      </w:r>
      <w:r w:rsidRPr="008B7B90">
        <w:t>-2023-01-01</w:t>
      </w:r>
    </w:p>
    <w:p w:rsidR="007E52DE" w:rsidRPr="008B7B90" w:rsidRDefault="007E52DE" w:rsidP="00DD5347">
      <w:pPr>
        <w:pStyle w:val="a8"/>
        <w:numPr>
          <w:ilvl w:val="0"/>
          <w:numId w:val="1"/>
        </w:numPr>
        <w:spacing w:line="240" w:lineRule="auto"/>
        <w:ind w:left="357" w:hanging="357"/>
        <w:rPr>
          <w:szCs w:val="24"/>
          <w:lang w:val="en-US"/>
        </w:rPr>
      </w:pPr>
      <w:r w:rsidRPr="008B7B90">
        <w:rPr>
          <w:szCs w:val="24"/>
          <w:lang w:val="en-US"/>
        </w:rPr>
        <w:t>Hartmann D. Linking economic complexity, institutions, and income inequality. World Development, 93,</w:t>
      </w:r>
      <w:r w:rsidR="00DD5347" w:rsidRPr="00DD5347">
        <w:rPr>
          <w:szCs w:val="24"/>
          <w:lang w:val="en-US"/>
        </w:rPr>
        <w:t xml:space="preserve"> 2017,</w:t>
      </w:r>
      <w:r w:rsidRPr="008B7B90">
        <w:rPr>
          <w:szCs w:val="24"/>
          <w:lang w:val="en-US"/>
        </w:rPr>
        <w:t xml:space="preserve"> 75–93.</w:t>
      </w:r>
    </w:p>
    <w:p w:rsidR="007E52DE" w:rsidRPr="008B7B90" w:rsidRDefault="007E52DE" w:rsidP="00DD5347">
      <w:pPr>
        <w:numPr>
          <w:ilvl w:val="0"/>
          <w:numId w:val="1"/>
        </w:numPr>
        <w:spacing w:line="240" w:lineRule="auto"/>
        <w:ind w:left="357" w:hanging="357"/>
        <w:rPr>
          <w:szCs w:val="24"/>
          <w:lang w:val="en-US"/>
        </w:rPr>
      </w:pPr>
      <w:r w:rsidRPr="008B7B90">
        <w:rPr>
          <w:szCs w:val="24"/>
          <w:lang w:val="de-DE"/>
        </w:rPr>
        <w:t xml:space="preserve">Hausmann R., Hwang J., Rodrik D.  </w:t>
      </w:r>
      <w:r w:rsidRPr="008B7B90">
        <w:rPr>
          <w:szCs w:val="24"/>
          <w:lang w:val="en-US"/>
        </w:rPr>
        <w:t xml:space="preserve">What you export matters. Journal of Economic Growth, 12 (1), </w:t>
      </w:r>
      <w:r w:rsidR="00DD5347" w:rsidRPr="00DD5347">
        <w:rPr>
          <w:szCs w:val="24"/>
          <w:lang w:val="en-US"/>
        </w:rPr>
        <w:t xml:space="preserve">2006, </w:t>
      </w:r>
      <w:r w:rsidRPr="008B7B90">
        <w:rPr>
          <w:szCs w:val="24"/>
          <w:lang w:val="en-US"/>
        </w:rPr>
        <w:t>1–25.</w:t>
      </w:r>
    </w:p>
    <w:p w:rsidR="007E52DE" w:rsidRPr="008B7B90" w:rsidRDefault="007E52DE" w:rsidP="00DD5347">
      <w:pPr>
        <w:numPr>
          <w:ilvl w:val="0"/>
          <w:numId w:val="1"/>
        </w:numPr>
        <w:spacing w:line="240" w:lineRule="auto"/>
        <w:ind w:left="357" w:hanging="357"/>
        <w:rPr>
          <w:szCs w:val="24"/>
          <w:lang w:val="en-US"/>
        </w:rPr>
      </w:pPr>
      <w:r w:rsidRPr="008B7B90">
        <w:rPr>
          <w:szCs w:val="24"/>
          <w:lang w:val="en-US"/>
        </w:rPr>
        <w:t>Hausmann R., Klinger B. Structural transformation and patterns of comparative advantage in the product space. CID Working Paper No. 128</w:t>
      </w:r>
      <w:r w:rsidR="00DD5347" w:rsidRPr="00DD5347">
        <w:rPr>
          <w:szCs w:val="24"/>
          <w:lang w:val="en-US"/>
        </w:rPr>
        <w:t>, 2006.</w:t>
      </w:r>
    </w:p>
    <w:p w:rsidR="007E52DE" w:rsidRPr="008B7B90" w:rsidRDefault="007E52DE" w:rsidP="00DD5347">
      <w:pPr>
        <w:numPr>
          <w:ilvl w:val="0"/>
          <w:numId w:val="1"/>
        </w:numPr>
        <w:spacing w:line="240" w:lineRule="auto"/>
        <w:ind w:left="357" w:hanging="357"/>
        <w:rPr>
          <w:szCs w:val="24"/>
          <w:lang w:val="en-US"/>
        </w:rPr>
      </w:pPr>
      <w:r w:rsidRPr="008B7B90">
        <w:rPr>
          <w:szCs w:val="24"/>
          <w:lang w:val="en-US"/>
        </w:rPr>
        <w:t xml:space="preserve">Hausmann R., Rodrik D. Economic development as </w:t>
      </w:r>
      <w:proofErr w:type="spellStart"/>
      <w:r w:rsidRPr="008B7B90">
        <w:rPr>
          <w:szCs w:val="24"/>
          <w:lang w:val="en-US"/>
        </w:rPr>
        <w:t>selfdiscovery</w:t>
      </w:r>
      <w:proofErr w:type="spellEnd"/>
      <w:r w:rsidRPr="008B7B90">
        <w:rPr>
          <w:szCs w:val="24"/>
          <w:lang w:val="en-US"/>
        </w:rPr>
        <w:t xml:space="preserve">. Journal of Development Economics, 72 (2), </w:t>
      </w:r>
      <w:r w:rsidR="00DD5347" w:rsidRPr="00DD5347">
        <w:rPr>
          <w:szCs w:val="24"/>
          <w:lang w:val="en-US"/>
        </w:rPr>
        <w:t xml:space="preserve">2003, </w:t>
      </w:r>
      <w:r w:rsidRPr="008B7B90">
        <w:rPr>
          <w:szCs w:val="24"/>
          <w:lang w:val="en-US"/>
        </w:rPr>
        <w:t>603–633.</w:t>
      </w:r>
    </w:p>
    <w:p w:rsidR="008B7B90" w:rsidRPr="008B7B90" w:rsidRDefault="008B7B90" w:rsidP="00DD5347">
      <w:pPr>
        <w:numPr>
          <w:ilvl w:val="0"/>
          <w:numId w:val="1"/>
        </w:numPr>
        <w:spacing w:line="240" w:lineRule="auto"/>
        <w:ind w:left="357" w:hanging="357"/>
        <w:rPr>
          <w:szCs w:val="24"/>
          <w:lang w:val="en-US"/>
        </w:rPr>
      </w:pPr>
      <w:r w:rsidRPr="008B7B90">
        <w:rPr>
          <w:szCs w:val="24"/>
          <w:lang w:val="en-US"/>
        </w:rPr>
        <w:t xml:space="preserve">Hidalgo, C. (2015) </w:t>
      </w:r>
      <w:r w:rsidRPr="008B7B90">
        <w:rPr>
          <w:rFonts w:eastAsia="AdvEPSTIM-I"/>
          <w:szCs w:val="24"/>
          <w:lang w:val="en-US"/>
        </w:rPr>
        <w:t>Why information grows: The evolution of order, from atoms to economies</w:t>
      </w:r>
      <w:r w:rsidRPr="008B7B90">
        <w:rPr>
          <w:szCs w:val="24"/>
          <w:lang w:val="en-US"/>
        </w:rPr>
        <w:t>. New York: Penguin Press</w:t>
      </w:r>
      <w:r w:rsidR="00DD5347">
        <w:rPr>
          <w:szCs w:val="24"/>
        </w:rPr>
        <w:t>, 2015.</w:t>
      </w:r>
    </w:p>
    <w:p w:rsidR="007E52DE" w:rsidRPr="008B7B90" w:rsidRDefault="007E52DE" w:rsidP="00DD5347">
      <w:pPr>
        <w:numPr>
          <w:ilvl w:val="0"/>
          <w:numId w:val="1"/>
        </w:numPr>
        <w:spacing w:line="240" w:lineRule="auto"/>
        <w:ind w:left="357" w:hanging="357"/>
        <w:rPr>
          <w:iCs/>
          <w:szCs w:val="24"/>
          <w:lang w:val="en-US"/>
        </w:rPr>
      </w:pPr>
      <w:r w:rsidRPr="008B7B90">
        <w:rPr>
          <w:szCs w:val="24"/>
          <w:lang w:val="en-US"/>
        </w:rPr>
        <w:t xml:space="preserve">Hidalgo C.A., Hausmann R. The building blocks of economic complexity. Proceedings of the National Academy of Sciences, 106 (26), </w:t>
      </w:r>
      <w:r w:rsidR="00DD5347" w:rsidRPr="00DD5347">
        <w:rPr>
          <w:szCs w:val="24"/>
          <w:lang w:val="en-US"/>
        </w:rPr>
        <w:t xml:space="preserve">2009, </w:t>
      </w:r>
      <w:r w:rsidRPr="008B7B90">
        <w:rPr>
          <w:szCs w:val="24"/>
          <w:lang w:val="en-US"/>
        </w:rPr>
        <w:t xml:space="preserve">10570–10575. </w:t>
      </w:r>
    </w:p>
    <w:p w:rsidR="007E52DE" w:rsidRPr="008B7B90" w:rsidRDefault="007E52DE" w:rsidP="00DD5347">
      <w:pPr>
        <w:pStyle w:val="a8"/>
        <w:numPr>
          <w:ilvl w:val="0"/>
          <w:numId w:val="1"/>
        </w:numPr>
        <w:spacing w:line="240" w:lineRule="auto"/>
        <w:ind w:left="357" w:hanging="357"/>
        <w:rPr>
          <w:iCs/>
          <w:szCs w:val="24"/>
          <w:lang w:val="en-US"/>
        </w:rPr>
      </w:pPr>
      <w:proofErr w:type="spellStart"/>
      <w:r w:rsidRPr="008B7B90">
        <w:rPr>
          <w:iCs/>
          <w:szCs w:val="24"/>
          <w:lang w:val="en-US"/>
        </w:rPr>
        <w:t>Sciarra</w:t>
      </w:r>
      <w:proofErr w:type="spellEnd"/>
      <w:r w:rsidRPr="008B7B90">
        <w:rPr>
          <w:iCs/>
          <w:szCs w:val="24"/>
          <w:lang w:val="en-US"/>
        </w:rPr>
        <w:t xml:space="preserve"> C., </w:t>
      </w:r>
      <w:proofErr w:type="spellStart"/>
      <w:r w:rsidRPr="008B7B90">
        <w:rPr>
          <w:iCs/>
          <w:szCs w:val="24"/>
          <w:lang w:val="en-US"/>
        </w:rPr>
        <w:t>Chiarotti</w:t>
      </w:r>
      <w:proofErr w:type="spellEnd"/>
      <w:r w:rsidRPr="008B7B90">
        <w:rPr>
          <w:iCs/>
          <w:szCs w:val="24"/>
          <w:lang w:val="en-US"/>
        </w:rPr>
        <w:t xml:space="preserve"> G., Ridolfi L. et al.</w:t>
      </w:r>
      <w:r w:rsidR="00DD5347" w:rsidRPr="00DD5347">
        <w:rPr>
          <w:iCs/>
          <w:szCs w:val="24"/>
          <w:lang w:val="en-US"/>
        </w:rPr>
        <w:t xml:space="preserve"> </w:t>
      </w:r>
      <w:r w:rsidRPr="008B7B90">
        <w:rPr>
          <w:iCs/>
          <w:szCs w:val="24"/>
          <w:lang w:val="en-US"/>
        </w:rPr>
        <w:t xml:space="preserve">Reconciling contrasting views on economic complexity. Nat </w:t>
      </w:r>
      <w:proofErr w:type="spellStart"/>
      <w:r w:rsidRPr="008B7B90">
        <w:rPr>
          <w:iCs/>
          <w:szCs w:val="24"/>
          <w:lang w:val="en-US"/>
        </w:rPr>
        <w:t>Commun</w:t>
      </w:r>
      <w:proofErr w:type="spellEnd"/>
      <w:r w:rsidRPr="008B7B90">
        <w:rPr>
          <w:iCs/>
          <w:szCs w:val="24"/>
          <w:lang w:val="en-US"/>
        </w:rPr>
        <w:t>,</w:t>
      </w:r>
      <w:r w:rsidR="00DD5347" w:rsidRPr="002B2765">
        <w:rPr>
          <w:iCs/>
          <w:szCs w:val="24"/>
          <w:lang w:val="en-US"/>
        </w:rPr>
        <w:t xml:space="preserve"> </w:t>
      </w:r>
      <w:proofErr w:type="gramStart"/>
      <w:r w:rsidR="00DD5347" w:rsidRPr="002B2765">
        <w:rPr>
          <w:iCs/>
          <w:szCs w:val="24"/>
          <w:lang w:val="en-US"/>
        </w:rPr>
        <w:t xml:space="preserve">2020, </w:t>
      </w:r>
      <w:r w:rsidRPr="008B7B90">
        <w:rPr>
          <w:iCs/>
          <w:szCs w:val="24"/>
          <w:lang w:val="en-US"/>
        </w:rPr>
        <w:t xml:space="preserve"> 11</w:t>
      </w:r>
      <w:proofErr w:type="gramEnd"/>
      <w:r w:rsidRPr="008B7B90">
        <w:rPr>
          <w:iCs/>
          <w:szCs w:val="24"/>
          <w:lang w:val="en-US"/>
        </w:rPr>
        <w:t>, 3352.DOI: 10.1038/s41467-020-16992-1</w:t>
      </w:r>
    </w:p>
    <w:p w:rsidR="007E52DE" w:rsidRPr="002B2765" w:rsidRDefault="007E52DE" w:rsidP="008F50A1">
      <w:pPr>
        <w:spacing w:line="240" w:lineRule="auto"/>
        <w:ind w:firstLine="709"/>
        <w:rPr>
          <w:szCs w:val="24"/>
          <w:lang w:val="en-US"/>
        </w:rPr>
      </w:pPr>
    </w:p>
    <w:p w:rsidR="0049122B" w:rsidRPr="002B2765" w:rsidRDefault="0049122B" w:rsidP="008F50A1">
      <w:pPr>
        <w:spacing w:line="240" w:lineRule="auto"/>
        <w:ind w:firstLine="709"/>
        <w:rPr>
          <w:szCs w:val="24"/>
          <w:lang w:val="en-US"/>
        </w:rPr>
      </w:pPr>
    </w:p>
    <w:p w:rsidR="0049122B" w:rsidRDefault="0049122B" w:rsidP="0049122B">
      <w:pPr>
        <w:pStyle w:val="0--12"/>
        <w:ind w:firstLine="0"/>
        <w:jc w:val="center"/>
        <w:rPr>
          <w:b/>
          <w:bCs/>
        </w:rPr>
      </w:pPr>
      <w:r w:rsidRPr="0049122B">
        <w:rPr>
          <w:b/>
          <w:bCs/>
        </w:rPr>
        <w:t>Информация об авторе</w:t>
      </w:r>
    </w:p>
    <w:p w:rsidR="0049122B" w:rsidRDefault="0049122B" w:rsidP="008079D7">
      <w:pPr>
        <w:pStyle w:val="0--12"/>
        <w:spacing w:line="240" w:lineRule="auto"/>
        <w:ind w:firstLine="0"/>
        <w:rPr>
          <w:color w:val="000000"/>
          <w:szCs w:val="24"/>
        </w:rPr>
      </w:pPr>
      <w:r w:rsidRPr="008079D7">
        <w:rPr>
          <w:szCs w:val="24"/>
        </w:rPr>
        <w:t>Афанасьев М</w:t>
      </w:r>
      <w:r w:rsidRPr="008079D7">
        <w:rPr>
          <w:szCs w:val="24"/>
        </w:rPr>
        <w:t xml:space="preserve">ихаил Юрьевич (Россия, Москва) - </w:t>
      </w:r>
      <w:proofErr w:type="spellStart"/>
      <w:r w:rsidRPr="008079D7">
        <w:rPr>
          <w:szCs w:val="24"/>
        </w:rPr>
        <w:t>гл.н.с</w:t>
      </w:r>
      <w:proofErr w:type="spellEnd"/>
      <w:r w:rsidRPr="008079D7">
        <w:rPr>
          <w:szCs w:val="24"/>
        </w:rPr>
        <w:t xml:space="preserve">., Центральный экономико-математический институт РАН, </w:t>
      </w:r>
      <w:r w:rsidRPr="008079D7">
        <w:rPr>
          <w:szCs w:val="24"/>
        </w:rPr>
        <w:t>Н</w:t>
      </w:r>
      <w:r w:rsidR="008079D7" w:rsidRPr="008079D7">
        <w:rPr>
          <w:szCs w:val="24"/>
        </w:rPr>
        <w:t>а</w:t>
      </w:r>
      <w:r w:rsidRPr="008079D7">
        <w:rPr>
          <w:szCs w:val="24"/>
        </w:rPr>
        <w:t xml:space="preserve">химовский </w:t>
      </w:r>
      <w:proofErr w:type="spellStart"/>
      <w:r w:rsidRPr="008079D7">
        <w:rPr>
          <w:szCs w:val="24"/>
        </w:rPr>
        <w:t>пр-кт</w:t>
      </w:r>
      <w:proofErr w:type="spellEnd"/>
      <w:r w:rsidRPr="008079D7">
        <w:rPr>
          <w:szCs w:val="24"/>
        </w:rPr>
        <w:t xml:space="preserve"> 47; профессор, Государственный академический университет гуманит</w:t>
      </w:r>
      <w:r w:rsidR="008079D7" w:rsidRPr="008079D7">
        <w:rPr>
          <w:szCs w:val="24"/>
        </w:rPr>
        <w:t>а</w:t>
      </w:r>
      <w:r w:rsidRPr="008079D7">
        <w:rPr>
          <w:szCs w:val="24"/>
        </w:rPr>
        <w:t>рных наук</w:t>
      </w:r>
      <w:r w:rsidRPr="008079D7">
        <w:rPr>
          <w:szCs w:val="24"/>
        </w:rPr>
        <w:t xml:space="preserve">, </w:t>
      </w:r>
      <w:r w:rsidRPr="008079D7">
        <w:rPr>
          <w:color w:val="000000"/>
          <w:szCs w:val="24"/>
          <w:lang w:val="en-US"/>
        </w:rPr>
        <w:t>mi</w:t>
      </w:r>
      <w:r w:rsidRPr="008079D7">
        <w:rPr>
          <w:color w:val="000000"/>
          <w:szCs w:val="24"/>
        </w:rPr>
        <w:t>.</w:t>
      </w:r>
      <w:proofErr w:type="spellStart"/>
      <w:r w:rsidRPr="008079D7">
        <w:rPr>
          <w:color w:val="000000"/>
          <w:szCs w:val="24"/>
          <w:lang w:val="en-US"/>
        </w:rPr>
        <w:t>afan</w:t>
      </w:r>
      <w:proofErr w:type="spellEnd"/>
      <w:r w:rsidRPr="008079D7">
        <w:rPr>
          <w:color w:val="000000"/>
          <w:szCs w:val="24"/>
        </w:rPr>
        <w:t>@</w:t>
      </w:r>
      <w:proofErr w:type="spellStart"/>
      <w:r w:rsidRPr="008079D7">
        <w:rPr>
          <w:color w:val="000000"/>
          <w:szCs w:val="24"/>
          <w:lang w:val="en-US"/>
        </w:rPr>
        <w:t>yandex</w:t>
      </w:r>
      <w:proofErr w:type="spellEnd"/>
      <w:r w:rsidRPr="008079D7">
        <w:rPr>
          <w:color w:val="000000"/>
          <w:szCs w:val="24"/>
        </w:rPr>
        <w:t>.</w:t>
      </w:r>
      <w:proofErr w:type="spellStart"/>
      <w:r w:rsidRPr="008079D7">
        <w:rPr>
          <w:color w:val="000000"/>
          <w:szCs w:val="24"/>
          <w:lang w:val="en-US"/>
        </w:rPr>
        <w:t>ru</w:t>
      </w:r>
      <w:proofErr w:type="spellEnd"/>
      <w:r w:rsidRPr="008079D7">
        <w:rPr>
          <w:color w:val="000000"/>
          <w:szCs w:val="24"/>
        </w:rPr>
        <w:t xml:space="preserve"> </w:t>
      </w:r>
    </w:p>
    <w:p w:rsidR="001C30F6" w:rsidRDefault="001C30F6" w:rsidP="008079D7">
      <w:pPr>
        <w:pStyle w:val="0--12"/>
        <w:spacing w:line="240" w:lineRule="auto"/>
        <w:ind w:firstLine="0"/>
        <w:rPr>
          <w:color w:val="000000"/>
          <w:szCs w:val="24"/>
        </w:rPr>
      </w:pPr>
    </w:p>
    <w:p w:rsidR="00BD539D" w:rsidRDefault="00BD539D" w:rsidP="00BD539D">
      <w:pPr>
        <w:pStyle w:val="0--12"/>
        <w:spacing w:line="240" w:lineRule="auto"/>
        <w:ind w:firstLine="0"/>
        <w:jc w:val="right"/>
        <w:rPr>
          <w:b/>
          <w:bCs/>
          <w:color w:val="000000"/>
          <w:szCs w:val="24"/>
          <w:lang w:val="en-US"/>
        </w:rPr>
      </w:pPr>
    </w:p>
    <w:p w:rsidR="00BD539D" w:rsidRDefault="00BD539D" w:rsidP="00BD539D">
      <w:pPr>
        <w:pStyle w:val="0--12"/>
        <w:spacing w:line="240" w:lineRule="auto"/>
        <w:ind w:firstLine="0"/>
        <w:jc w:val="right"/>
        <w:rPr>
          <w:b/>
          <w:bCs/>
          <w:color w:val="000000"/>
          <w:szCs w:val="24"/>
          <w:lang w:val="en-US"/>
        </w:rPr>
      </w:pPr>
    </w:p>
    <w:p w:rsidR="00BD539D" w:rsidRDefault="00BD539D" w:rsidP="00BD539D">
      <w:pPr>
        <w:pStyle w:val="0--12"/>
        <w:spacing w:line="240" w:lineRule="auto"/>
        <w:ind w:firstLine="0"/>
        <w:jc w:val="right"/>
        <w:rPr>
          <w:b/>
          <w:bCs/>
          <w:color w:val="000000"/>
          <w:szCs w:val="24"/>
          <w:lang w:val="en-US"/>
        </w:rPr>
      </w:pPr>
    </w:p>
    <w:p w:rsidR="001C30F6" w:rsidRPr="00BD539D" w:rsidRDefault="00BD539D" w:rsidP="00BD539D">
      <w:pPr>
        <w:pStyle w:val="0--12"/>
        <w:spacing w:line="240" w:lineRule="auto"/>
        <w:ind w:firstLine="0"/>
        <w:jc w:val="right"/>
        <w:rPr>
          <w:b/>
          <w:bCs/>
          <w:color w:val="000000"/>
          <w:szCs w:val="24"/>
        </w:rPr>
      </w:pPr>
      <w:r w:rsidRPr="00BD539D">
        <w:rPr>
          <w:b/>
          <w:bCs/>
          <w:color w:val="000000"/>
          <w:szCs w:val="24"/>
          <w:lang w:val="en-US"/>
        </w:rPr>
        <w:t>Afanasiev</w:t>
      </w:r>
      <w:r w:rsidRPr="00BD539D">
        <w:rPr>
          <w:b/>
          <w:bCs/>
          <w:color w:val="000000"/>
          <w:szCs w:val="24"/>
          <w:lang w:val="en-US"/>
        </w:rPr>
        <w:t xml:space="preserve"> M.Y.</w:t>
      </w:r>
    </w:p>
    <w:p w:rsidR="008B7B90" w:rsidRDefault="008B7B90" w:rsidP="008079D7">
      <w:pPr>
        <w:pStyle w:val="0--12"/>
        <w:spacing w:line="240" w:lineRule="auto"/>
        <w:ind w:firstLine="0"/>
        <w:rPr>
          <w:color w:val="000000"/>
          <w:szCs w:val="24"/>
        </w:rPr>
      </w:pPr>
    </w:p>
    <w:p w:rsidR="001C30F6" w:rsidRPr="001C30F6" w:rsidRDefault="001C30F6" w:rsidP="001C30F6">
      <w:pPr>
        <w:pStyle w:val="0--12"/>
        <w:spacing w:line="240" w:lineRule="auto"/>
        <w:ind w:firstLine="0"/>
        <w:jc w:val="center"/>
        <w:rPr>
          <w:color w:val="000000"/>
          <w:szCs w:val="24"/>
          <w:lang w:val="en-US"/>
        </w:rPr>
      </w:pPr>
      <w:r w:rsidRPr="001C30F6">
        <w:rPr>
          <w:color w:val="000000"/>
          <w:szCs w:val="24"/>
          <w:lang w:val="en-US"/>
        </w:rPr>
        <w:t>COMPARATIVE ANALYSIS OF APPROACHES TO ASSESSING THE ECONOMIC COMPLEXITY OF REGIONAL ECONOMIES</w:t>
      </w:r>
    </w:p>
    <w:p w:rsidR="001C30F6" w:rsidRPr="001C30F6" w:rsidRDefault="001C30F6" w:rsidP="001C30F6">
      <w:pPr>
        <w:pStyle w:val="0--12"/>
        <w:spacing w:line="240" w:lineRule="auto"/>
        <w:ind w:firstLine="0"/>
        <w:rPr>
          <w:color w:val="000000"/>
          <w:szCs w:val="24"/>
          <w:lang w:val="en-US"/>
        </w:rPr>
      </w:pPr>
    </w:p>
    <w:p w:rsidR="001C30F6" w:rsidRPr="001C30F6" w:rsidRDefault="001C30F6" w:rsidP="001C30F6">
      <w:pPr>
        <w:pStyle w:val="0--12"/>
        <w:spacing w:line="240" w:lineRule="auto"/>
        <w:ind w:firstLine="0"/>
        <w:rPr>
          <w:color w:val="000000"/>
          <w:szCs w:val="24"/>
          <w:lang w:val="en-US"/>
        </w:rPr>
      </w:pPr>
      <w:r w:rsidRPr="001C30F6">
        <w:rPr>
          <w:b/>
          <w:bCs/>
          <w:color w:val="000000"/>
          <w:szCs w:val="24"/>
          <w:lang w:val="en-US"/>
        </w:rPr>
        <w:t>Annotation.</w:t>
      </w:r>
      <w:r w:rsidRPr="001C30F6">
        <w:rPr>
          <w:color w:val="000000"/>
          <w:szCs w:val="24"/>
          <w:lang w:val="en-US"/>
        </w:rPr>
        <w:t xml:space="preserve"> An approach to assessing the economic complexity of Russian regions by types of economic activity is proposed. 0-1 matrices are constructed based on data on production volumes by sectors and types of economic activity. Their structures correctly reflect the idea embedded in the economic complexity index. A comparative analysis of estimates of the economic complexity </w:t>
      </w:r>
      <w:r w:rsidRPr="001C30F6">
        <w:rPr>
          <w:color w:val="000000"/>
          <w:szCs w:val="24"/>
          <w:lang w:val="en-US"/>
        </w:rPr>
        <w:lastRenderedPageBreak/>
        <w:t>of regions by foreign economic activity and estimates of economic complexity by sectors is carried out. It is shown that estimates of economic complexity have high stability in the transition from data on sectors to data on foreign economic activity. Assessment of the economic complexity of regions by foreign economic activity can be useful in solving management tasks aimed at increasing the economic complexity of the region.</w:t>
      </w:r>
    </w:p>
    <w:p w:rsidR="00026B59" w:rsidRPr="009F5281" w:rsidRDefault="001C30F6" w:rsidP="00026B59">
      <w:pPr>
        <w:rPr>
          <w:lang w:val="en-US"/>
        </w:rPr>
      </w:pPr>
      <w:r w:rsidRPr="001C30F6">
        <w:rPr>
          <w:b/>
          <w:bCs/>
          <w:color w:val="000000"/>
          <w:szCs w:val="24"/>
          <w:lang w:val="en-US"/>
        </w:rPr>
        <w:t>Keywords</w:t>
      </w:r>
      <w:r w:rsidRPr="001C30F6">
        <w:rPr>
          <w:color w:val="000000"/>
          <w:szCs w:val="24"/>
          <w:lang w:val="en-US"/>
        </w:rPr>
        <w:t xml:space="preserve">: </w:t>
      </w:r>
      <w:r w:rsidR="00026B59" w:rsidRPr="009F5281">
        <w:rPr>
          <w:lang w:val="en-US"/>
        </w:rPr>
        <w:t>regional economy, economic complexity, econometrics.</w:t>
      </w:r>
    </w:p>
    <w:p w:rsidR="008B7B90" w:rsidRDefault="008B7B90" w:rsidP="001C30F6">
      <w:pPr>
        <w:pStyle w:val="0--12"/>
        <w:spacing w:line="240" w:lineRule="auto"/>
        <w:ind w:firstLine="0"/>
        <w:rPr>
          <w:color w:val="000000"/>
          <w:szCs w:val="24"/>
          <w:lang w:val="en-US"/>
        </w:rPr>
      </w:pPr>
    </w:p>
    <w:p w:rsidR="001C30F6" w:rsidRDefault="001C30F6" w:rsidP="001C30F6">
      <w:pPr>
        <w:pStyle w:val="0--12"/>
        <w:spacing w:line="240" w:lineRule="auto"/>
        <w:ind w:firstLine="0"/>
        <w:rPr>
          <w:color w:val="000000"/>
          <w:szCs w:val="24"/>
          <w:lang w:val="en-US"/>
        </w:rPr>
      </w:pPr>
    </w:p>
    <w:p w:rsidR="001C30F6" w:rsidRDefault="001C30F6" w:rsidP="001C30F6">
      <w:pPr>
        <w:pStyle w:val="0--12"/>
        <w:spacing w:line="240" w:lineRule="auto"/>
        <w:ind w:firstLine="0"/>
        <w:rPr>
          <w:color w:val="000000"/>
          <w:szCs w:val="24"/>
          <w:lang w:val="en-US"/>
        </w:rPr>
      </w:pPr>
    </w:p>
    <w:p w:rsidR="001C30F6" w:rsidRPr="001C30F6" w:rsidRDefault="001C30F6" w:rsidP="001C30F6">
      <w:pPr>
        <w:pStyle w:val="0--12"/>
        <w:spacing w:line="240" w:lineRule="auto"/>
        <w:ind w:firstLine="0"/>
        <w:jc w:val="center"/>
        <w:rPr>
          <w:b/>
          <w:bCs/>
          <w:color w:val="000000"/>
          <w:szCs w:val="24"/>
          <w:lang w:val="en-US"/>
        </w:rPr>
      </w:pPr>
      <w:r w:rsidRPr="001C30F6">
        <w:rPr>
          <w:b/>
          <w:bCs/>
          <w:color w:val="000000"/>
          <w:szCs w:val="24"/>
          <w:lang w:val="en-US"/>
        </w:rPr>
        <w:t>Information about the author</w:t>
      </w:r>
    </w:p>
    <w:p w:rsidR="001C30F6" w:rsidRPr="001C30F6" w:rsidRDefault="001C30F6" w:rsidP="001C30F6">
      <w:pPr>
        <w:pStyle w:val="0--12"/>
        <w:spacing w:line="240" w:lineRule="auto"/>
        <w:ind w:firstLine="0"/>
        <w:rPr>
          <w:color w:val="000000"/>
          <w:szCs w:val="24"/>
          <w:lang w:val="en-US"/>
        </w:rPr>
      </w:pPr>
      <w:r w:rsidRPr="001C30F6">
        <w:rPr>
          <w:color w:val="000000"/>
          <w:szCs w:val="24"/>
          <w:lang w:val="en-US"/>
        </w:rPr>
        <w:t>Afanas</w:t>
      </w:r>
      <w:r>
        <w:rPr>
          <w:color w:val="000000"/>
          <w:szCs w:val="24"/>
          <w:lang w:val="en-US"/>
        </w:rPr>
        <w:t>i</w:t>
      </w:r>
      <w:r w:rsidRPr="001C30F6">
        <w:rPr>
          <w:color w:val="000000"/>
          <w:szCs w:val="24"/>
          <w:lang w:val="en-US"/>
        </w:rPr>
        <w:t xml:space="preserve">ev Mikhail </w:t>
      </w:r>
      <w:proofErr w:type="spellStart"/>
      <w:r w:rsidRPr="001C30F6">
        <w:rPr>
          <w:color w:val="000000"/>
          <w:szCs w:val="24"/>
          <w:lang w:val="en-US"/>
        </w:rPr>
        <w:t>Yuryevich</w:t>
      </w:r>
      <w:proofErr w:type="spellEnd"/>
      <w:r w:rsidRPr="001C30F6">
        <w:rPr>
          <w:color w:val="000000"/>
          <w:szCs w:val="24"/>
          <w:lang w:val="en-US"/>
        </w:rPr>
        <w:t xml:space="preserve"> (Moscow, Russia) - Head of Scientific Research, Central Economic and Mathematical Institute of the Russian Academy of Sciences, </w:t>
      </w:r>
      <w:proofErr w:type="spellStart"/>
      <w:r w:rsidRPr="001C30F6">
        <w:rPr>
          <w:color w:val="000000"/>
          <w:szCs w:val="24"/>
          <w:lang w:val="en-US"/>
        </w:rPr>
        <w:t>Nakhimov</w:t>
      </w:r>
      <w:proofErr w:type="spellEnd"/>
      <w:r w:rsidRPr="001C30F6">
        <w:rPr>
          <w:color w:val="000000"/>
          <w:szCs w:val="24"/>
          <w:lang w:val="en-US"/>
        </w:rPr>
        <w:t xml:space="preserve"> Ave., 47; Professor, State Academic University of Humanities, mi.afan@yandex.ru</w:t>
      </w:r>
    </w:p>
    <w:p w:rsidR="008B7B90" w:rsidRPr="001C30F6" w:rsidRDefault="008B7B90" w:rsidP="008079D7">
      <w:pPr>
        <w:pStyle w:val="0--12"/>
        <w:spacing w:line="240" w:lineRule="auto"/>
        <w:ind w:firstLine="0"/>
        <w:rPr>
          <w:color w:val="000000"/>
          <w:szCs w:val="24"/>
          <w:lang w:val="en-US"/>
        </w:rPr>
      </w:pPr>
    </w:p>
    <w:p w:rsidR="008B7B90" w:rsidRPr="008B7B90" w:rsidRDefault="008B7B90" w:rsidP="008B7B90">
      <w:pPr>
        <w:ind w:firstLine="0"/>
        <w:jc w:val="center"/>
        <w:rPr>
          <w:lang w:val="en-US"/>
        </w:rPr>
      </w:pPr>
      <w:r w:rsidRPr="008B7B90">
        <w:rPr>
          <w:lang w:val="en-US"/>
        </w:rPr>
        <w:t>References</w:t>
      </w:r>
    </w:p>
    <w:p w:rsidR="008B7B90" w:rsidRPr="00D45471" w:rsidRDefault="008B7B90" w:rsidP="008B7B90">
      <w:pPr>
        <w:spacing w:line="240" w:lineRule="auto"/>
        <w:ind w:firstLine="0"/>
        <w:rPr>
          <w:lang w:val="en-US"/>
        </w:rPr>
      </w:pPr>
      <w:r w:rsidRPr="006A169B">
        <w:rPr>
          <w:lang w:val="en-US"/>
        </w:rPr>
        <w:t xml:space="preserve">1. </w:t>
      </w:r>
      <w:proofErr w:type="spellStart"/>
      <w:r w:rsidRPr="006A169B">
        <w:rPr>
          <w:lang w:val="en-US"/>
        </w:rPr>
        <w:t>A</w:t>
      </w:r>
      <w:r>
        <w:rPr>
          <w:lang w:val="en-US"/>
        </w:rPr>
        <w:t>i</w:t>
      </w:r>
      <w:r w:rsidRPr="006A169B">
        <w:rPr>
          <w:lang w:val="en-US"/>
        </w:rPr>
        <w:t>vaz</w:t>
      </w:r>
      <w:r>
        <w:rPr>
          <w:lang w:val="en-US"/>
        </w:rPr>
        <w:t>i</w:t>
      </w:r>
      <w:r w:rsidRPr="006A169B">
        <w:rPr>
          <w:lang w:val="en-US"/>
        </w:rPr>
        <w:t>an</w:t>
      </w:r>
      <w:proofErr w:type="spellEnd"/>
      <w:r w:rsidRPr="006A169B">
        <w:rPr>
          <w:lang w:val="en-US"/>
        </w:rPr>
        <w:t>, S., Afanas</w:t>
      </w:r>
      <w:r>
        <w:rPr>
          <w:lang w:val="en-US"/>
        </w:rPr>
        <w:t>i</w:t>
      </w:r>
      <w:r w:rsidRPr="006A169B">
        <w:rPr>
          <w:lang w:val="en-US"/>
        </w:rPr>
        <w:t xml:space="preserve">ev M., </w:t>
      </w:r>
      <w:proofErr w:type="spellStart"/>
      <w:r w:rsidRPr="006A169B">
        <w:rPr>
          <w:lang w:val="en-US"/>
        </w:rPr>
        <w:t>Kudrov</w:t>
      </w:r>
      <w:proofErr w:type="spellEnd"/>
      <w:r w:rsidRPr="006A169B">
        <w:rPr>
          <w:lang w:val="en-US"/>
        </w:rPr>
        <w:t xml:space="preserve"> A. Method of clustering of regions of the Russian Federation taking into account the sectoral structure of GRP // Applied Econometrics.  2016. № 1(41). – p. 24-46</w:t>
      </w:r>
      <w:r>
        <w:rPr>
          <w:lang w:val="en-US"/>
        </w:rPr>
        <w:t xml:space="preserve"> (</w:t>
      </w:r>
      <w:r w:rsidRPr="00D45471">
        <w:rPr>
          <w:lang w:val="en-US"/>
        </w:rPr>
        <w:t>in Russian).</w:t>
      </w:r>
    </w:p>
    <w:p w:rsidR="008B7B90" w:rsidRPr="006A169B" w:rsidRDefault="008B7B90" w:rsidP="008B7B90">
      <w:pPr>
        <w:spacing w:line="240" w:lineRule="auto"/>
        <w:ind w:firstLine="0"/>
        <w:rPr>
          <w:lang w:val="en-US"/>
        </w:rPr>
      </w:pPr>
      <w:r w:rsidRPr="008B7B90">
        <w:rPr>
          <w:lang w:val="en-US"/>
        </w:rPr>
        <w:t>2</w:t>
      </w:r>
      <w:r w:rsidRPr="006A169B">
        <w:rPr>
          <w:lang w:val="en-US"/>
        </w:rPr>
        <w:t>. Afanas</w:t>
      </w:r>
      <w:r>
        <w:rPr>
          <w:lang w:val="en-US"/>
        </w:rPr>
        <w:t>i</w:t>
      </w:r>
      <w:r w:rsidRPr="006A169B">
        <w:rPr>
          <w:lang w:val="en-US"/>
        </w:rPr>
        <w:t>ev M., Gusev A. Approximation of estimates of economic complexity when choosing priority areas of diversification / Journal "Digital Economy", No. 1(17). Moscow. 2022. pp. 52-59. – DOI 10.34706/DE-2022-01-05</w:t>
      </w:r>
      <w:r>
        <w:rPr>
          <w:lang w:val="en-US"/>
        </w:rPr>
        <w:t xml:space="preserve"> (</w:t>
      </w:r>
      <w:r w:rsidRPr="00D45471">
        <w:rPr>
          <w:lang w:val="en-US"/>
        </w:rPr>
        <w:t>in Russian).</w:t>
      </w:r>
    </w:p>
    <w:p w:rsidR="008B7B90" w:rsidRPr="006A169B" w:rsidRDefault="008B7B90" w:rsidP="008B7B90">
      <w:pPr>
        <w:spacing w:line="240" w:lineRule="auto"/>
        <w:ind w:firstLine="0"/>
        <w:rPr>
          <w:lang w:val="en-US"/>
        </w:rPr>
      </w:pPr>
      <w:r w:rsidRPr="008B7B90">
        <w:rPr>
          <w:lang w:val="en-US"/>
        </w:rPr>
        <w:t>3</w:t>
      </w:r>
      <w:r w:rsidRPr="006A169B">
        <w:rPr>
          <w:lang w:val="en-US"/>
        </w:rPr>
        <w:t>. Afanas</w:t>
      </w:r>
      <w:r>
        <w:rPr>
          <w:lang w:val="en-US"/>
        </w:rPr>
        <w:t>i</w:t>
      </w:r>
      <w:r w:rsidRPr="006A169B">
        <w:rPr>
          <w:lang w:val="en-US"/>
        </w:rPr>
        <w:t xml:space="preserve">ev M., Gusev A. On the relationship of economic complexity indices and indicators of socio-economic development/Bulletin of the CEMI, </w:t>
      </w:r>
      <w:r w:rsidR="002B2765" w:rsidRPr="002B2765">
        <w:rPr>
          <w:lang w:val="en-US"/>
        </w:rPr>
        <w:t xml:space="preserve">2023, </w:t>
      </w:r>
      <w:r w:rsidRPr="006A169B">
        <w:rPr>
          <w:lang w:val="en-US"/>
        </w:rPr>
        <w:t>vol.6, issue 2</w:t>
      </w:r>
      <w:r>
        <w:rPr>
          <w:lang w:val="en-US"/>
        </w:rPr>
        <w:t xml:space="preserve"> (</w:t>
      </w:r>
      <w:r w:rsidRPr="00D45471">
        <w:rPr>
          <w:lang w:val="en-US"/>
        </w:rPr>
        <w:t>in Russian).</w:t>
      </w:r>
    </w:p>
    <w:p w:rsidR="008B7B90" w:rsidRPr="009014B2" w:rsidRDefault="008B7B90" w:rsidP="008B7B90">
      <w:pPr>
        <w:spacing w:line="240" w:lineRule="auto"/>
        <w:ind w:firstLine="0"/>
        <w:rPr>
          <w:szCs w:val="24"/>
          <w:lang w:val="en-US"/>
        </w:rPr>
      </w:pPr>
      <w:r w:rsidRPr="002B2765">
        <w:rPr>
          <w:lang w:val="en-US"/>
        </w:rPr>
        <w:t>4</w:t>
      </w:r>
      <w:r w:rsidRPr="009014B2">
        <w:rPr>
          <w:lang w:val="en-US"/>
        </w:rPr>
        <w:t xml:space="preserve">.  </w:t>
      </w:r>
      <w:r w:rsidRPr="009014B2">
        <w:rPr>
          <w:szCs w:val="24"/>
          <w:lang w:val="en-US"/>
        </w:rPr>
        <w:t xml:space="preserve">Hartmann D. Linking economic complexity, institutions, and income inequality. World Development, </w:t>
      </w:r>
      <w:r w:rsidR="002B2765" w:rsidRPr="002B2765">
        <w:rPr>
          <w:szCs w:val="24"/>
          <w:lang w:val="en-US"/>
        </w:rPr>
        <w:t xml:space="preserve">2017, </w:t>
      </w:r>
      <w:r w:rsidRPr="009014B2">
        <w:rPr>
          <w:szCs w:val="24"/>
          <w:lang w:val="en-US"/>
        </w:rPr>
        <w:t>93, 75–93.</w:t>
      </w:r>
    </w:p>
    <w:p w:rsidR="008B7B90" w:rsidRPr="009014B2" w:rsidRDefault="008B7B90" w:rsidP="008B7B90">
      <w:pPr>
        <w:spacing w:line="240" w:lineRule="auto"/>
        <w:ind w:firstLine="0"/>
        <w:rPr>
          <w:szCs w:val="24"/>
          <w:lang w:val="en-US"/>
        </w:rPr>
      </w:pPr>
      <w:r w:rsidRPr="008B7B90">
        <w:rPr>
          <w:szCs w:val="24"/>
          <w:lang w:val="en-US"/>
        </w:rPr>
        <w:t>5.</w:t>
      </w:r>
      <w:r w:rsidRPr="009014B2">
        <w:rPr>
          <w:szCs w:val="24"/>
          <w:lang w:val="en-US"/>
        </w:rPr>
        <w:t xml:space="preserve"> </w:t>
      </w:r>
      <w:r w:rsidRPr="009014B2">
        <w:rPr>
          <w:szCs w:val="24"/>
          <w:lang w:val="de-DE"/>
        </w:rPr>
        <w:t xml:space="preserve">Hausmann R., Hwang J., Rodrik D. </w:t>
      </w:r>
      <w:r w:rsidRPr="009014B2">
        <w:rPr>
          <w:szCs w:val="24"/>
          <w:lang w:val="en-US"/>
        </w:rPr>
        <w:t xml:space="preserve">What you export matters. Journal of Economic Growth, </w:t>
      </w:r>
      <w:r w:rsidR="002B2765" w:rsidRPr="002B2765">
        <w:rPr>
          <w:szCs w:val="24"/>
          <w:lang w:val="en-US"/>
        </w:rPr>
        <w:t xml:space="preserve">2006, </w:t>
      </w:r>
      <w:r w:rsidRPr="009014B2">
        <w:rPr>
          <w:szCs w:val="24"/>
          <w:lang w:val="en-US"/>
        </w:rPr>
        <w:t>12 (1), 1–25.</w:t>
      </w:r>
    </w:p>
    <w:p w:rsidR="008B7B90" w:rsidRPr="002B2765" w:rsidRDefault="008B7B90" w:rsidP="008B7B90">
      <w:pPr>
        <w:spacing w:line="240" w:lineRule="auto"/>
        <w:ind w:firstLine="0"/>
        <w:rPr>
          <w:szCs w:val="24"/>
          <w:lang w:val="en-US"/>
        </w:rPr>
      </w:pPr>
      <w:r w:rsidRPr="008B7B90">
        <w:rPr>
          <w:szCs w:val="24"/>
          <w:lang w:val="en-US"/>
        </w:rPr>
        <w:t>6</w:t>
      </w:r>
      <w:r w:rsidRPr="009014B2">
        <w:rPr>
          <w:szCs w:val="24"/>
          <w:lang w:val="en-US"/>
        </w:rPr>
        <w:t>. Hausmann R., Klinger B. Structural transformation and patterns of comparative advantage in the product space. CID Working Paper No. 128.</w:t>
      </w:r>
      <w:r w:rsidR="002B2765" w:rsidRPr="002B2765">
        <w:rPr>
          <w:szCs w:val="24"/>
          <w:lang w:val="en-US"/>
        </w:rPr>
        <w:t xml:space="preserve"> 2006.</w:t>
      </w:r>
    </w:p>
    <w:p w:rsidR="008B7B90" w:rsidRPr="009014B2" w:rsidRDefault="008B7B90" w:rsidP="008B7B90">
      <w:pPr>
        <w:spacing w:line="240" w:lineRule="auto"/>
        <w:ind w:firstLine="0"/>
        <w:rPr>
          <w:szCs w:val="24"/>
          <w:lang w:val="en-US"/>
        </w:rPr>
      </w:pPr>
      <w:r w:rsidRPr="008B7B90">
        <w:rPr>
          <w:szCs w:val="24"/>
          <w:lang w:val="en-US"/>
        </w:rPr>
        <w:t>7</w:t>
      </w:r>
      <w:r w:rsidRPr="009014B2">
        <w:rPr>
          <w:szCs w:val="24"/>
          <w:lang w:val="en-US"/>
        </w:rPr>
        <w:t xml:space="preserve">. Hausmann R., Rodrik D. Economic development as </w:t>
      </w:r>
      <w:proofErr w:type="spellStart"/>
      <w:r w:rsidRPr="009014B2">
        <w:rPr>
          <w:szCs w:val="24"/>
          <w:lang w:val="en-US"/>
        </w:rPr>
        <w:t>selfdiscovery</w:t>
      </w:r>
      <w:proofErr w:type="spellEnd"/>
      <w:r w:rsidRPr="009014B2">
        <w:rPr>
          <w:szCs w:val="24"/>
          <w:lang w:val="en-US"/>
        </w:rPr>
        <w:t xml:space="preserve">. Journal of Development Economics, </w:t>
      </w:r>
      <w:r w:rsidR="002B2765" w:rsidRPr="002B2765">
        <w:rPr>
          <w:szCs w:val="24"/>
          <w:lang w:val="en-US"/>
        </w:rPr>
        <w:t xml:space="preserve">2003, </w:t>
      </w:r>
      <w:r w:rsidRPr="009014B2">
        <w:rPr>
          <w:szCs w:val="24"/>
          <w:lang w:val="en-US"/>
        </w:rPr>
        <w:t>72 (2), 603–633.</w:t>
      </w:r>
    </w:p>
    <w:p w:rsidR="008B7B90" w:rsidRPr="00D55FD6" w:rsidRDefault="008B7B90" w:rsidP="008B7B90">
      <w:pPr>
        <w:spacing w:line="240" w:lineRule="auto"/>
        <w:ind w:firstLine="0"/>
        <w:rPr>
          <w:szCs w:val="24"/>
          <w:lang w:val="en-US"/>
        </w:rPr>
      </w:pPr>
      <w:r w:rsidRPr="008B7B90">
        <w:rPr>
          <w:szCs w:val="24"/>
          <w:lang w:val="en-US"/>
        </w:rPr>
        <w:t>8</w:t>
      </w:r>
      <w:r w:rsidRPr="009014B2">
        <w:rPr>
          <w:szCs w:val="24"/>
          <w:lang w:val="en-US"/>
        </w:rPr>
        <w:t xml:space="preserve">. Hidalgo, C. </w:t>
      </w:r>
      <w:r w:rsidRPr="009014B2">
        <w:rPr>
          <w:rFonts w:eastAsia="AdvEPSTIM-I"/>
          <w:szCs w:val="24"/>
          <w:lang w:val="en-US"/>
        </w:rPr>
        <w:t>Why information grows: The evolution of order, from atoms to economies</w:t>
      </w:r>
      <w:r w:rsidRPr="009014B2">
        <w:rPr>
          <w:szCs w:val="24"/>
          <w:lang w:val="en-US"/>
        </w:rPr>
        <w:t>. New York: Penguin Press</w:t>
      </w:r>
      <w:r w:rsidR="002B2765" w:rsidRPr="00D55FD6">
        <w:rPr>
          <w:szCs w:val="24"/>
          <w:lang w:val="en-US"/>
        </w:rPr>
        <w:t>, 2015.</w:t>
      </w:r>
    </w:p>
    <w:p w:rsidR="00D55FD6" w:rsidRDefault="008B7B90" w:rsidP="008B7B90">
      <w:pPr>
        <w:spacing w:line="240" w:lineRule="auto"/>
        <w:ind w:firstLine="0"/>
        <w:rPr>
          <w:szCs w:val="24"/>
          <w:lang w:val="en-US"/>
        </w:rPr>
      </w:pPr>
      <w:r w:rsidRPr="008B7B90">
        <w:rPr>
          <w:szCs w:val="24"/>
          <w:lang w:val="en-US"/>
        </w:rPr>
        <w:t>9</w:t>
      </w:r>
      <w:r w:rsidRPr="009014B2">
        <w:rPr>
          <w:szCs w:val="24"/>
          <w:lang w:val="en-US"/>
        </w:rPr>
        <w:t>. Hidalgo C.A., Hausmann R.</w:t>
      </w:r>
      <w:r w:rsidR="00D55FD6" w:rsidRPr="00D55FD6">
        <w:rPr>
          <w:szCs w:val="24"/>
          <w:lang w:val="en-US"/>
        </w:rPr>
        <w:t xml:space="preserve"> </w:t>
      </w:r>
      <w:r w:rsidRPr="009014B2">
        <w:rPr>
          <w:szCs w:val="24"/>
          <w:lang w:val="en-US"/>
        </w:rPr>
        <w:t xml:space="preserve">The building blocks of economic complexity. Proceedings of the National Academy of Sciences, </w:t>
      </w:r>
      <w:r w:rsidR="00D55FD6" w:rsidRPr="00D55FD6">
        <w:rPr>
          <w:szCs w:val="24"/>
          <w:lang w:val="en-US"/>
        </w:rPr>
        <w:t xml:space="preserve">2009, </w:t>
      </w:r>
      <w:r w:rsidRPr="009014B2">
        <w:rPr>
          <w:szCs w:val="24"/>
          <w:lang w:val="en-US"/>
        </w:rPr>
        <w:t xml:space="preserve">106 (26), 10570–10575. </w:t>
      </w:r>
    </w:p>
    <w:p w:rsidR="008B7B90" w:rsidRPr="009014B2" w:rsidRDefault="008B7B90" w:rsidP="008B7B90">
      <w:pPr>
        <w:spacing w:line="240" w:lineRule="auto"/>
        <w:ind w:firstLine="0"/>
        <w:rPr>
          <w:iCs/>
          <w:szCs w:val="24"/>
          <w:lang w:val="en-US"/>
        </w:rPr>
      </w:pPr>
      <w:r w:rsidRPr="009014B2">
        <w:rPr>
          <w:sz w:val="22"/>
          <w:szCs w:val="22"/>
          <w:lang w:val="en-US"/>
        </w:rPr>
        <w:t>1</w:t>
      </w:r>
      <w:r w:rsidRPr="008B7B90">
        <w:rPr>
          <w:sz w:val="22"/>
          <w:szCs w:val="22"/>
          <w:lang w:val="en-US"/>
        </w:rPr>
        <w:t>0</w:t>
      </w:r>
      <w:r w:rsidRPr="009014B2">
        <w:rPr>
          <w:sz w:val="22"/>
          <w:szCs w:val="22"/>
          <w:lang w:val="en-US"/>
        </w:rPr>
        <w:t xml:space="preserve">. </w:t>
      </w:r>
      <w:proofErr w:type="spellStart"/>
      <w:r w:rsidRPr="009014B2">
        <w:rPr>
          <w:iCs/>
          <w:szCs w:val="24"/>
          <w:lang w:val="en-US"/>
        </w:rPr>
        <w:t>Sciarra</w:t>
      </w:r>
      <w:proofErr w:type="spellEnd"/>
      <w:r w:rsidRPr="009014B2">
        <w:rPr>
          <w:iCs/>
          <w:szCs w:val="24"/>
          <w:lang w:val="en-US"/>
        </w:rPr>
        <w:t xml:space="preserve"> C., </w:t>
      </w:r>
      <w:proofErr w:type="spellStart"/>
      <w:r w:rsidRPr="009014B2">
        <w:rPr>
          <w:iCs/>
          <w:szCs w:val="24"/>
          <w:lang w:val="en-US"/>
        </w:rPr>
        <w:t>Chiarotti</w:t>
      </w:r>
      <w:proofErr w:type="spellEnd"/>
      <w:r w:rsidRPr="009014B2">
        <w:rPr>
          <w:iCs/>
          <w:szCs w:val="24"/>
          <w:lang w:val="en-US"/>
        </w:rPr>
        <w:t xml:space="preserve"> G., Ridolfi L. et al. Reconciling contrasting views on economic complexity. Nat </w:t>
      </w:r>
      <w:proofErr w:type="spellStart"/>
      <w:r w:rsidRPr="009014B2">
        <w:rPr>
          <w:iCs/>
          <w:szCs w:val="24"/>
          <w:lang w:val="en-US"/>
        </w:rPr>
        <w:t>Commun</w:t>
      </w:r>
      <w:proofErr w:type="spellEnd"/>
      <w:r w:rsidRPr="009014B2">
        <w:rPr>
          <w:iCs/>
          <w:szCs w:val="24"/>
          <w:lang w:val="en-US"/>
        </w:rPr>
        <w:t xml:space="preserve">, </w:t>
      </w:r>
      <w:r w:rsidR="00D55FD6" w:rsidRPr="001C30F6">
        <w:rPr>
          <w:iCs/>
          <w:szCs w:val="24"/>
          <w:lang w:val="en-US"/>
        </w:rPr>
        <w:t xml:space="preserve">2020, </w:t>
      </w:r>
      <w:r w:rsidRPr="009014B2">
        <w:rPr>
          <w:iCs/>
          <w:szCs w:val="24"/>
          <w:lang w:val="en-US"/>
        </w:rPr>
        <w:t>11, 3352.DOI: 10.1038/s41467-020-16992-1</w:t>
      </w:r>
    </w:p>
    <w:p w:rsidR="008B7B90" w:rsidRPr="001C30F6" w:rsidRDefault="008B7B90" w:rsidP="008079D7">
      <w:pPr>
        <w:pStyle w:val="0--12"/>
        <w:spacing w:line="240" w:lineRule="auto"/>
        <w:ind w:firstLine="0"/>
        <w:rPr>
          <w:b/>
          <w:bCs/>
          <w:szCs w:val="24"/>
          <w:lang w:val="en-US"/>
        </w:rPr>
      </w:pPr>
    </w:p>
    <w:sectPr w:rsidR="008B7B90" w:rsidRPr="001C30F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F50A1" w:rsidRDefault="008F50A1" w:rsidP="008F50A1">
      <w:pPr>
        <w:spacing w:line="240" w:lineRule="auto"/>
      </w:pPr>
      <w:r>
        <w:separator/>
      </w:r>
    </w:p>
  </w:endnote>
  <w:endnote w:type="continuationSeparator" w:id="0">
    <w:p w:rsidR="008F50A1" w:rsidRDefault="008F50A1" w:rsidP="008F50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Newton-Regular">
    <w:altName w:val="Cambria"/>
    <w:panose1 w:val="00000000000000000000"/>
    <w:charset w:val="CC"/>
    <w:family w:val="roman"/>
    <w:notTrueType/>
    <w:pitch w:val="default"/>
    <w:sig w:usb0="00000201" w:usb1="00000000" w:usb2="00000000" w:usb3="00000000" w:csb0="00000004" w:csb1="00000000"/>
  </w:font>
  <w:font w:name="NewBaskervilleC-Roman">
    <w:altName w:val="MS Gothic"/>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AdvEPSTIM-I">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F50A1" w:rsidRDefault="008F50A1" w:rsidP="008F50A1">
      <w:pPr>
        <w:spacing w:line="240" w:lineRule="auto"/>
      </w:pPr>
      <w:r>
        <w:separator/>
      </w:r>
    </w:p>
  </w:footnote>
  <w:footnote w:type="continuationSeparator" w:id="0">
    <w:p w:rsidR="008F50A1" w:rsidRDefault="008F50A1" w:rsidP="008F50A1">
      <w:pPr>
        <w:spacing w:line="240" w:lineRule="auto"/>
      </w:pPr>
      <w:r>
        <w:continuationSeparator/>
      </w:r>
    </w:p>
  </w:footnote>
  <w:footnote w:id="1">
    <w:p w:rsidR="008F50A1" w:rsidRDefault="008F50A1" w:rsidP="008F50A1">
      <w:pPr>
        <w:pStyle w:val="a4"/>
        <w:ind w:firstLine="0"/>
      </w:pPr>
      <w:r>
        <w:rPr>
          <w:rStyle w:val="a6"/>
        </w:rPr>
        <w:footnoteRef/>
      </w:r>
      <w:r>
        <w:t xml:space="preserve"> </w:t>
      </w:r>
      <w:r w:rsidRPr="003207DA">
        <w:t xml:space="preserve">Регионы России. Социально-экономические показатели </w:t>
      </w:r>
      <w:r>
        <w:t xml:space="preserve">- </w:t>
      </w:r>
      <w:r w:rsidRPr="003207DA">
        <w:t>2020</w:t>
      </w:r>
      <w:r>
        <w:t xml:space="preserve"> г. </w:t>
      </w:r>
      <w:r w:rsidRPr="003207DA">
        <w:t>(</w:t>
      </w:r>
      <w:r w:rsidRPr="00C62579">
        <w:t>https://gks.ru/bgd/regl/b20_14p/Main.htm</w:t>
      </w:r>
      <w:r w:rsidRPr="003207DA">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251694"/>
    <w:multiLevelType w:val="hybridMultilevel"/>
    <w:tmpl w:val="B1906FCE"/>
    <w:lvl w:ilvl="0" w:tplc="C54A3F88">
      <w:start w:val="1"/>
      <w:numFmt w:val="decimal"/>
      <w:lvlText w:val="%1."/>
      <w:lvlJc w:val="left"/>
      <w:pPr>
        <w:ind w:left="720" w:hanging="360"/>
      </w:pPr>
      <w:rPr>
        <w:rFonts w:ascii="Times New Roman" w:eastAsia="Calibri" w:hAnsi="Times New Roman" w:cs="Times New Roman"/>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8728349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0A1"/>
    <w:rsid w:val="00026B59"/>
    <w:rsid w:val="00124E0C"/>
    <w:rsid w:val="001C30F6"/>
    <w:rsid w:val="001D3BB3"/>
    <w:rsid w:val="002908AB"/>
    <w:rsid w:val="002B2765"/>
    <w:rsid w:val="002C28D7"/>
    <w:rsid w:val="0049122B"/>
    <w:rsid w:val="007E52DE"/>
    <w:rsid w:val="008079D7"/>
    <w:rsid w:val="008A2F4C"/>
    <w:rsid w:val="008B7B90"/>
    <w:rsid w:val="008F50A1"/>
    <w:rsid w:val="009A4B81"/>
    <w:rsid w:val="009B0FF6"/>
    <w:rsid w:val="00AD11CC"/>
    <w:rsid w:val="00B5334C"/>
    <w:rsid w:val="00BD539D"/>
    <w:rsid w:val="00C37C62"/>
    <w:rsid w:val="00D55FD6"/>
    <w:rsid w:val="00DD53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7BDC1"/>
  <w15:chartTrackingRefBased/>
  <w15:docId w15:val="{7B38330E-90CE-4327-A4D9-A8BAD4417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0-Текст-12"/>
    <w:qFormat/>
    <w:rsid w:val="008F50A1"/>
    <w:pPr>
      <w:spacing w:after="0" w:line="360" w:lineRule="auto"/>
      <w:ind w:firstLine="567"/>
      <w:jc w:val="both"/>
    </w:pPr>
    <w:rPr>
      <w:rFonts w:ascii="Times New Roman" w:eastAsia="Calibri" w:hAnsi="Times New Roman" w:cs="Times New Roman"/>
      <w:kern w:val="0"/>
      <w:sz w:val="24"/>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копи"/>
    <w:basedOn w:val="0--12"/>
    <w:link w:val="1-0"/>
    <w:rsid w:val="008F50A1"/>
    <w:pPr>
      <w:suppressAutoHyphens/>
      <w:spacing w:after="120" w:line="240" w:lineRule="auto"/>
      <w:ind w:firstLine="0"/>
      <w:jc w:val="center"/>
    </w:pPr>
    <w:rPr>
      <w:sz w:val="20"/>
      <w:szCs w:val="20"/>
    </w:rPr>
  </w:style>
  <w:style w:type="character" w:customStyle="1" w:styleId="1-0">
    <w:name w:val="1-копи Знак"/>
    <w:link w:val="1-"/>
    <w:locked/>
    <w:rsid w:val="008F50A1"/>
    <w:rPr>
      <w:rFonts w:ascii="Times New Roman" w:eastAsia="Calibri" w:hAnsi="Times New Roman" w:cs="Times New Roman"/>
      <w:kern w:val="0"/>
      <w:sz w:val="20"/>
      <w:szCs w:val="20"/>
      <w:lang w:eastAsia="ru-RU"/>
      <w14:ligatures w14:val="none"/>
    </w:rPr>
  </w:style>
  <w:style w:type="paragraph" w:customStyle="1" w:styleId="0--12">
    <w:name w:val="0-текст-12"/>
    <w:link w:val="0--120"/>
    <w:qFormat/>
    <w:rsid w:val="008F50A1"/>
    <w:pPr>
      <w:widowControl w:val="0"/>
      <w:spacing w:after="0" w:line="360" w:lineRule="auto"/>
      <w:ind w:firstLine="567"/>
      <w:jc w:val="both"/>
    </w:pPr>
    <w:rPr>
      <w:rFonts w:ascii="Times New Roman" w:eastAsia="Calibri" w:hAnsi="Times New Roman" w:cs="Times New Roman"/>
      <w:kern w:val="0"/>
      <w:sz w:val="24"/>
      <w:lang w:eastAsia="ru-RU"/>
      <w14:ligatures w14:val="none"/>
    </w:rPr>
  </w:style>
  <w:style w:type="character" w:customStyle="1" w:styleId="0--120">
    <w:name w:val="0-текст-12 Знак"/>
    <w:link w:val="0--12"/>
    <w:locked/>
    <w:rsid w:val="008F50A1"/>
    <w:rPr>
      <w:rFonts w:ascii="Times New Roman" w:eastAsia="Calibri" w:hAnsi="Times New Roman" w:cs="Times New Roman"/>
      <w:kern w:val="0"/>
      <w:sz w:val="24"/>
      <w:lang w:eastAsia="ru-RU"/>
      <w14:ligatures w14:val="none"/>
    </w:rPr>
  </w:style>
  <w:style w:type="paragraph" w:customStyle="1" w:styleId="1-1">
    <w:name w:val="1-раздел"/>
    <w:basedOn w:val="a"/>
    <w:link w:val="1-2"/>
    <w:autoRedefine/>
    <w:rsid w:val="008F50A1"/>
    <w:pPr>
      <w:ind w:left="720" w:firstLine="0"/>
      <w:jc w:val="center"/>
    </w:pPr>
    <w:rPr>
      <w:caps/>
      <w:szCs w:val="24"/>
    </w:rPr>
  </w:style>
  <w:style w:type="character" w:customStyle="1" w:styleId="1-2">
    <w:name w:val="1-раздел Знак"/>
    <w:link w:val="1-1"/>
    <w:locked/>
    <w:rsid w:val="008F50A1"/>
    <w:rPr>
      <w:rFonts w:ascii="Times New Roman" w:eastAsia="Calibri" w:hAnsi="Times New Roman" w:cs="Times New Roman"/>
      <w:caps/>
      <w:kern w:val="0"/>
      <w:sz w:val="24"/>
      <w:szCs w:val="24"/>
      <w:lang w:eastAsia="ru-RU"/>
      <w14:ligatures w14:val="none"/>
    </w:rPr>
  </w:style>
  <w:style w:type="paragraph" w:customStyle="1" w:styleId="1">
    <w:name w:val="Абзац списка1"/>
    <w:basedOn w:val="a"/>
    <w:link w:val="ListParagraphChar1"/>
    <w:rsid w:val="008F50A1"/>
    <w:pPr>
      <w:ind w:left="720"/>
      <w:contextualSpacing/>
    </w:pPr>
    <w:rPr>
      <w:rFonts w:ascii="Calibri" w:hAnsi="Calibri"/>
    </w:rPr>
  </w:style>
  <w:style w:type="paragraph" w:customStyle="1" w:styleId="MTDisplayEquation">
    <w:name w:val="MTDisplayEquation"/>
    <w:basedOn w:val="a"/>
    <w:next w:val="a"/>
    <w:link w:val="MTDisplayEquationChar"/>
    <w:rsid w:val="008F50A1"/>
    <w:pPr>
      <w:tabs>
        <w:tab w:val="center" w:pos="4680"/>
        <w:tab w:val="right" w:pos="9360"/>
      </w:tabs>
      <w:spacing w:after="200"/>
      <w:ind w:firstLine="709"/>
      <w:contextualSpacing/>
      <w:jc w:val="center"/>
    </w:pPr>
    <w:rPr>
      <w:rFonts w:ascii="Calibri" w:eastAsia="Times New Roman" w:hAnsi="Calibri"/>
      <w:sz w:val="22"/>
      <w:szCs w:val="22"/>
      <w:lang w:eastAsia="en-US"/>
    </w:rPr>
  </w:style>
  <w:style w:type="character" w:customStyle="1" w:styleId="MTDisplayEquationChar">
    <w:name w:val="MTDisplayEquation Char"/>
    <w:link w:val="MTDisplayEquation"/>
    <w:locked/>
    <w:rsid w:val="008F50A1"/>
    <w:rPr>
      <w:rFonts w:ascii="Calibri" w:eastAsia="Times New Roman" w:hAnsi="Calibri" w:cs="Times New Roman"/>
      <w:kern w:val="0"/>
      <w14:ligatures w14:val="none"/>
    </w:rPr>
  </w:style>
  <w:style w:type="paragraph" w:customStyle="1" w:styleId="0---">
    <w:name w:val="0-текст-Б-О"/>
    <w:basedOn w:val="0--12"/>
    <w:next w:val="0--12"/>
    <w:rsid w:val="008F50A1"/>
    <w:pPr>
      <w:ind w:firstLine="0"/>
    </w:pPr>
  </w:style>
  <w:style w:type="character" w:customStyle="1" w:styleId="ListParagraphChar1">
    <w:name w:val="List Paragraph Char1"/>
    <w:link w:val="1"/>
    <w:locked/>
    <w:rsid w:val="008F50A1"/>
    <w:rPr>
      <w:rFonts w:ascii="Calibri" w:eastAsia="Calibri" w:hAnsi="Calibri" w:cs="Times New Roman"/>
      <w:kern w:val="0"/>
      <w:sz w:val="24"/>
      <w:szCs w:val="20"/>
      <w:lang w:eastAsia="ru-RU"/>
      <w14:ligatures w14:val="none"/>
    </w:rPr>
  </w:style>
  <w:style w:type="character" w:styleId="a3">
    <w:name w:val="Hyperlink"/>
    <w:basedOn w:val="a0"/>
    <w:uiPriority w:val="99"/>
    <w:unhideWhenUsed/>
    <w:rsid w:val="008F50A1"/>
    <w:rPr>
      <w:color w:val="0563C1" w:themeColor="hyperlink"/>
      <w:u w:val="single"/>
    </w:rPr>
  </w:style>
  <w:style w:type="paragraph" w:styleId="a4">
    <w:name w:val="footnote text"/>
    <w:basedOn w:val="a"/>
    <w:link w:val="a5"/>
    <w:uiPriority w:val="99"/>
    <w:unhideWhenUsed/>
    <w:rsid w:val="008F50A1"/>
    <w:pPr>
      <w:spacing w:line="240" w:lineRule="auto"/>
    </w:pPr>
    <w:rPr>
      <w:sz w:val="20"/>
    </w:rPr>
  </w:style>
  <w:style w:type="character" w:customStyle="1" w:styleId="a5">
    <w:name w:val="Текст сноски Знак"/>
    <w:basedOn w:val="a0"/>
    <w:link w:val="a4"/>
    <w:uiPriority w:val="99"/>
    <w:rsid w:val="008F50A1"/>
    <w:rPr>
      <w:rFonts w:ascii="Times New Roman" w:eastAsia="Calibri" w:hAnsi="Times New Roman" w:cs="Times New Roman"/>
      <w:kern w:val="0"/>
      <w:sz w:val="20"/>
      <w:szCs w:val="20"/>
      <w:lang w:eastAsia="ru-RU"/>
      <w14:ligatures w14:val="none"/>
    </w:rPr>
  </w:style>
  <w:style w:type="character" w:styleId="a6">
    <w:name w:val="footnote reference"/>
    <w:basedOn w:val="a0"/>
    <w:unhideWhenUsed/>
    <w:rsid w:val="008F50A1"/>
    <w:rPr>
      <w:vertAlign w:val="superscript"/>
    </w:rPr>
  </w:style>
  <w:style w:type="table" w:styleId="a7">
    <w:name w:val="Table Grid"/>
    <w:basedOn w:val="a1"/>
    <w:uiPriority w:val="39"/>
    <w:rsid w:val="008F50A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link w:val="a9"/>
    <w:uiPriority w:val="34"/>
    <w:qFormat/>
    <w:rsid w:val="007E52DE"/>
    <w:pPr>
      <w:ind w:left="720"/>
      <w:contextualSpacing/>
    </w:pPr>
  </w:style>
  <w:style w:type="character" w:customStyle="1" w:styleId="a9">
    <w:name w:val="Абзац списка Знак"/>
    <w:link w:val="a8"/>
    <w:uiPriority w:val="34"/>
    <w:rsid w:val="007E52DE"/>
    <w:rPr>
      <w:rFonts w:ascii="Times New Roman" w:eastAsia="Calibri" w:hAnsi="Times New Roman" w:cs="Times New Roman"/>
      <w:kern w:val="0"/>
      <w:sz w:val="24"/>
      <w:szCs w:val="2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1043;&#1040;&#1059;&#1043;&#1053;%20(&#1084;&#1072;&#1075;&#1080;&#1089;&#1090;&#1088;&#1072;&#1090;&#1091;&#1088;&#1072;)\&#1058;&#1077;&#1084;&#1072;%20&#1084;&#1072;&#1075;&#1080;&#1089;&#1090;&#1077;&#1088;&#1089;&#1082;&#1086;&#1081;%20&#1080;%20&#1076;&#1080;&#1089;&#1089;&#1077;&#1088;&#1090;&#1072;&#1094;&#1080;&#1080;\&#1055;&#1088;&#1072;&#1082;&#1090;&#1080;&#1082;&#1072;%20(1&#1082;&#1091;&#1088;&#1089;%20&#1084;&#1072;&#1075;,%202%20&#1089;&#1077;&#1084;&#1077;&#1089;&#1090;&#1088;)\&#1053;&#1072;&#1087;&#1080;&#1089;&#1072;&#1085;&#1080;&#1077;%20&#1089;&#1090;&#1072;&#1090;&#1100;&#1080;%20&#1087;&#1086;%2024%20&#1091;&#1082;&#1088;&#1091;&#1087;%20&#1074;&#1080;&#1076;&#1072;&#1084;%20&#1076;&#1077;&#1103;&#1090;\&#1057;&#1088;&#1072;&#1074;&#1085;&#1077;&#1085;&#1080;&#1077;%20&#1101;&#1082;%20&#1089;&#1083;&#1086;&#1078;&#1085;&#1086;&#1089;&#1090;&#1080;%20&#1074;&#1080;&#1076;&#1086;&#1074;%20&#1076;&#1077;&#1103;&#1090;&#1077;&#1083;&#1100;&#1085;&#1086;&#1089;&#1090;&#1080;%20&#1080;%20&#1089;&#1077;&#1082;&#1090;&#1086;&#1088;&#1086;&#1074;.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1043;&#1040;&#1059;&#1043;&#1053;%20(&#1084;&#1072;&#1075;&#1080;&#1089;&#1090;&#1088;&#1072;&#1090;&#1091;&#1088;&#1072;)\&#1058;&#1077;&#1084;&#1072;%20&#1084;&#1072;&#1075;&#1080;&#1089;&#1090;&#1077;&#1088;&#1089;&#1082;&#1086;&#1081;%20&#1080;%20&#1076;&#1080;&#1089;&#1089;&#1077;&#1088;&#1090;&#1072;&#1094;&#1080;&#1080;\&#1055;&#1088;&#1072;&#1082;&#1090;&#1080;&#1082;&#1072;%20(1&#1082;&#1091;&#1088;&#1089;%20&#1084;&#1072;&#1075;,%202%20&#1089;&#1077;&#1084;&#1077;&#1089;&#1090;&#1088;)\&#1053;&#1072;&#1087;&#1080;&#1089;&#1072;&#1085;&#1080;&#1077;%20&#1089;&#1090;&#1072;&#1090;&#1100;&#1080;%20&#1087;&#1086;%2024%20&#1091;&#1082;&#1088;&#1091;&#1087;%20&#1074;&#1080;&#1076;&#1072;&#1084;%20&#1076;&#1077;&#1103;&#1090;\&#1057;&#1088;&#1072;&#1074;&#1085;&#1077;&#1085;&#1080;&#1077;%20&#1101;&#1082;%20&#1089;&#1083;&#1086;&#1078;&#1085;&#1086;&#1089;&#1090;&#1080;%20&#1074;&#1080;&#1076;&#1086;&#1074;%20&#1076;&#1077;&#1103;&#1090;&#1077;&#1083;&#1100;&#1085;&#1086;&#1089;&#1090;&#1080;%20&#1080;%20&#1089;&#1077;&#1082;&#1090;&#1086;&#1088;&#1086;&#1074;.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535917625681405"/>
          <c:y val="6.0606060606060608E-2"/>
          <c:w val="0.84051172009965269"/>
          <c:h val="0.88888888888888884"/>
        </c:manualLayout>
      </c:layout>
      <c:scatterChart>
        <c:scatterStyle val="lineMarker"/>
        <c:varyColors val="0"/>
        <c:ser>
          <c:idx val="0"/>
          <c:order val="0"/>
          <c:tx>
            <c:strRef>
              <c:f>'Сравнение секторов и видов деят'!$E$1</c:f>
              <c:strCache>
                <c:ptCount val="1"/>
                <c:pt idx="0">
                  <c:v>по 24 видам деят</c:v>
                </c:pt>
              </c:strCache>
            </c:strRef>
          </c:tx>
          <c:spPr>
            <a:ln w="19050" cap="rnd">
              <a:noFill/>
              <a:round/>
            </a:ln>
            <a:effectLst/>
          </c:spPr>
          <c:marker>
            <c:symbol val="circle"/>
            <c:size val="5"/>
            <c:spPr>
              <a:solidFill>
                <a:sysClr val="windowText" lastClr="000000"/>
              </a:solidFill>
              <a:ln w="9525">
                <a:solidFill>
                  <a:sysClr val="windowText" lastClr="000000"/>
                </a:solidFill>
              </a:ln>
              <a:effectLst/>
            </c:spPr>
          </c:marker>
          <c:trendline>
            <c:spPr>
              <a:ln w="19050" cap="rnd">
                <a:solidFill>
                  <a:sysClr val="windowText" lastClr="000000"/>
                </a:solidFill>
                <a:prstDash val="sysDot"/>
              </a:ln>
              <a:effectLst/>
            </c:spPr>
            <c:trendlineType val="log"/>
            <c:dispRSqr val="0"/>
            <c:dispEq val="1"/>
            <c:trendlineLbl>
              <c:layout>
                <c:manualLayout>
                  <c:x val="4.0160499849023298E-2"/>
                  <c:y val="-7.263381849996022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trendlineLbl>
          </c:trendline>
          <c:xVal>
            <c:numRef>
              <c:f>'Сравнение секторов и видов деят'!$D$2:$D$80</c:f>
              <c:numCache>
                <c:formatCode>General</c:formatCode>
                <c:ptCount val="79"/>
                <c:pt idx="0">
                  <c:v>4</c:v>
                </c:pt>
                <c:pt idx="1">
                  <c:v>11</c:v>
                </c:pt>
                <c:pt idx="2">
                  <c:v>13</c:v>
                </c:pt>
                <c:pt idx="3">
                  <c:v>12</c:v>
                </c:pt>
                <c:pt idx="4">
                  <c:v>12</c:v>
                </c:pt>
                <c:pt idx="5">
                  <c:v>7</c:v>
                </c:pt>
                <c:pt idx="6">
                  <c:v>11</c:v>
                </c:pt>
                <c:pt idx="7">
                  <c:v>10</c:v>
                </c:pt>
                <c:pt idx="8">
                  <c:v>6</c:v>
                </c:pt>
                <c:pt idx="9">
                  <c:v>17</c:v>
                </c:pt>
                <c:pt idx="10">
                  <c:v>12</c:v>
                </c:pt>
                <c:pt idx="11">
                  <c:v>12</c:v>
                </c:pt>
                <c:pt idx="12">
                  <c:v>11</c:v>
                </c:pt>
                <c:pt idx="13">
                  <c:v>11</c:v>
                </c:pt>
                <c:pt idx="14">
                  <c:v>13</c:v>
                </c:pt>
                <c:pt idx="15">
                  <c:v>9</c:v>
                </c:pt>
                <c:pt idx="16">
                  <c:v>14</c:v>
                </c:pt>
                <c:pt idx="17">
                  <c:v>10</c:v>
                </c:pt>
                <c:pt idx="18">
                  <c:v>8</c:v>
                </c:pt>
                <c:pt idx="19">
                  <c:v>8</c:v>
                </c:pt>
                <c:pt idx="20">
                  <c:v>8</c:v>
                </c:pt>
                <c:pt idx="21">
                  <c:v>5</c:v>
                </c:pt>
                <c:pt idx="22">
                  <c:v>5</c:v>
                </c:pt>
                <c:pt idx="23">
                  <c:v>12</c:v>
                </c:pt>
                <c:pt idx="24">
                  <c:v>9</c:v>
                </c:pt>
                <c:pt idx="25">
                  <c:v>12</c:v>
                </c:pt>
                <c:pt idx="26">
                  <c:v>13</c:v>
                </c:pt>
                <c:pt idx="27">
                  <c:v>13</c:v>
                </c:pt>
                <c:pt idx="28">
                  <c:v>8</c:v>
                </c:pt>
                <c:pt idx="29">
                  <c:v>9</c:v>
                </c:pt>
                <c:pt idx="30">
                  <c:v>4</c:v>
                </c:pt>
                <c:pt idx="31">
                  <c:v>8</c:v>
                </c:pt>
                <c:pt idx="32">
                  <c:v>14</c:v>
                </c:pt>
                <c:pt idx="33">
                  <c:v>11</c:v>
                </c:pt>
                <c:pt idx="34">
                  <c:v>9</c:v>
                </c:pt>
                <c:pt idx="35">
                  <c:v>11</c:v>
                </c:pt>
                <c:pt idx="36">
                  <c:v>12</c:v>
                </c:pt>
                <c:pt idx="37">
                  <c:v>13</c:v>
                </c:pt>
                <c:pt idx="38">
                  <c:v>9</c:v>
                </c:pt>
                <c:pt idx="39">
                  <c:v>12</c:v>
                </c:pt>
                <c:pt idx="40">
                  <c:v>7</c:v>
                </c:pt>
                <c:pt idx="41">
                  <c:v>9</c:v>
                </c:pt>
                <c:pt idx="42">
                  <c:v>8</c:v>
                </c:pt>
                <c:pt idx="43">
                  <c:v>5</c:v>
                </c:pt>
                <c:pt idx="44">
                  <c:v>8</c:v>
                </c:pt>
                <c:pt idx="45">
                  <c:v>14</c:v>
                </c:pt>
                <c:pt idx="46">
                  <c:v>7</c:v>
                </c:pt>
                <c:pt idx="47">
                  <c:v>14</c:v>
                </c:pt>
                <c:pt idx="48">
                  <c:v>12</c:v>
                </c:pt>
                <c:pt idx="49">
                  <c:v>6</c:v>
                </c:pt>
                <c:pt idx="50">
                  <c:v>13</c:v>
                </c:pt>
                <c:pt idx="51">
                  <c:v>8</c:v>
                </c:pt>
                <c:pt idx="52">
                  <c:v>15</c:v>
                </c:pt>
                <c:pt idx="53">
                  <c:v>12</c:v>
                </c:pt>
                <c:pt idx="54">
                  <c:v>10</c:v>
                </c:pt>
                <c:pt idx="55">
                  <c:v>13</c:v>
                </c:pt>
                <c:pt idx="56">
                  <c:v>2</c:v>
                </c:pt>
                <c:pt idx="57">
                  <c:v>7</c:v>
                </c:pt>
                <c:pt idx="58">
                  <c:v>11</c:v>
                </c:pt>
                <c:pt idx="59">
                  <c:v>7</c:v>
                </c:pt>
                <c:pt idx="60">
                  <c:v>6</c:v>
                </c:pt>
                <c:pt idx="61">
                  <c:v>11</c:v>
                </c:pt>
                <c:pt idx="62">
                  <c:v>5</c:v>
                </c:pt>
                <c:pt idx="63">
                  <c:v>9</c:v>
                </c:pt>
                <c:pt idx="64">
                  <c:v>4</c:v>
                </c:pt>
                <c:pt idx="65">
                  <c:v>13</c:v>
                </c:pt>
                <c:pt idx="66">
                  <c:v>3</c:v>
                </c:pt>
                <c:pt idx="67">
                  <c:v>10</c:v>
                </c:pt>
                <c:pt idx="68">
                  <c:v>13</c:v>
                </c:pt>
                <c:pt idx="69">
                  <c:v>8</c:v>
                </c:pt>
                <c:pt idx="70">
                  <c:v>7</c:v>
                </c:pt>
                <c:pt idx="71">
                  <c:v>9</c:v>
                </c:pt>
                <c:pt idx="72">
                  <c:v>14</c:v>
                </c:pt>
                <c:pt idx="73">
                  <c:v>11</c:v>
                </c:pt>
                <c:pt idx="74">
                  <c:v>8</c:v>
                </c:pt>
                <c:pt idx="75">
                  <c:v>7</c:v>
                </c:pt>
                <c:pt idx="76">
                  <c:v>3</c:v>
                </c:pt>
                <c:pt idx="77">
                  <c:v>10</c:v>
                </c:pt>
                <c:pt idx="78">
                  <c:v>5</c:v>
                </c:pt>
              </c:numCache>
            </c:numRef>
          </c:xVal>
          <c:yVal>
            <c:numRef>
              <c:f>'Сравнение секторов и видов деят'!$E$2:$E$80</c:f>
              <c:numCache>
                <c:formatCode>General</c:formatCode>
                <c:ptCount val="79"/>
                <c:pt idx="0">
                  <c:v>-7.9481211549438206E-3</c:v>
                </c:pt>
                <c:pt idx="1">
                  <c:v>4.9890441978251703E-2</c:v>
                </c:pt>
                <c:pt idx="2">
                  <c:v>4.6431279358196999E-2</c:v>
                </c:pt>
                <c:pt idx="3">
                  <c:v>5.0038214986553503E-2</c:v>
                </c:pt>
                <c:pt idx="4">
                  <c:v>3.5318344070782999E-2</c:v>
                </c:pt>
                <c:pt idx="5">
                  <c:v>6.1033387387302102E-2</c:v>
                </c:pt>
                <c:pt idx="6">
                  <c:v>2.5304326166764798E-2</c:v>
                </c:pt>
                <c:pt idx="7">
                  <c:v>3.6601242299319103E-2</c:v>
                </c:pt>
                <c:pt idx="8">
                  <c:v>2.83094496341856E-2</c:v>
                </c:pt>
                <c:pt idx="9">
                  <c:v>3.8261707811161103E-2</c:v>
                </c:pt>
                <c:pt idx="10">
                  <c:v>4.8520939493892697E-2</c:v>
                </c:pt>
                <c:pt idx="11">
                  <c:v>4.5350966730690397E-2</c:v>
                </c:pt>
                <c:pt idx="12">
                  <c:v>5.0801731418176503E-2</c:v>
                </c:pt>
                <c:pt idx="13">
                  <c:v>6.4405998543194606E-2</c:v>
                </c:pt>
                <c:pt idx="14">
                  <c:v>4.1772135922491002E-2</c:v>
                </c:pt>
                <c:pt idx="15">
                  <c:v>4.1893031606688197E-2</c:v>
                </c:pt>
                <c:pt idx="16">
                  <c:v>4.2059769374894897E-2</c:v>
                </c:pt>
                <c:pt idx="17">
                  <c:v>3.3320465234625E-2</c:v>
                </c:pt>
                <c:pt idx="18">
                  <c:v>-2.77045500382486E-2</c:v>
                </c:pt>
                <c:pt idx="19">
                  <c:v>-0.17566249738756801</c:v>
                </c:pt>
                <c:pt idx="20">
                  <c:v>-0.15680628760238599</c:v>
                </c:pt>
                <c:pt idx="21">
                  <c:v>1.3814091472841201E-2</c:v>
                </c:pt>
                <c:pt idx="22">
                  <c:v>5.2468208805667702E-2</c:v>
                </c:pt>
                <c:pt idx="23">
                  <c:v>3.7522405541636397E-2</c:v>
                </c:pt>
                <c:pt idx="24">
                  <c:v>-2.19342912579924E-2</c:v>
                </c:pt>
                <c:pt idx="25">
                  <c:v>3.7679116825947601E-2</c:v>
                </c:pt>
                <c:pt idx="26">
                  <c:v>4.3838192989415103E-2</c:v>
                </c:pt>
                <c:pt idx="27">
                  <c:v>4.4984864188439E-2</c:v>
                </c:pt>
                <c:pt idx="28">
                  <c:v>4.1573851707838602E-2</c:v>
                </c:pt>
                <c:pt idx="29">
                  <c:v>-3.5851604429204501E-2</c:v>
                </c:pt>
                <c:pt idx="30">
                  <c:v>-0.27639686955221598</c:v>
                </c:pt>
                <c:pt idx="31">
                  <c:v>3.0344905033472501E-2</c:v>
                </c:pt>
                <c:pt idx="32">
                  <c:v>2.0634523108612499E-2</c:v>
                </c:pt>
                <c:pt idx="33">
                  <c:v>4.68110054404818E-2</c:v>
                </c:pt>
                <c:pt idx="34">
                  <c:v>-5.7157535072553202E-2</c:v>
                </c:pt>
                <c:pt idx="35">
                  <c:v>5.3574169501388103E-2</c:v>
                </c:pt>
                <c:pt idx="36">
                  <c:v>2.2822771941830002E-2</c:v>
                </c:pt>
                <c:pt idx="37">
                  <c:v>3.02196570005373E-2</c:v>
                </c:pt>
                <c:pt idx="38">
                  <c:v>-4.68564470343657E-2</c:v>
                </c:pt>
                <c:pt idx="39">
                  <c:v>4.7970498475911297E-2</c:v>
                </c:pt>
                <c:pt idx="40">
                  <c:v>-4.9965327041176198E-2</c:v>
                </c:pt>
                <c:pt idx="41">
                  <c:v>5.4882422946698303E-2</c:v>
                </c:pt>
                <c:pt idx="42">
                  <c:v>5.43661480984012E-2</c:v>
                </c:pt>
                <c:pt idx="43">
                  <c:v>-7.7890394177150796E-2</c:v>
                </c:pt>
                <c:pt idx="44">
                  <c:v>-0.12676339416978899</c:v>
                </c:pt>
                <c:pt idx="45">
                  <c:v>5.3998850487875102E-2</c:v>
                </c:pt>
                <c:pt idx="46">
                  <c:v>-7.0068315063115894E-2</c:v>
                </c:pt>
                <c:pt idx="47">
                  <c:v>4.7704404216216398E-2</c:v>
                </c:pt>
                <c:pt idx="48">
                  <c:v>4.0052816797706801E-2</c:v>
                </c:pt>
                <c:pt idx="49">
                  <c:v>-0.21304481837921099</c:v>
                </c:pt>
                <c:pt idx="50">
                  <c:v>5.4184751364233501E-2</c:v>
                </c:pt>
                <c:pt idx="51">
                  <c:v>-3.6700764649050602E-2</c:v>
                </c:pt>
                <c:pt idx="52">
                  <c:v>4.7857304543407697E-2</c:v>
                </c:pt>
                <c:pt idx="53">
                  <c:v>5.6617311455035901E-2</c:v>
                </c:pt>
                <c:pt idx="54">
                  <c:v>3.3169260806146898E-2</c:v>
                </c:pt>
                <c:pt idx="55">
                  <c:v>6.2175440671067396E-3</c:v>
                </c:pt>
                <c:pt idx="56">
                  <c:v>-0.58095633905793198</c:v>
                </c:pt>
                <c:pt idx="57">
                  <c:v>-2.4817086276833399E-2</c:v>
                </c:pt>
                <c:pt idx="58">
                  <c:v>1.246330947079E-2</c:v>
                </c:pt>
                <c:pt idx="59">
                  <c:v>-3.4440075928819001E-2</c:v>
                </c:pt>
                <c:pt idx="60">
                  <c:v>-8.9188617215096799E-2</c:v>
                </c:pt>
                <c:pt idx="61">
                  <c:v>4.5514413353265101E-2</c:v>
                </c:pt>
                <c:pt idx="62">
                  <c:v>-0.16892810230451399</c:v>
                </c:pt>
                <c:pt idx="63">
                  <c:v>-0.157607289565242</c:v>
                </c:pt>
                <c:pt idx="64">
                  <c:v>-9.5975344138393606E-2</c:v>
                </c:pt>
                <c:pt idx="65">
                  <c:v>1.7197850767153699E-2</c:v>
                </c:pt>
                <c:pt idx="66">
                  <c:v>2.2553789044036199E-2</c:v>
                </c:pt>
                <c:pt idx="67">
                  <c:v>-0.102416595799196</c:v>
                </c:pt>
                <c:pt idx="68">
                  <c:v>-2.4304635986226099E-2</c:v>
                </c:pt>
                <c:pt idx="69">
                  <c:v>-0.19579199191812199</c:v>
                </c:pt>
                <c:pt idx="70">
                  <c:v>-6.2774776944663602E-2</c:v>
                </c:pt>
                <c:pt idx="71">
                  <c:v>-1.23203671240043E-3</c:v>
                </c:pt>
                <c:pt idx="72">
                  <c:v>-1.1556226803584599E-2</c:v>
                </c:pt>
                <c:pt idx="73">
                  <c:v>-1.4557702801776E-2</c:v>
                </c:pt>
                <c:pt idx="74">
                  <c:v>-4.0799530898589099E-2</c:v>
                </c:pt>
                <c:pt idx="75">
                  <c:v>-2.6967297051914901E-2</c:v>
                </c:pt>
                <c:pt idx="76">
                  <c:v>-0.47771905555179101</c:v>
                </c:pt>
                <c:pt idx="77">
                  <c:v>-3.4422431783946001E-3</c:v>
                </c:pt>
                <c:pt idx="78">
                  <c:v>-9.3843432959048401E-2</c:v>
                </c:pt>
              </c:numCache>
            </c:numRef>
          </c:yVal>
          <c:smooth val="0"/>
          <c:extLst>
            <c:ext xmlns:c16="http://schemas.microsoft.com/office/drawing/2014/chart" uri="{C3380CC4-5D6E-409C-BE32-E72D297353CC}">
              <c16:uniqueId val="{00000001-4E45-4496-B2CC-EDDBA4AAC2A1}"/>
            </c:ext>
          </c:extLst>
        </c:ser>
        <c:dLbls>
          <c:showLegendKey val="0"/>
          <c:showVal val="0"/>
          <c:showCatName val="0"/>
          <c:showSerName val="0"/>
          <c:showPercent val="0"/>
          <c:showBubbleSize val="0"/>
        </c:dLbls>
        <c:axId val="183111040"/>
        <c:axId val="183116928"/>
      </c:scatterChart>
      <c:valAx>
        <c:axId val="1831110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3116928"/>
        <c:crosses val="autoZero"/>
        <c:crossBetween val="midCat"/>
      </c:valAx>
      <c:valAx>
        <c:axId val="183116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311104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0749389084985"/>
          <c:y val="8.0476377952755904E-2"/>
          <c:w val="0.83650563034459402"/>
          <c:h val="0.86904761904761907"/>
        </c:manualLayout>
      </c:layout>
      <c:scatterChart>
        <c:scatterStyle val="lineMarker"/>
        <c:varyColors val="0"/>
        <c:ser>
          <c:idx val="0"/>
          <c:order val="0"/>
          <c:tx>
            <c:strRef>
              <c:f>'Сравнение секторов и видов деят'!$C$1</c:f>
              <c:strCache>
                <c:ptCount val="1"/>
                <c:pt idx="0">
                  <c:v>по 82 секторам</c:v>
                </c:pt>
              </c:strCache>
            </c:strRef>
          </c:tx>
          <c:spPr>
            <a:ln w="19050" cap="rnd">
              <a:noFill/>
              <a:round/>
            </a:ln>
            <a:effectLst/>
          </c:spPr>
          <c:marker>
            <c:symbol val="circle"/>
            <c:size val="5"/>
            <c:spPr>
              <a:solidFill>
                <a:sysClr val="windowText" lastClr="000000"/>
              </a:solidFill>
              <a:ln w="9525">
                <a:solidFill>
                  <a:sysClr val="windowText" lastClr="000000"/>
                </a:solidFill>
              </a:ln>
              <a:effectLst/>
            </c:spPr>
          </c:marker>
          <c:trendline>
            <c:spPr>
              <a:ln w="19050" cap="rnd">
                <a:solidFill>
                  <a:sysClr val="windowText" lastClr="000000"/>
                </a:solidFill>
                <a:prstDash val="sysDot"/>
              </a:ln>
              <a:effectLst/>
            </c:spPr>
            <c:trendlineType val="log"/>
            <c:dispRSqr val="0"/>
            <c:dispEq val="1"/>
            <c:trendlineLbl>
              <c:layout>
                <c:manualLayout>
                  <c:x val="5.6035239637410722E-2"/>
                  <c:y val="-5.0844210084599155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rendlineLbl>
          </c:trendline>
          <c:xVal>
            <c:numRef>
              <c:f>'Сравнение секторов и видов деят'!$B$2:$B$80</c:f>
              <c:numCache>
                <c:formatCode>General</c:formatCode>
                <c:ptCount val="79"/>
                <c:pt idx="0">
                  <c:v>24</c:v>
                </c:pt>
                <c:pt idx="1">
                  <c:v>31</c:v>
                </c:pt>
                <c:pt idx="2">
                  <c:v>37</c:v>
                </c:pt>
                <c:pt idx="3">
                  <c:v>34</c:v>
                </c:pt>
                <c:pt idx="4">
                  <c:v>28</c:v>
                </c:pt>
                <c:pt idx="5">
                  <c:v>29</c:v>
                </c:pt>
                <c:pt idx="6">
                  <c:v>33</c:v>
                </c:pt>
                <c:pt idx="7">
                  <c:v>22</c:v>
                </c:pt>
                <c:pt idx="8">
                  <c:v>36</c:v>
                </c:pt>
                <c:pt idx="9">
                  <c:v>39</c:v>
                </c:pt>
                <c:pt idx="10">
                  <c:v>30</c:v>
                </c:pt>
                <c:pt idx="11">
                  <c:v>16</c:v>
                </c:pt>
                <c:pt idx="12">
                  <c:v>31</c:v>
                </c:pt>
                <c:pt idx="13">
                  <c:v>28</c:v>
                </c:pt>
                <c:pt idx="14">
                  <c:v>42</c:v>
                </c:pt>
                <c:pt idx="15">
                  <c:v>34</c:v>
                </c:pt>
                <c:pt idx="16">
                  <c:v>25</c:v>
                </c:pt>
                <c:pt idx="17">
                  <c:v>24</c:v>
                </c:pt>
                <c:pt idx="18">
                  <c:v>26</c:v>
                </c:pt>
                <c:pt idx="19">
                  <c:v>14</c:v>
                </c:pt>
                <c:pt idx="20">
                  <c:v>20</c:v>
                </c:pt>
                <c:pt idx="21">
                  <c:v>25</c:v>
                </c:pt>
                <c:pt idx="22">
                  <c:v>15</c:v>
                </c:pt>
                <c:pt idx="23">
                  <c:v>14</c:v>
                </c:pt>
                <c:pt idx="24">
                  <c:v>17</c:v>
                </c:pt>
                <c:pt idx="25">
                  <c:v>32</c:v>
                </c:pt>
                <c:pt idx="26">
                  <c:v>35</c:v>
                </c:pt>
                <c:pt idx="27">
                  <c:v>23</c:v>
                </c:pt>
                <c:pt idx="28">
                  <c:v>22</c:v>
                </c:pt>
                <c:pt idx="29">
                  <c:v>27</c:v>
                </c:pt>
                <c:pt idx="30">
                  <c:v>9</c:v>
                </c:pt>
                <c:pt idx="31">
                  <c:v>17</c:v>
                </c:pt>
                <c:pt idx="32">
                  <c:v>33</c:v>
                </c:pt>
                <c:pt idx="33">
                  <c:v>19</c:v>
                </c:pt>
                <c:pt idx="34">
                  <c:v>15</c:v>
                </c:pt>
                <c:pt idx="35">
                  <c:v>17</c:v>
                </c:pt>
                <c:pt idx="36">
                  <c:v>27</c:v>
                </c:pt>
                <c:pt idx="37">
                  <c:v>14</c:v>
                </c:pt>
                <c:pt idx="38">
                  <c:v>13</c:v>
                </c:pt>
                <c:pt idx="39">
                  <c:v>23</c:v>
                </c:pt>
                <c:pt idx="40">
                  <c:v>17</c:v>
                </c:pt>
                <c:pt idx="41">
                  <c:v>31</c:v>
                </c:pt>
                <c:pt idx="42">
                  <c:v>20</c:v>
                </c:pt>
                <c:pt idx="43">
                  <c:v>13</c:v>
                </c:pt>
                <c:pt idx="44">
                  <c:v>15</c:v>
                </c:pt>
                <c:pt idx="45">
                  <c:v>40</c:v>
                </c:pt>
                <c:pt idx="46">
                  <c:v>20</c:v>
                </c:pt>
                <c:pt idx="47">
                  <c:v>35</c:v>
                </c:pt>
                <c:pt idx="48">
                  <c:v>24</c:v>
                </c:pt>
                <c:pt idx="49">
                  <c:v>6</c:v>
                </c:pt>
                <c:pt idx="50">
                  <c:v>26</c:v>
                </c:pt>
                <c:pt idx="51">
                  <c:v>15</c:v>
                </c:pt>
                <c:pt idx="52">
                  <c:v>21</c:v>
                </c:pt>
                <c:pt idx="53">
                  <c:v>25</c:v>
                </c:pt>
                <c:pt idx="54">
                  <c:v>26</c:v>
                </c:pt>
                <c:pt idx="55">
                  <c:v>30</c:v>
                </c:pt>
                <c:pt idx="56">
                  <c:v>8</c:v>
                </c:pt>
                <c:pt idx="57">
                  <c:v>35</c:v>
                </c:pt>
                <c:pt idx="58">
                  <c:v>30</c:v>
                </c:pt>
                <c:pt idx="59">
                  <c:v>17</c:v>
                </c:pt>
                <c:pt idx="60">
                  <c:v>22</c:v>
                </c:pt>
                <c:pt idx="61">
                  <c:v>33</c:v>
                </c:pt>
                <c:pt idx="62">
                  <c:v>15</c:v>
                </c:pt>
                <c:pt idx="63">
                  <c:v>15</c:v>
                </c:pt>
                <c:pt idx="64">
                  <c:v>20</c:v>
                </c:pt>
                <c:pt idx="65">
                  <c:v>39</c:v>
                </c:pt>
                <c:pt idx="66">
                  <c:v>17</c:v>
                </c:pt>
                <c:pt idx="67">
                  <c:v>10</c:v>
                </c:pt>
                <c:pt idx="68">
                  <c:v>25</c:v>
                </c:pt>
                <c:pt idx="69">
                  <c:v>11</c:v>
                </c:pt>
                <c:pt idx="70">
                  <c:v>19</c:v>
                </c:pt>
                <c:pt idx="71">
                  <c:v>23</c:v>
                </c:pt>
                <c:pt idx="72">
                  <c:v>26</c:v>
                </c:pt>
                <c:pt idx="73">
                  <c:v>21</c:v>
                </c:pt>
                <c:pt idx="74">
                  <c:v>17</c:v>
                </c:pt>
                <c:pt idx="75">
                  <c:v>23</c:v>
                </c:pt>
                <c:pt idx="76">
                  <c:v>18</c:v>
                </c:pt>
                <c:pt idx="77">
                  <c:v>21</c:v>
                </c:pt>
                <c:pt idx="78">
                  <c:v>13</c:v>
                </c:pt>
              </c:numCache>
            </c:numRef>
          </c:xVal>
          <c:yVal>
            <c:numRef>
              <c:f>'Сравнение секторов и видов деят'!$C$2:$C$80</c:f>
              <c:numCache>
                <c:formatCode>General</c:formatCode>
                <c:ptCount val="79"/>
                <c:pt idx="0">
                  <c:v>6.7035891784799601E-2</c:v>
                </c:pt>
                <c:pt idx="1">
                  <c:v>4.0214638722651498E-2</c:v>
                </c:pt>
                <c:pt idx="2">
                  <c:v>6.1735313137637901E-2</c:v>
                </c:pt>
                <c:pt idx="3">
                  <c:v>2.8494237030608199E-2</c:v>
                </c:pt>
                <c:pt idx="4">
                  <c:v>4.2978433255573698E-2</c:v>
                </c:pt>
                <c:pt idx="5">
                  <c:v>5.8371222726916097E-2</c:v>
                </c:pt>
                <c:pt idx="6">
                  <c:v>2.4565287328844301E-2</c:v>
                </c:pt>
                <c:pt idx="7">
                  <c:v>6.1785624021577501E-2</c:v>
                </c:pt>
                <c:pt idx="8">
                  <c:v>4.4329626104528397E-2</c:v>
                </c:pt>
                <c:pt idx="9">
                  <c:v>2.6569942544649599E-2</c:v>
                </c:pt>
                <c:pt idx="10">
                  <c:v>5.6094631792144398E-2</c:v>
                </c:pt>
                <c:pt idx="11">
                  <c:v>4.3471551049257699E-2</c:v>
                </c:pt>
                <c:pt idx="12">
                  <c:v>4.55293000302954E-2</c:v>
                </c:pt>
                <c:pt idx="13">
                  <c:v>4.1942700735312498E-2</c:v>
                </c:pt>
                <c:pt idx="14">
                  <c:v>3.3478757978565102E-2</c:v>
                </c:pt>
                <c:pt idx="15">
                  <c:v>5.1378456032810903E-2</c:v>
                </c:pt>
                <c:pt idx="16">
                  <c:v>3.1835239003338102E-2</c:v>
                </c:pt>
                <c:pt idx="17">
                  <c:v>-3.8626742046133603E-2</c:v>
                </c:pt>
                <c:pt idx="18">
                  <c:v>2.1518106399610999E-2</c:v>
                </c:pt>
                <c:pt idx="19">
                  <c:v>-0.29574082116929701</c:v>
                </c:pt>
                <c:pt idx="20">
                  <c:v>-1.8643357408048299E-2</c:v>
                </c:pt>
                <c:pt idx="21">
                  <c:v>4.1296443529743203E-2</c:v>
                </c:pt>
                <c:pt idx="22">
                  <c:v>1.2645509896958999E-2</c:v>
                </c:pt>
                <c:pt idx="23">
                  <c:v>3.3204712939641598E-2</c:v>
                </c:pt>
                <c:pt idx="24">
                  <c:v>-3.6741241315269402E-2</c:v>
                </c:pt>
                <c:pt idx="25">
                  <c:v>4.0380868166337298E-2</c:v>
                </c:pt>
                <c:pt idx="26">
                  <c:v>5.0306242304622197E-2</c:v>
                </c:pt>
                <c:pt idx="27">
                  <c:v>-3.1354172123210398E-3</c:v>
                </c:pt>
                <c:pt idx="28">
                  <c:v>-1.5974119359123799E-2</c:v>
                </c:pt>
                <c:pt idx="29">
                  <c:v>3.5373015165931401E-2</c:v>
                </c:pt>
                <c:pt idx="30">
                  <c:v>-0.25316317585359399</c:v>
                </c:pt>
                <c:pt idx="31">
                  <c:v>2.74497834023191E-2</c:v>
                </c:pt>
                <c:pt idx="32">
                  <c:v>4.6133241520389598E-2</c:v>
                </c:pt>
                <c:pt idx="33">
                  <c:v>1.97792889960384E-2</c:v>
                </c:pt>
                <c:pt idx="34">
                  <c:v>-1.6766819857935499E-2</c:v>
                </c:pt>
                <c:pt idx="35">
                  <c:v>3.8073367582993699E-2</c:v>
                </c:pt>
                <c:pt idx="36">
                  <c:v>2.0227625471156901E-2</c:v>
                </c:pt>
                <c:pt idx="37">
                  <c:v>-2.8520155835441499E-3</c:v>
                </c:pt>
                <c:pt idx="38">
                  <c:v>1.8625132051446499E-2</c:v>
                </c:pt>
                <c:pt idx="39">
                  <c:v>5.2728561142498E-2</c:v>
                </c:pt>
                <c:pt idx="40">
                  <c:v>-0.100316164098974</c:v>
                </c:pt>
                <c:pt idx="41">
                  <c:v>3.2476954574772399E-2</c:v>
                </c:pt>
                <c:pt idx="42">
                  <c:v>5.8150957274177899E-2</c:v>
                </c:pt>
                <c:pt idx="43">
                  <c:v>-0.102531874147166</c:v>
                </c:pt>
                <c:pt idx="44">
                  <c:v>-7.8018626085282705E-2</c:v>
                </c:pt>
                <c:pt idx="45">
                  <c:v>3.83205155269494E-2</c:v>
                </c:pt>
                <c:pt idx="46">
                  <c:v>-9.8285832160668302E-2</c:v>
                </c:pt>
                <c:pt idx="47">
                  <c:v>4.7304247910949303E-2</c:v>
                </c:pt>
                <c:pt idx="48">
                  <c:v>3.2974462759278303E-2</c:v>
                </c:pt>
                <c:pt idx="49">
                  <c:v>-0.52490744597629602</c:v>
                </c:pt>
                <c:pt idx="50">
                  <c:v>5.1336962109004597E-2</c:v>
                </c:pt>
                <c:pt idx="51">
                  <c:v>-0.114445025750931</c:v>
                </c:pt>
                <c:pt idx="52">
                  <c:v>-1.35017281783135E-2</c:v>
                </c:pt>
                <c:pt idx="53">
                  <c:v>1.52189336660098E-2</c:v>
                </c:pt>
                <c:pt idx="54">
                  <c:v>1.7519178056708499E-2</c:v>
                </c:pt>
                <c:pt idx="55">
                  <c:v>2.2886936577997501E-2</c:v>
                </c:pt>
                <c:pt idx="56">
                  <c:v>-0.33625289205758901</c:v>
                </c:pt>
                <c:pt idx="57">
                  <c:v>7.10639925309931E-3</c:v>
                </c:pt>
                <c:pt idx="58">
                  <c:v>-3.5156131013093499E-2</c:v>
                </c:pt>
                <c:pt idx="59">
                  <c:v>-4.6874785936430498E-3</c:v>
                </c:pt>
                <c:pt idx="60">
                  <c:v>4.4304885356654901E-3</c:v>
                </c:pt>
                <c:pt idx="61">
                  <c:v>4.73168778130423E-2</c:v>
                </c:pt>
                <c:pt idx="62">
                  <c:v>-0.238319480829807</c:v>
                </c:pt>
                <c:pt idx="63">
                  <c:v>-0.18452583471050901</c:v>
                </c:pt>
                <c:pt idx="64">
                  <c:v>7.9660332528227098E-3</c:v>
                </c:pt>
                <c:pt idx="65">
                  <c:v>2.95313653861938E-2</c:v>
                </c:pt>
                <c:pt idx="66">
                  <c:v>-1.0420627273330299E-2</c:v>
                </c:pt>
                <c:pt idx="67">
                  <c:v>-0.29999398981546999</c:v>
                </c:pt>
                <c:pt idx="68">
                  <c:v>-2.9515639135828001E-2</c:v>
                </c:pt>
                <c:pt idx="69">
                  <c:v>-0.32253529445609702</c:v>
                </c:pt>
                <c:pt idx="70">
                  <c:v>-2.2105693262744499E-2</c:v>
                </c:pt>
                <c:pt idx="71">
                  <c:v>-3.9234025707652002E-3</c:v>
                </c:pt>
                <c:pt idx="72">
                  <c:v>-3.06915003730256E-2</c:v>
                </c:pt>
                <c:pt idx="73">
                  <c:v>-8.9605506947965596E-2</c:v>
                </c:pt>
                <c:pt idx="74">
                  <c:v>-3.5820252837201298E-2</c:v>
                </c:pt>
                <c:pt idx="75">
                  <c:v>-2.7831721361174198E-2</c:v>
                </c:pt>
                <c:pt idx="76">
                  <c:v>-0.16733533073918999</c:v>
                </c:pt>
                <c:pt idx="77">
                  <c:v>2.3965236121242999E-2</c:v>
                </c:pt>
                <c:pt idx="78">
                  <c:v>-9.63849518592029E-2</c:v>
                </c:pt>
              </c:numCache>
            </c:numRef>
          </c:yVal>
          <c:smooth val="0"/>
          <c:extLst>
            <c:ext xmlns:c16="http://schemas.microsoft.com/office/drawing/2014/chart" uri="{C3380CC4-5D6E-409C-BE32-E72D297353CC}">
              <c16:uniqueId val="{00000001-3229-4665-9A7A-E0CEE30680F1}"/>
            </c:ext>
          </c:extLst>
        </c:ser>
        <c:dLbls>
          <c:showLegendKey val="0"/>
          <c:showVal val="0"/>
          <c:showCatName val="0"/>
          <c:showSerName val="0"/>
          <c:showPercent val="0"/>
          <c:showBubbleSize val="0"/>
        </c:dLbls>
        <c:axId val="183178752"/>
        <c:axId val="183180288"/>
      </c:scatterChart>
      <c:valAx>
        <c:axId val="1831787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180288"/>
        <c:crosses val="autoZero"/>
        <c:crossBetween val="midCat"/>
      </c:valAx>
      <c:valAx>
        <c:axId val="18318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17875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noFill/>
              <a:round/>
            </a:ln>
            <a:effectLst/>
          </c:spPr>
          <c:marker>
            <c:symbol val="circle"/>
            <c:size val="5"/>
            <c:spPr>
              <a:solidFill>
                <a:schemeClr val="tx1"/>
              </a:solidFill>
              <a:ln w="9525">
                <a:solidFill>
                  <a:schemeClr val="tx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tx1"/>
                </a:solidFill>
                <a:prstDash val="sysDot"/>
              </a:ln>
              <a:effectLst/>
            </c:spPr>
            <c:trendlineType val="linear"/>
            <c:dispRSqr val="0"/>
            <c:dispEq val="1"/>
            <c:trendlineLbl>
              <c:layout>
                <c:manualLayout>
                  <c:x val="-0.3439876911937732"/>
                  <c:y val="0.55147058823529416"/>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rendlineLbl>
          </c:trendline>
          <c:xVal>
            <c:numRef>
              <c:f>'Сравнение секторов и видов деят'!$C$2:$C$80</c:f>
              <c:numCache>
                <c:formatCode>General</c:formatCode>
                <c:ptCount val="79"/>
                <c:pt idx="0">
                  <c:v>6.7035891784799601E-2</c:v>
                </c:pt>
                <c:pt idx="1">
                  <c:v>4.0214638722651498E-2</c:v>
                </c:pt>
                <c:pt idx="2">
                  <c:v>6.1735313137637901E-2</c:v>
                </c:pt>
                <c:pt idx="3">
                  <c:v>2.8494237030608199E-2</c:v>
                </c:pt>
                <c:pt idx="4">
                  <c:v>4.2978433255573698E-2</c:v>
                </c:pt>
                <c:pt idx="5">
                  <c:v>5.8371222726916097E-2</c:v>
                </c:pt>
                <c:pt idx="6">
                  <c:v>2.4565287328844301E-2</c:v>
                </c:pt>
                <c:pt idx="7">
                  <c:v>6.1785624021577501E-2</c:v>
                </c:pt>
                <c:pt idx="8">
                  <c:v>4.4329626104528397E-2</c:v>
                </c:pt>
                <c:pt idx="9">
                  <c:v>2.6569942544649599E-2</c:v>
                </c:pt>
                <c:pt idx="10">
                  <c:v>5.6094631792144398E-2</c:v>
                </c:pt>
                <c:pt idx="11">
                  <c:v>4.3471551049257699E-2</c:v>
                </c:pt>
                <c:pt idx="12">
                  <c:v>4.55293000302954E-2</c:v>
                </c:pt>
                <c:pt idx="13">
                  <c:v>4.1942700735312498E-2</c:v>
                </c:pt>
                <c:pt idx="14">
                  <c:v>3.3478757978565102E-2</c:v>
                </c:pt>
                <c:pt idx="15">
                  <c:v>5.1378456032810903E-2</c:v>
                </c:pt>
                <c:pt idx="16">
                  <c:v>3.1835239003338102E-2</c:v>
                </c:pt>
                <c:pt idx="17">
                  <c:v>-3.8626742046133603E-2</c:v>
                </c:pt>
                <c:pt idx="18">
                  <c:v>2.1518106399610999E-2</c:v>
                </c:pt>
                <c:pt idx="19">
                  <c:v>-0.29574082116929701</c:v>
                </c:pt>
                <c:pt idx="20">
                  <c:v>-1.8643357408048299E-2</c:v>
                </c:pt>
                <c:pt idx="21">
                  <c:v>4.1296443529743203E-2</c:v>
                </c:pt>
                <c:pt idx="22">
                  <c:v>1.2645509896958999E-2</c:v>
                </c:pt>
                <c:pt idx="23">
                  <c:v>3.3204712939641598E-2</c:v>
                </c:pt>
                <c:pt idx="24">
                  <c:v>-3.6741241315269402E-2</c:v>
                </c:pt>
                <c:pt idx="25">
                  <c:v>4.0380868166337298E-2</c:v>
                </c:pt>
                <c:pt idx="26">
                  <c:v>5.0306242304622197E-2</c:v>
                </c:pt>
                <c:pt idx="27">
                  <c:v>-3.1354172123210398E-3</c:v>
                </c:pt>
                <c:pt idx="28">
                  <c:v>-1.5974119359123799E-2</c:v>
                </c:pt>
                <c:pt idx="29">
                  <c:v>3.5373015165931401E-2</c:v>
                </c:pt>
                <c:pt idx="30">
                  <c:v>-0.25316317585359399</c:v>
                </c:pt>
                <c:pt idx="31">
                  <c:v>2.74497834023191E-2</c:v>
                </c:pt>
                <c:pt idx="32">
                  <c:v>4.6133241520389598E-2</c:v>
                </c:pt>
                <c:pt idx="33">
                  <c:v>1.97792889960384E-2</c:v>
                </c:pt>
                <c:pt idx="34">
                  <c:v>-1.6766819857935499E-2</c:v>
                </c:pt>
                <c:pt idx="35">
                  <c:v>3.8073367582993699E-2</c:v>
                </c:pt>
                <c:pt idx="36">
                  <c:v>2.0227625471156901E-2</c:v>
                </c:pt>
                <c:pt idx="37">
                  <c:v>-2.8520155835441499E-3</c:v>
                </c:pt>
                <c:pt idx="38">
                  <c:v>1.8625132051446499E-2</c:v>
                </c:pt>
                <c:pt idx="39">
                  <c:v>5.2728561142498E-2</c:v>
                </c:pt>
                <c:pt idx="40">
                  <c:v>-0.100316164098974</c:v>
                </c:pt>
                <c:pt idx="41">
                  <c:v>3.2476954574772399E-2</c:v>
                </c:pt>
                <c:pt idx="42">
                  <c:v>5.8150957274177899E-2</c:v>
                </c:pt>
                <c:pt idx="43">
                  <c:v>-0.102531874147166</c:v>
                </c:pt>
                <c:pt idx="44">
                  <c:v>-7.8018626085282705E-2</c:v>
                </c:pt>
                <c:pt idx="45">
                  <c:v>3.83205155269494E-2</c:v>
                </c:pt>
                <c:pt idx="46">
                  <c:v>-9.8285832160668302E-2</c:v>
                </c:pt>
                <c:pt idx="47">
                  <c:v>4.7304247910949303E-2</c:v>
                </c:pt>
                <c:pt idx="48">
                  <c:v>3.2974462759278303E-2</c:v>
                </c:pt>
                <c:pt idx="49">
                  <c:v>-0.52490744597629602</c:v>
                </c:pt>
                <c:pt idx="50">
                  <c:v>5.1336962109004597E-2</c:v>
                </c:pt>
                <c:pt idx="51">
                  <c:v>-0.114445025750931</c:v>
                </c:pt>
                <c:pt idx="52">
                  <c:v>-1.35017281783135E-2</c:v>
                </c:pt>
                <c:pt idx="53">
                  <c:v>1.52189336660098E-2</c:v>
                </c:pt>
                <c:pt idx="54">
                  <c:v>1.7519178056708499E-2</c:v>
                </c:pt>
                <c:pt idx="55">
                  <c:v>2.2886936577997501E-2</c:v>
                </c:pt>
                <c:pt idx="56">
                  <c:v>-0.33625289205758901</c:v>
                </c:pt>
                <c:pt idx="57">
                  <c:v>7.10639925309931E-3</c:v>
                </c:pt>
                <c:pt idx="58">
                  <c:v>-3.5156131013093499E-2</c:v>
                </c:pt>
                <c:pt idx="59">
                  <c:v>-4.6874785936430498E-3</c:v>
                </c:pt>
                <c:pt idx="60">
                  <c:v>4.4304885356654901E-3</c:v>
                </c:pt>
                <c:pt idx="61">
                  <c:v>4.73168778130423E-2</c:v>
                </c:pt>
                <c:pt idx="62">
                  <c:v>-0.238319480829807</c:v>
                </c:pt>
                <c:pt idx="63">
                  <c:v>-0.18452583471050901</c:v>
                </c:pt>
                <c:pt idx="64">
                  <c:v>7.9660332528227098E-3</c:v>
                </c:pt>
                <c:pt idx="65">
                  <c:v>2.95313653861938E-2</c:v>
                </c:pt>
                <c:pt idx="66">
                  <c:v>-1.0420627273330299E-2</c:v>
                </c:pt>
                <c:pt idx="67">
                  <c:v>-0.29999398981546999</c:v>
                </c:pt>
                <c:pt idx="68">
                  <c:v>-2.9515639135828001E-2</c:v>
                </c:pt>
                <c:pt idx="69">
                  <c:v>-0.32253529445609702</c:v>
                </c:pt>
                <c:pt idx="70">
                  <c:v>-2.2105693262744499E-2</c:v>
                </c:pt>
                <c:pt idx="71">
                  <c:v>-3.9234025707652002E-3</c:v>
                </c:pt>
                <c:pt idx="72">
                  <c:v>-3.06915003730256E-2</c:v>
                </c:pt>
                <c:pt idx="73">
                  <c:v>-8.9605506947965596E-2</c:v>
                </c:pt>
                <c:pt idx="74">
                  <c:v>-3.5820252837201298E-2</c:v>
                </c:pt>
                <c:pt idx="75">
                  <c:v>-2.7831721361174198E-2</c:v>
                </c:pt>
                <c:pt idx="76">
                  <c:v>-0.16733533073918999</c:v>
                </c:pt>
                <c:pt idx="77">
                  <c:v>2.3965236121242999E-2</c:v>
                </c:pt>
                <c:pt idx="78">
                  <c:v>-9.63849518592029E-2</c:v>
                </c:pt>
              </c:numCache>
            </c:numRef>
          </c:xVal>
          <c:yVal>
            <c:numRef>
              <c:f>'Сравнение секторов и видов деят'!$E$2:$E$80</c:f>
              <c:numCache>
                <c:formatCode>General</c:formatCode>
                <c:ptCount val="79"/>
                <c:pt idx="0">
                  <c:v>-7.9481211549438206E-3</c:v>
                </c:pt>
                <c:pt idx="1">
                  <c:v>4.9890441978251703E-2</c:v>
                </c:pt>
                <c:pt idx="2">
                  <c:v>4.6431279358196999E-2</c:v>
                </c:pt>
                <c:pt idx="3">
                  <c:v>5.0038214986553503E-2</c:v>
                </c:pt>
                <c:pt idx="4">
                  <c:v>3.5318344070782999E-2</c:v>
                </c:pt>
                <c:pt idx="5">
                  <c:v>6.1033387387302102E-2</c:v>
                </c:pt>
                <c:pt idx="6">
                  <c:v>2.5304326166764798E-2</c:v>
                </c:pt>
                <c:pt idx="7">
                  <c:v>3.6601242299319103E-2</c:v>
                </c:pt>
                <c:pt idx="8">
                  <c:v>2.83094496341856E-2</c:v>
                </c:pt>
                <c:pt idx="9">
                  <c:v>3.8261707811161103E-2</c:v>
                </c:pt>
                <c:pt idx="10">
                  <c:v>4.8520939493892697E-2</c:v>
                </c:pt>
                <c:pt idx="11">
                  <c:v>4.5350966730690397E-2</c:v>
                </c:pt>
                <c:pt idx="12">
                  <c:v>5.0801731418176503E-2</c:v>
                </c:pt>
                <c:pt idx="13">
                  <c:v>6.4405998543194606E-2</c:v>
                </c:pt>
                <c:pt idx="14">
                  <c:v>4.1772135922491002E-2</c:v>
                </c:pt>
                <c:pt idx="15">
                  <c:v>4.1893031606688197E-2</c:v>
                </c:pt>
                <c:pt idx="16">
                  <c:v>4.2059769374894897E-2</c:v>
                </c:pt>
                <c:pt idx="17">
                  <c:v>3.3320465234625E-2</c:v>
                </c:pt>
                <c:pt idx="18">
                  <c:v>-2.77045500382486E-2</c:v>
                </c:pt>
                <c:pt idx="19">
                  <c:v>-0.17566249738756801</c:v>
                </c:pt>
                <c:pt idx="20">
                  <c:v>-0.15680628760238599</c:v>
                </c:pt>
                <c:pt idx="21">
                  <c:v>1.3814091472841201E-2</c:v>
                </c:pt>
                <c:pt idx="22">
                  <c:v>5.2468208805667702E-2</c:v>
                </c:pt>
                <c:pt idx="23">
                  <c:v>3.7522405541636397E-2</c:v>
                </c:pt>
                <c:pt idx="24">
                  <c:v>-2.19342912579924E-2</c:v>
                </c:pt>
                <c:pt idx="25">
                  <c:v>3.7679116825947601E-2</c:v>
                </c:pt>
                <c:pt idx="26">
                  <c:v>4.3838192989415103E-2</c:v>
                </c:pt>
                <c:pt idx="27">
                  <c:v>4.4984864188439E-2</c:v>
                </c:pt>
                <c:pt idx="28">
                  <c:v>4.1573851707838602E-2</c:v>
                </c:pt>
                <c:pt idx="29">
                  <c:v>-3.5851604429204501E-2</c:v>
                </c:pt>
                <c:pt idx="30">
                  <c:v>-0.27639686955221598</c:v>
                </c:pt>
                <c:pt idx="31">
                  <c:v>3.0344905033472501E-2</c:v>
                </c:pt>
                <c:pt idx="32">
                  <c:v>2.0634523108612499E-2</c:v>
                </c:pt>
                <c:pt idx="33">
                  <c:v>4.68110054404818E-2</c:v>
                </c:pt>
                <c:pt idx="34">
                  <c:v>-5.7157535072553202E-2</c:v>
                </c:pt>
                <c:pt idx="35">
                  <c:v>5.3574169501388103E-2</c:v>
                </c:pt>
                <c:pt idx="36">
                  <c:v>2.2822771941830002E-2</c:v>
                </c:pt>
                <c:pt idx="37">
                  <c:v>3.02196570005373E-2</c:v>
                </c:pt>
                <c:pt idx="38">
                  <c:v>-4.68564470343657E-2</c:v>
                </c:pt>
                <c:pt idx="39">
                  <c:v>4.7970498475911297E-2</c:v>
                </c:pt>
                <c:pt idx="40">
                  <c:v>-4.9965327041176198E-2</c:v>
                </c:pt>
                <c:pt idx="41">
                  <c:v>5.4882422946698303E-2</c:v>
                </c:pt>
                <c:pt idx="42">
                  <c:v>5.43661480984012E-2</c:v>
                </c:pt>
                <c:pt idx="43">
                  <c:v>-7.7890394177150796E-2</c:v>
                </c:pt>
                <c:pt idx="44">
                  <c:v>-0.12676339416978899</c:v>
                </c:pt>
                <c:pt idx="45">
                  <c:v>5.3998850487875102E-2</c:v>
                </c:pt>
                <c:pt idx="46">
                  <c:v>-7.0068315063115894E-2</c:v>
                </c:pt>
                <c:pt idx="47">
                  <c:v>4.7704404216216398E-2</c:v>
                </c:pt>
                <c:pt idx="48">
                  <c:v>4.0052816797706801E-2</c:v>
                </c:pt>
                <c:pt idx="49">
                  <c:v>-0.21304481837921099</c:v>
                </c:pt>
                <c:pt idx="50">
                  <c:v>5.4184751364233501E-2</c:v>
                </c:pt>
                <c:pt idx="51">
                  <c:v>-3.6700764649050602E-2</c:v>
                </c:pt>
                <c:pt idx="52">
                  <c:v>4.7857304543407697E-2</c:v>
                </c:pt>
                <c:pt idx="53">
                  <c:v>5.6617311455035901E-2</c:v>
                </c:pt>
                <c:pt idx="54">
                  <c:v>3.3169260806146898E-2</c:v>
                </c:pt>
                <c:pt idx="55">
                  <c:v>6.2175440671067396E-3</c:v>
                </c:pt>
                <c:pt idx="56">
                  <c:v>-0.58095633905793198</c:v>
                </c:pt>
                <c:pt idx="57">
                  <c:v>-2.4817086276833399E-2</c:v>
                </c:pt>
                <c:pt idx="58">
                  <c:v>1.246330947079E-2</c:v>
                </c:pt>
                <c:pt idx="59">
                  <c:v>-3.4440075928819001E-2</c:v>
                </c:pt>
                <c:pt idx="60">
                  <c:v>-8.9188617215096799E-2</c:v>
                </c:pt>
                <c:pt idx="61">
                  <c:v>4.5514413353265101E-2</c:v>
                </c:pt>
                <c:pt idx="62">
                  <c:v>-0.16892810230451399</c:v>
                </c:pt>
                <c:pt idx="63">
                  <c:v>-0.157607289565242</c:v>
                </c:pt>
                <c:pt idx="64">
                  <c:v>-9.5975344138393606E-2</c:v>
                </c:pt>
                <c:pt idx="65">
                  <c:v>1.7197850767153699E-2</c:v>
                </c:pt>
                <c:pt idx="66">
                  <c:v>2.2553789044036199E-2</c:v>
                </c:pt>
                <c:pt idx="67">
                  <c:v>-0.102416595799196</c:v>
                </c:pt>
                <c:pt idx="68">
                  <c:v>-2.4304635986226099E-2</c:v>
                </c:pt>
                <c:pt idx="69">
                  <c:v>-0.19579199191812199</c:v>
                </c:pt>
                <c:pt idx="70">
                  <c:v>-6.2774776944663602E-2</c:v>
                </c:pt>
                <c:pt idx="71">
                  <c:v>-1.23203671240043E-3</c:v>
                </c:pt>
                <c:pt idx="72">
                  <c:v>-1.1556226803584599E-2</c:v>
                </c:pt>
                <c:pt idx="73">
                  <c:v>-1.4557702801776E-2</c:v>
                </c:pt>
                <c:pt idx="74">
                  <c:v>-4.0799530898589099E-2</c:v>
                </c:pt>
                <c:pt idx="75">
                  <c:v>-2.6967297051914901E-2</c:v>
                </c:pt>
                <c:pt idx="76">
                  <c:v>-0.47771905555179101</c:v>
                </c:pt>
                <c:pt idx="77">
                  <c:v>-3.4422431783946001E-3</c:v>
                </c:pt>
                <c:pt idx="78">
                  <c:v>-9.3843432959048401E-2</c:v>
                </c:pt>
              </c:numCache>
            </c:numRef>
          </c:yVal>
          <c:smooth val="0"/>
          <c:extLst>
            <c:ext xmlns:c16="http://schemas.microsoft.com/office/drawing/2014/chart" uri="{C3380CC4-5D6E-409C-BE32-E72D297353CC}">
              <c16:uniqueId val="{00000002-A303-43B8-904C-AA1F2028AFE4}"/>
            </c:ext>
          </c:extLst>
        </c:ser>
        <c:dLbls>
          <c:showLegendKey val="0"/>
          <c:showVal val="0"/>
          <c:showCatName val="0"/>
          <c:showSerName val="0"/>
          <c:showPercent val="0"/>
          <c:showBubbleSize val="0"/>
        </c:dLbls>
        <c:axId val="183228288"/>
        <c:axId val="183229824"/>
      </c:scatterChart>
      <c:valAx>
        <c:axId val="183228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229824"/>
        <c:crosses val="autoZero"/>
        <c:crossBetween val="midCat"/>
      </c:valAx>
      <c:valAx>
        <c:axId val="183229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322828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noFill/>
              <a:round/>
            </a:ln>
            <a:effectLst/>
          </c:spPr>
          <c:marker>
            <c:symbol val="circle"/>
            <c:size val="5"/>
            <c:spPr>
              <a:solidFill>
                <a:schemeClr val="tx1"/>
              </a:solidFill>
              <a:ln w="9525">
                <a:solidFill>
                  <a:schemeClr val="tx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0.39508148850503633"/>
                  <c:y val="0.59605913231434304"/>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rendlineLbl>
          </c:trendline>
          <c:trendline>
            <c:spPr>
              <a:ln w="19050" cap="rnd">
                <a:solidFill>
                  <a:schemeClr val="tx1"/>
                </a:solidFill>
                <a:prstDash val="sysDot"/>
              </a:ln>
              <a:effectLst/>
            </c:spPr>
            <c:trendlineType val="linear"/>
            <c:dispRSqr val="0"/>
            <c:dispEq val="0"/>
          </c:trendline>
          <c:xVal>
            <c:numRef>
              <c:f>нормир!$I$2:$I$80</c:f>
              <c:numCache>
                <c:formatCode>General</c:formatCode>
                <c:ptCount val="79"/>
                <c:pt idx="0">
                  <c:v>0.9138860152364604</c:v>
                </c:pt>
                <c:pt idx="1">
                  <c:v>0.60652737674414225</c:v>
                </c:pt>
                <c:pt idx="2">
                  <c:v>0.85314393758490292</c:v>
                </c:pt>
                <c:pt idx="3">
                  <c:v>0.47221721985839321</c:v>
                </c:pt>
                <c:pt idx="4">
                  <c:v>0.63819913058588629</c:v>
                </c:pt>
                <c:pt idx="5">
                  <c:v>0.81459308218643756</c:v>
                </c:pt>
                <c:pt idx="6">
                  <c:v>0.42719334911526263</c:v>
                </c:pt>
                <c:pt idx="7">
                  <c:v>0.85372047607671719</c:v>
                </c:pt>
                <c:pt idx="8">
                  <c:v>0.65368314967451613</c:v>
                </c:pt>
                <c:pt idx="9">
                  <c:v>0.45016573211126776</c:v>
                </c:pt>
                <c:pt idx="10">
                  <c:v>0.78850444686078658</c:v>
                </c:pt>
                <c:pt idx="11">
                  <c:v>0.64385002293352789</c:v>
                </c:pt>
                <c:pt idx="12">
                  <c:v>0.66743083490026189</c:v>
                </c:pt>
                <c:pt idx="13">
                  <c:v>0.62633013488564571</c:v>
                </c:pt>
                <c:pt idx="14">
                  <c:v>0.52933742854329535</c:v>
                </c:pt>
                <c:pt idx="15">
                  <c:v>0.73445934475759922</c:v>
                </c:pt>
                <c:pt idx="16">
                  <c:v>0.51050349288072339</c:v>
                </c:pt>
                <c:pt idx="17">
                  <c:v>-0.29695686367513963</c:v>
                </c:pt>
                <c:pt idx="18">
                  <c:v>0.39227412369806303</c:v>
                </c:pt>
                <c:pt idx="19">
                  <c:v>-3.2433603412974659</c:v>
                </c:pt>
                <c:pt idx="20">
                  <c:v>-6.795690306187932E-2</c:v>
                </c:pt>
                <c:pt idx="21">
                  <c:v>0.61892433865534391</c:v>
                </c:pt>
                <c:pt idx="22">
                  <c:v>0.29059844230361548</c:v>
                </c:pt>
                <c:pt idx="23">
                  <c:v>0.52619700442314221</c:v>
                </c:pt>
                <c:pt idx="24">
                  <c:v>-0.27534993367183735</c:v>
                </c:pt>
                <c:pt idx="25">
                  <c:v>0.60843228608488842</c:v>
                </c:pt>
                <c:pt idx="26">
                  <c:v>0.72217229198995869</c:v>
                </c:pt>
                <c:pt idx="27">
                  <c:v>0.1097566203642807</c:v>
                </c:pt>
                <c:pt idx="28">
                  <c:v>-3.7368720972536643E-2</c:v>
                </c:pt>
                <c:pt idx="29">
                  <c:v>0.55104470331953825</c:v>
                </c:pt>
                <c:pt idx="30">
                  <c:v>-2.7554410384923345</c:v>
                </c:pt>
                <c:pt idx="31">
                  <c:v>0.46024828446169663</c:v>
                </c:pt>
                <c:pt idx="32">
                  <c:v>0.67435171341754274</c:v>
                </c:pt>
                <c:pt idx="33">
                  <c:v>0.37234811395830714</c:v>
                </c:pt>
                <c:pt idx="34">
                  <c:v>-4.6452686791821608E-2</c:v>
                </c:pt>
                <c:pt idx="35">
                  <c:v>0.58198944107785811</c:v>
                </c:pt>
                <c:pt idx="36">
                  <c:v>0.37748583396935836</c:v>
                </c:pt>
                <c:pt idx="37">
                  <c:v>0.11300426649645562</c:v>
                </c:pt>
                <c:pt idx="38">
                  <c:v>0.35912203140823967</c:v>
                </c:pt>
                <c:pt idx="39">
                  <c:v>0.74993089887825948</c:v>
                </c:pt>
                <c:pt idx="40">
                  <c:v>-1.0038879204607631</c:v>
                </c:pt>
                <c:pt idx="41">
                  <c:v>0.51785724417184842</c:v>
                </c:pt>
                <c:pt idx="42">
                  <c:v>0.81206894621472747</c:v>
                </c:pt>
                <c:pt idx="43">
                  <c:v>-1.029278890156625</c:v>
                </c:pt>
                <c:pt idx="44">
                  <c:v>-0.74836887704624278</c:v>
                </c:pt>
                <c:pt idx="45">
                  <c:v>0.58482163744781834</c:v>
                </c:pt>
                <c:pt idx="46">
                  <c:v>-0.98062129459510627</c:v>
                </c:pt>
                <c:pt idx="47">
                  <c:v>0.68777088250089091</c:v>
                </c:pt>
                <c:pt idx="48">
                  <c:v>0.52355844828316278</c:v>
                </c:pt>
                <c:pt idx="50">
                  <c:v>0.73398384438119035</c:v>
                </c:pt>
                <c:pt idx="51">
                  <c:v>-1.1657978681701202</c:v>
                </c:pt>
                <c:pt idx="52">
                  <c:v>-9.0363091574189019E-3</c:v>
                </c:pt>
                <c:pt idx="53">
                  <c:v>0.32008863890578254</c:v>
                </c:pt>
                <c:pt idx="54">
                  <c:v>0.34644833144089787</c:v>
                </c:pt>
                <c:pt idx="55">
                  <c:v>0.40796025808489456</c:v>
                </c:pt>
                <c:pt idx="57">
                  <c:v>0.22712290288679043</c:v>
                </c:pt>
                <c:pt idx="58">
                  <c:v>-0.25718533326304821</c:v>
                </c:pt>
                <c:pt idx="59">
                  <c:v>9.197074466659122E-2</c:v>
                </c:pt>
                <c:pt idx="60">
                  <c:v>0.19645825523100377</c:v>
                </c:pt>
                <c:pt idx="61">
                  <c:v>0.68791561509420407</c:v>
                </c:pt>
                <c:pt idx="62">
                  <c:v>-2.5853394447250753</c:v>
                </c:pt>
                <c:pt idx="63">
                  <c:v>-1.9688901762120106</c:v>
                </c:pt>
                <c:pt idx="64">
                  <c:v>0.2369738943801584</c:v>
                </c:pt>
                <c:pt idx="65">
                  <c:v>0.48410221115898372</c:v>
                </c:pt>
                <c:pt idx="66">
                  <c:v>2.6271622840342901E-2</c:v>
                </c:pt>
                <c:pt idx="67">
                  <c:v>-3.2920996049454727</c:v>
                </c:pt>
                <c:pt idx="68">
                  <c:v>-0.19254801375354516</c:v>
                </c:pt>
                <c:pt idx="69">
                  <c:v>-3.5504120964659123</c:v>
                </c:pt>
                <c:pt idx="70">
                  <c:v>-0.10763360391685908</c:v>
                </c:pt>
                <c:pt idx="71">
                  <c:v>0.10072668778200777</c:v>
                </c:pt>
                <c:pt idx="72">
                  <c:v>-0.20602281704045777</c:v>
                </c:pt>
                <c:pt idx="73">
                  <c:v>-0.88114894955347722</c:v>
                </c:pt>
                <c:pt idx="74">
                  <c:v>-0.26479584941521411</c:v>
                </c:pt>
                <c:pt idx="75">
                  <c:v>-0.17325112731235834</c:v>
                </c:pt>
                <c:pt idx="77">
                  <c:v>0.42031705136113989</c:v>
                </c:pt>
                <c:pt idx="78">
                  <c:v>-0.95883812212208674</c:v>
                </c:pt>
              </c:numCache>
            </c:numRef>
          </c:xVal>
          <c:yVal>
            <c:numRef>
              <c:f>нормир!$J$2:$J$80</c:f>
              <c:numCache>
                <c:formatCode>General</c:formatCode>
                <c:ptCount val="79"/>
                <c:pt idx="0">
                  <c:v>-1.7996400484342909E-2</c:v>
                </c:pt>
                <c:pt idx="1">
                  <c:v>0.78872987542626349</c:v>
                </c:pt>
                <c:pt idx="2">
                  <c:v>0.74048183420470892</c:v>
                </c:pt>
                <c:pt idx="3">
                  <c:v>0.79079099800970121</c:v>
                </c:pt>
                <c:pt idx="4">
                  <c:v>0.58547976615185149</c:v>
                </c:pt>
                <c:pt idx="5">
                  <c:v>0.94415052154115886</c:v>
                </c:pt>
                <c:pt idx="6">
                  <c:v>0.44580528371343542</c:v>
                </c:pt>
                <c:pt idx="7">
                  <c:v>0.60337349750018876</c:v>
                </c:pt>
                <c:pt idx="8">
                  <c:v>0.48772043395568887</c:v>
                </c:pt>
                <c:pt idx="9">
                  <c:v>0.62653349813093551</c:v>
                </c:pt>
                <c:pt idx="10">
                  <c:v>0.76962819690577522</c:v>
                </c:pt>
                <c:pt idx="11">
                  <c:v>0.72541374579454898</c:v>
                </c:pt>
                <c:pt idx="12">
                  <c:v>0.80144044595779984</c:v>
                </c:pt>
                <c:pt idx="13">
                  <c:v>0.9911913519231671</c:v>
                </c:pt>
                <c:pt idx="14">
                  <c:v>0.67549658510429977</c:v>
                </c:pt>
                <c:pt idx="15">
                  <c:v>0.67718282556054121</c:v>
                </c:pt>
                <c:pt idx="16">
                  <c:v>0.679508466646909</c:v>
                </c:pt>
                <c:pt idx="17">
                  <c:v>0.55761355949137992</c:v>
                </c:pt>
                <c:pt idx="18">
                  <c:v>-0.29355702016325441</c:v>
                </c:pt>
                <c:pt idx="19">
                  <c:v>-2.3572591142422192</c:v>
                </c:pt>
                <c:pt idx="20">
                  <c:v>-2.0942546571163048</c:v>
                </c:pt>
                <c:pt idx="21">
                  <c:v>0.28554068269592214</c:v>
                </c:pt>
                <c:pt idx="22">
                  <c:v>0.82468429960616985</c:v>
                </c:pt>
                <c:pt idx="23">
                  <c:v>0.61622178680276074</c:v>
                </c:pt>
                <c:pt idx="24">
                  <c:v>-0.21307404955216591</c:v>
                </c:pt>
                <c:pt idx="25">
                  <c:v>0.61840757953233472</c:v>
                </c:pt>
                <c:pt idx="26">
                  <c:v>0.70431373465174196</c:v>
                </c:pt>
                <c:pt idx="27">
                  <c:v>0.72030738553052009</c:v>
                </c:pt>
                <c:pt idx="28">
                  <c:v>0.6727309374568986</c:v>
                </c:pt>
                <c:pt idx="29">
                  <c:v>-0.40719128928092646</c:v>
                </c:pt>
                <c:pt idx="30">
                  <c:v>-3.7622916826591677</c:v>
                </c:pt>
                <c:pt idx="31">
                  <c:v>0.51611075461886635</c:v>
                </c:pt>
                <c:pt idx="32">
                  <c:v>0.380671355305435</c:v>
                </c:pt>
                <c:pt idx="33">
                  <c:v>0.74577821419122903</c:v>
                </c:pt>
                <c:pt idx="34">
                  <c:v>-0.70436419869667855</c:v>
                </c:pt>
                <c:pt idx="35">
                  <c:v>0.84011012460993717</c:v>
                </c:pt>
                <c:pt idx="36">
                  <c:v>0.411192822927685</c:v>
                </c:pt>
                <c:pt idx="37">
                  <c:v>0.51436380805412785</c:v>
                </c:pt>
                <c:pt idx="38">
                  <c:v>-0.56068569181992634</c:v>
                </c:pt>
                <c:pt idx="39">
                  <c:v>0.76195070271350129</c:v>
                </c:pt>
                <c:pt idx="40">
                  <c:v>-0.60404802750540154</c:v>
                </c:pt>
                <c:pt idx="41">
                  <c:v>0.858357507890394</c:v>
                </c:pt>
                <c:pt idx="42">
                  <c:v>0.85115655988700223</c:v>
                </c:pt>
                <c:pt idx="43">
                  <c:v>-0.9935439657651286</c:v>
                </c:pt>
                <c:pt idx="44">
                  <c:v>-1.6752194974660799</c:v>
                </c:pt>
                <c:pt idx="45">
                  <c:v>0.8460335309347059</c:v>
                </c:pt>
                <c:pt idx="46">
                  <c:v>-0.88444241808297619</c:v>
                </c:pt>
                <c:pt idx="47">
                  <c:v>0.75823924759539085</c:v>
                </c:pt>
                <c:pt idx="48">
                  <c:v>0.65151570038825157</c:v>
                </c:pt>
                <c:pt idx="50">
                  <c:v>0.84862645706476481</c:v>
                </c:pt>
                <c:pt idx="51">
                  <c:v>-0.41903528789877442</c:v>
                </c:pt>
                <c:pt idx="52">
                  <c:v>0.76037188549056978</c:v>
                </c:pt>
                <c:pt idx="53">
                  <c:v>0.8825555527524046</c:v>
                </c:pt>
                <c:pt idx="54">
                  <c:v>0.55550457581544688</c:v>
                </c:pt>
                <c:pt idx="55">
                  <c:v>0.17958482787474178</c:v>
                </c:pt>
                <c:pt idx="57">
                  <c:v>-0.25328297528926619</c:v>
                </c:pt>
                <c:pt idx="58">
                  <c:v>0.26670011551979156</c:v>
                </c:pt>
                <c:pt idx="59">
                  <c:v>-0.38750343625049516</c:v>
                </c:pt>
                <c:pt idx="60">
                  <c:v>-1.1511304081326506</c:v>
                </c:pt>
                <c:pt idx="61">
                  <c:v>0.72769348232320741</c:v>
                </c:pt>
                <c:pt idx="62">
                  <c:v>-2.2633284705408583</c:v>
                </c:pt>
                <c:pt idx="63">
                  <c:v>-2.105426949363673</c:v>
                </c:pt>
                <c:pt idx="64">
                  <c:v>-1.2457909709105521</c:v>
                </c:pt>
                <c:pt idx="65">
                  <c:v>0.33273700615562296</c:v>
                </c:pt>
                <c:pt idx="66">
                  <c:v>0.40744107738516305</c:v>
                </c:pt>
                <c:pt idx="67">
                  <c:v>-1.3356328805817101</c:v>
                </c:pt>
                <c:pt idx="68">
                  <c:v>-0.24613537181960693</c:v>
                </c:pt>
                <c:pt idx="69">
                  <c:v>-2.6380232148510157</c:v>
                </c:pt>
                <c:pt idx="70">
                  <c:v>-0.78271290535353388</c:v>
                </c:pt>
                <c:pt idx="71">
                  <c:v>7.5678848303512805E-2</c:v>
                </c:pt>
                <c:pt idx="72">
                  <c:v>-6.8321883610831871E-2</c:v>
                </c:pt>
                <c:pt idx="73">
                  <c:v>-0.11018615933081968</c:v>
                </c:pt>
                <c:pt idx="74">
                  <c:v>-0.47620445416425716</c:v>
                </c:pt>
                <c:pt idx="75">
                  <c:v>-0.28327389202434666</c:v>
                </c:pt>
                <c:pt idx="77">
                  <c:v>4.4851117898127332E-2</c:v>
                </c:pt>
                <c:pt idx="78">
                  <c:v>-1.2160552950376111</c:v>
                </c:pt>
              </c:numCache>
            </c:numRef>
          </c:yVal>
          <c:smooth val="0"/>
          <c:extLst>
            <c:ext xmlns:c16="http://schemas.microsoft.com/office/drawing/2014/chart" uri="{C3380CC4-5D6E-409C-BE32-E72D297353CC}">
              <c16:uniqueId val="{00000003-47B6-4141-B922-A602B09C4BBC}"/>
            </c:ext>
          </c:extLst>
        </c:ser>
        <c:dLbls>
          <c:showLegendKey val="0"/>
          <c:showVal val="0"/>
          <c:showCatName val="0"/>
          <c:showSerName val="0"/>
          <c:showPercent val="0"/>
          <c:showBubbleSize val="0"/>
        </c:dLbls>
        <c:axId val="191924864"/>
        <c:axId val="191930752"/>
      </c:scatterChart>
      <c:valAx>
        <c:axId val="1919248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1930752"/>
        <c:crosses val="autoZero"/>
        <c:crossBetween val="midCat"/>
      </c:valAx>
      <c:valAx>
        <c:axId val="19193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192486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TotalTime>
  <Pages>6</Pages>
  <Words>2470</Words>
  <Characters>14081</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Афанасьев</dc:creator>
  <cp:keywords/>
  <dc:description/>
  <cp:lastModifiedBy>Михаил Афанасьев</cp:lastModifiedBy>
  <cp:revision>3</cp:revision>
  <dcterms:created xsi:type="dcterms:W3CDTF">2023-06-15T15:03:00Z</dcterms:created>
  <dcterms:modified xsi:type="dcterms:W3CDTF">2023-06-15T15:19:00Z</dcterms:modified>
</cp:coreProperties>
</file>