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C0C0A" w:rsidRPr="00DB3294" w:rsidRDefault="005C0C0A" w:rsidP="005C0C0A">
      <w:pPr>
        <w:pStyle w:val="3"/>
        <w:spacing w:before="90"/>
        <w:ind w:left="118"/>
        <w:rPr>
          <w:rFonts w:ascii="Times New Roman" w:hAnsi="Times New Roman"/>
        </w:rPr>
      </w:pPr>
      <w:r w:rsidRPr="00DB3294">
        <w:rPr>
          <w:rFonts w:ascii="Times New Roman" w:hAnsi="Times New Roman"/>
        </w:rPr>
        <w:t>УДК</w:t>
      </w:r>
      <w:r w:rsidRPr="00DB3294">
        <w:rPr>
          <w:rFonts w:ascii="Times New Roman" w:hAnsi="Times New Roman"/>
          <w:spacing w:val="-8"/>
        </w:rPr>
        <w:t xml:space="preserve"> </w:t>
      </w:r>
      <w:r w:rsidR="006D35F6" w:rsidRPr="00DB3294">
        <w:rPr>
          <w:rFonts w:ascii="Times New Roman" w:hAnsi="Times New Roman"/>
        </w:rPr>
        <w:t>332.146</w:t>
      </w:r>
      <w:r w:rsidRPr="00DB3294">
        <w:rPr>
          <w:rFonts w:ascii="Times New Roman" w:hAnsi="Times New Roman"/>
        </w:rPr>
        <w:t>/ББК</w:t>
      </w:r>
      <w:r w:rsidRPr="00DB3294">
        <w:rPr>
          <w:rFonts w:ascii="Times New Roman" w:hAnsi="Times New Roman"/>
          <w:spacing w:val="-7"/>
        </w:rPr>
        <w:t xml:space="preserve"> </w:t>
      </w:r>
      <w:r w:rsidR="006D35F6" w:rsidRPr="00DB3294">
        <w:rPr>
          <w:rFonts w:ascii="Times New Roman" w:hAnsi="Times New Roman"/>
        </w:rPr>
        <w:t>65.053</w:t>
      </w:r>
    </w:p>
    <w:p w:rsidR="005C0C0A" w:rsidRPr="00DB3294" w:rsidRDefault="005C0C0A" w:rsidP="005C0C0A">
      <w:pPr>
        <w:rPr>
          <w:b/>
          <w:sz w:val="24"/>
        </w:rPr>
      </w:pPr>
    </w:p>
    <w:p w:rsidR="005C0C0A" w:rsidRPr="00DB3294" w:rsidRDefault="00435761" w:rsidP="00793873">
      <w:pPr>
        <w:ind w:left="1701" w:right="-5"/>
        <w:jc w:val="center"/>
        <w:rPr>
          <w:b/>
          <w:sz w:val="24"/>
        </w:rPr>
      </w:pPr>
      <w:r w:rsidRPr="00DB3294">
        <w:rPr>
          <w:b/>
          <w:spacing w:val="-1"/>
          <w:sz w:val="24"/>
        </w:rPr>
        <w:t>ИНФРАСТРУКТУРНЫЕ ЭКСТЕРНАЛИИ ЭКОНОМИЧЕСКОГО РОСТА РЕГИОНОВ РОССИИ</w:t>
      </w:r>
    </w:p>
    <w:p w:rsidR="005C0C0A" w:rsidRPr="00DB3294" w:rsidRDefault="005C0C0A" w:rsidP="008D5F2B">
      <w:pPr>
        <w:pStyle w:val="3"/>
        <w:spacing w:before="90"/>
        <w:ind w:left="-142"/>
        <w:rPr>
          <w:rFonts w:ascii="Times New Roman" w:hAnsi="Times New Roman"/>
        </w:rPr>
      </w:pPr>
      <w:r w:rsidRPr="00DB3294">
        <w:br w:type="column"/>
      </w:r>
      <w:r w:rsidR="008D5F2B" w:rsidRPr="00DB3294">
        <w:rPr>
          <w:rFonts w:ascii="Times New Roman" w:hAnsi="Times New Roman"/>
        </w:rPr>
        <w:t>Патракеева О.Ю.</w:t>
      </w:r>
    </w:p>
    <w:p w:rsidR="005C0C0A" w:rsidRPr="00DB3294" w:rsidRDefault="005C0C0A" w:rsidP="005C0C0A">
      <w:pPr>
        <w:sectPr w:rsidR="005C0C0A" w:rsidRPr="00DB3294" w:rsidSect="008D5F2B">
          <w:type w:val="continuous"/>
          <w:pgSz w:w="11910" w:h="16840"/>
          <w:pgMar w:top="720" w:right="740" w:bottom="280" w:left="1300" w:header="720" w:footer="720" w:gutter="0"/>
          <w:cols w:num="2" w:space="720" w:equalWidth="0">
            <w:col w:w="7512" w:space="520"/>
            <w:col w:w="1838"/>
          </w:cols>
        </w:sectPr>
      </w:pPr>
    </w:p>
    <w:p w:rsidR="005C0C0A" w:rsidRPr="00DB3294" w:rsidRDefault="005C0C0A" w:rsidP="005C0C0A">
      <w:pPr>
        <w:spacing w:before="9"/>
        <w:rPr>
          <w:b/>
          <w:sz w:val="15"/>
        </w:rPr>
      </w:pPr>
    </w:p>
    <w:p w:rsidR="00435761" w:rsidRPr="00DB3294" w:rsidRDefault="005C0C0A" w:rsidP="00435761">
      <w:pPr>
        <w:ind w:firstLine="709"/>
        <w:jc w:val="both"/>
        <w:rPr>
          <w:i/>
          <w:sz w:val="24"/>
          <w:szCs w:val="24"/>
        </w:rPr>
      </w:pPr>
      <w:r w:rsidRPr="00DB3294">
        <w:rPr>
          <w:b/>
          <w:i/>
          <w:sz w:val="24"/>
          <w:szCs w:val="24"/>
        </w:rPr>
        <w:t>Аннотация.</w:t>
      </w:r>
      <w:r w:rsidRPr="00DB3294">
        <w:rPr>
          <w:b/>
          <w:i/>
          <w:spacing w:val="1"/>
          <w:sz w:val="24"/>
          <w:szCs w:val="24"/>
        </w:rPr>
        <w:t xml:space="preserve"> </w:t>
      </w:r>
      <w:r w:rsidR="004927B2" w:rsidRPr="004927B2">
        <w:rPr>
          <w:i/>
          <w:spacing w:val="-7"/>
          <w:sz w:val="24"/>
          <w:szCs w:val="24"/>
        </w:rPr>
        <w:t xml:space="preserve">Отсутствие количественных оценок результативности инфраструктурных инвестиций приводит к нерациональным затратам ресурсов; необходима проверка гипотезы о значимом влиянии инфраструктуры на развитие региональных экономик с учетом пространственных </w:t>
      </w:r>
      <w:proofErr w:type="spellStart"/>
      <w:r w:rsidR="004927B2" w:rsidRPr="004927B2">
        <w:rPr>
          <w:i/>
          <w:spacing w:val="-7"/>
          <w:sz w:val="24"/>
          <w:szCs w:val="24"/>
        </w:rPr>
        <w:t>экстерналий</w:t>
      </w:r>
      <w:proofErr w:type="spellEnd"/>
      <w:r w:rsidR="00435761" w:rsidRPr="004927B2">
        <w:rPr>
          <w:i/>
          <w:spacing w:val="-7"/>
          <w:sz w:val="24"/>
          <w:szCs w:val="24"/>
        </w:rPr>
        <w:t>.</w:t>
      </w:r>
    </w:p>
    <w:p w:rsidR="005C0C0A" w:rsidRPr="005E7164" w:rsidRDefault="005C0C0A" w:rsidP="00435761">
      <w:pPr>
        <w:ind w:firstLine="709"/>
        <w:jc w:val="both"/>
        <w:rPr>
          <w:i/>
          <w:sz w:val="24"/>
          <w:szCs w:val="24"/>
        </w:rPr>
      </w:pPr>
      <w:r w:rsidRPr="00DB3294">
        <w:rPr>
          <w:b/>
          <w:i/>
          <w:sz w:val="24"/>
          <w:szCs w:val="24"/>
        </w:rPr>
        <w:t>Ключевые</w:t>
      </w:r>
      <w:r w:rsidRPr="00DB3294">
        <w:rPr>
          <w:b/>
          <w:i/>
          <w:spacing w:val="-7"/>
          <w:sz w:val="24"/>
          <w:szCs w:val="24"/>
        </w:rPr>
        <w:t xml:space="preserve"> </w:t>
      </w:r>
      <w:r w:rsidRPr="00DB3294">
        <w:rPr>
          <w:b/>
          <w:i/>
          <w:sz w:val="24"/>
          <w:szCs w:val="24"/>
        </w:rPr>
        <w:t>слова:</w:t>
      </w:r>
      <w:r w:rsidRPr="00DB3294">
        <w:rPr>
          <w:i/>
          <w:spacing w:val="-7"/>
          <w:sz w:val="24"/>
          <w:szCs w:val="24"/>
        </w:rPr>
        <w:t xml:space="preserve"> </w:t>
      </w:r>
      <w:r w:rsidR="004C19CE" w:rsidRPr="00DB3294">
        <w:rPr>
          <w:i/>
          <w:spacing w:val="-7"/>
          <w:sz w:val="24"/>
          <w:szCs w:val="24"/>
        </w:rPr>
        <w:t xml:space="preserve">инфраструктура, </w:t>
      </w:r>
      <w:proofErr w:type="spellStart"/>
      <w:r w:rsidR="004C19CE" w:rsidRPr="00DB3294">
        <w:rPr>
          <w:i/>
          <w:spacing w:val="-7"/>
          <w:sz w:val="24"/>
          <w:szCs w:val="24"/>
        </w:rPr>
        <w:t>экстерналии</w:t>
      </w:r>
      <w:proofErr w:type="spellEnd"/>
      <w:r w:rsidR="004C19CE" w:rsidRPr="00DB3294">
        <w:rPr>
          <w:i/>
          <w:spacing w:val="-7"/>
          <w:sz w:val="24"/>
          <w:szCs w:val="24"/>
        </w:rPr>
        <w:t>, пространственные модели, индекс Морана</w:t>
      </w:r>
      <w:r w:rsidR="005E7164" w:rsidRPr="005E7164">
        <w:rPr>
          <w:i/>
          <w:spacing w:val="-7"/>
          <w:sz w:val="24"/>
          <w:szCs w:val="24"/>
        </w:rPr>
        <w:t xml:space="preserve">, </w:t>
      </w:r>
      <w:r w:rsidR="005E7164">
        <w:rPr>
          <w:i/>
          <w:spacing w:val="-7"/>
          <w:sz w:val="24"/>
          <w:szCs w:val="24"/>
        </w:rPr>
        <w:t>регионы России</w:t>
      </w:r>
    </w:p>
    <w:p w:rsidR="005C0C0A" w:rsidRPr="00DB3294" w:rsidRDefault="005C0C0A" w:rsidP="00435761">
      <w:pPr>
        <w:spacing w:before="11"/>
        <w:ind w:firstLine="709"/>
        <w:rPr>
          <w:i/>
          <w:sz w:val="23"/>
        </w:rPr>
      </w:pPr>
    </w:p>
    <w:p w:rsidR="003A6E63" w:rsidRPr="00DB3294" w:rsidRDefault="003A6E63" w:rsidP="003A6E63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Инфраструктура выступает необходимым условием национального экономического роста. Ее финансирование обеспечивает снижение транспортных издержек, повышение отдачи от капитала и эффективности частных вложений, способствует расширению рынков сбыта, межрегиональной мобильности капитала, рабочей силы, интеллектуальных активов и т.д. Благодаря сокращению издержек снижаются межрегиональные диспропорции цен на товары, усиливаются межрегиональные торговые потоки, что в конечном итоге, приводит к улучшению условий торговли </w:t>
      </w:r>
      <w:r w:rsidR="00C44D98" w:rsidRPr="00DB3294">
        <w:rPr>
          <w:sz w:val="24"/>
          <w:szCs w:val="24"/>
        </w:rPr>
        <w:t>[5]</w:t>
      </w:r>
      <w:r w:rsidRPr="00DB3294">
        <w:rPr>
          <w:sz w:val="24"/>
          <w:szCs w:val="24"/>
        </w:rPr>
        <w:t>, усилению рыночной интеграции, росту валового внутреннего продукта и реальных доходов населения. Эффективно функционирующие транспортные системы помимо обеспечения торговых потоков и повышения конкурентоспособности отечественных предприятий за счет снижения транспортных издержек, способствуют увеличению факторной производительности. Кроме того, инвестиции в транспортную инфраструктуру рассматриваются как инструмент сокращения экономического разрыва между центром и периферией страны путем об</w:t>
      </w:r>
      <w:r w:rsidR="009144FA" w:rsidRPr="00DB3294">
        <w:rPr>
          <w:sz w:val="24"/>
          <w:szCs w:val="24"/>
        </w:rPr>
        <w:t>еспечения связанности регионов.</w:t>
      </w:r>
    </w:p>
    <w:p w:rsidR="009144FA" w:rsidRPr="00DB3294" w:rsidRDefault="009144FA" w:rsidP="009144FA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Инвестиции в основной капитал, важным компонентом которого является транспортная инфраструктура, являются важной движущей силой экономического роста </w:t>
      </w:r>
      <w:r w:rsidR="00C44D98" w:rsidRPr="00DB3294">
        <w:rPr>
          <w:sz w:val="24"/>
          <w:szCs w:val="24"/>
        </w:rPr>
        <w:t>[6]</w:t>
      </w:r>
      <w:r w:rsidRPr="00DB3294">
        <w:rPr>
          <w:sz w:val="24"/>
          <w:szCs w:val="24"/>
        </w:rPr>
        <w:t xml:space="preserve">. В соответствии с этим многие программы развития в значительной степени зависят от вложений в транспортные сети для содействия экономическому развитию и конвергенции. В Европейском союзе инвестиции в транспортную инфраструктуру были ключевым элементом политики регионального развития. При этом показано, что качество государственного управления и институциональной среды, в которой осуществляются проекты, положительно влияют на масштаб и тип новых инвестиций в инфраструктуру и, следовательно, на их экономическую отдачу </w:t>
      </w:r>
      <w:r w:rsidR="00C44D98" w:rsidRPr="00DB3294">
        <w:rPr>
          <w:sz w:val="24"/>
          <w:szCs w:val="24"/>
        </w:rPr>
        <w:t>[4]</w:t>
      </w:r>
      <w:r w:rsidRPr="00DB3294">
        <w:rPr>
          <w:sz w:val="24"/>
          <w:szCs w:val="24"/>
        </w:rPr>
        <w:t>.</w:t>
      </w:r>
    </w:p>
    <w:p w:rsidR="006A697A" w:rsidRPr="00DB3294" w:rsidRDefault="006A697A" w:rsidP="006A697A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>Цель представленного исследования - оценить прямые и косвенные инфраструктурные эффекты развития регионов России с использованием геоэкономических подходов. Статистическая база исследования представлена данными по субъектам России за 2014-2021 гг., источники информации - сборники Федеральной службы государственной статистики, находящиеся в открытом доступе [</w:t>
      </w:r>
      <w:r w:rsidR="00C44D98" w:rsidRPr="00DB3294">
        <w:rPr>
          <w:sz w:val="24"/>
          <w:szCs w:val="24"/>
        </w:rPr>
        <w:t>3</w:t>
      </w:r>
      <w:r w:rsidRPr="00DB3294">
        <w:rPr>
          <w:sz w:val="24"/>
          <w:szCs w:val="24"/>
        </w:rPr>
        <w:t>]. Гипотеза исследования: плотность автомобильных и железных дорог, число абонентских станций, подключенных к сетям подвижной радиотелефонной связи, оказывают положительное влияние на ВРП на душу населения при этом существуют пространственные внешние эффекты, связанные с уровнем развития внутрирегиональной инфраструктуры.</w:t>
      </w:r>
    </w:p>
    <w:p w:rsidR="006A697A" w:rsidRPr="00DB3294" w:rsidRDefault="00BF26EC" w:rsidP="006A697A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>Рассмотрим линейную регрессионную модель вида (1):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4"/>
        <w:gridCol w:w="622"/>
      </w:tblGrid>
      <w:tr w:rsidR="00DB3294" w:rsidRPr="00DB3294" w:rsidTr="00BF26EC">
        <w:tc>
          <w:tcPr>
            <w:tcW w:w="9464" w:type="dxa"/>
          </w:tcPr>
          <w:p w:rsidR="00BF26EC" w:rsidRPr="00DB3294" w:rsidRDefault="00BF26EC" w:rsidP="006A697A">
            <w:pPr>
              <w:adjustRightInd w:val="0"/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lnY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α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βlnx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βlnAuto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βlnRailw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βlnMobile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+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ε</m:t>
                </m:r>
              </m:oMath>
            </m:oMathPara>
          </w:p>
        </w:tc>
        <w:tc>
          <w:tcPr>
            <w:tcW w:w="622" w:type="dxa"/>
          </w:tcPr>
          <w:p w:rsidR="00BF26EC" w:rsidRPr="00DB3294" w:rsidRDefault="00BF26EC" w:rsidP="006A697A">
            <w:pPr>
              <w:adjustRightInd w:val="0"/>
              <w:jc w:val="both"/>
              <w:rPr>
                <w:sz w:val="24"/>
                <w:szCs w:val="24"/>
              </w:rPr>
            </w:pPr>
            <w:r w:rsidRPr="00DB3294">
              <w:rPr>
                <w:sz w:val="24"/>
                <w:szCs w:val="24"/>
              </w:rPr>
              <w:t>(1)</w:t>
            </w:r>
          </w:p>
        </w:tc>
      </w:tr>
    </w:tbl>
    <w:p w:rsidR="00BF26EC" w:rsidRPr="00DB3294" w:rsidRDefault="00BF26EC" w:rsidP="00BF26EC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  <w:lang w:eastAsia="ru-RU"/>
        </w:rPr>
        <w:t xml:space="preserve">где </w:t>
      </w:r>
      <w:r w:rsidRPr="00DB3294">
        <w:rPr>
          <w:i/>
          <w:sz w:val="24"/>
          <w:szCs w:val="24"/>
          <w:lang w:val="en-US"/>
        </w:rPr>
        <w:t>Y</w:t>
      </w:r>
      <w:r w:rsidRPr="00DB3294">
        <w:rPr>
          <w:i/>
          <w:sz w:val="24"/>
          <w:szCs w:val="24"/>
          <w:vertAlign w:val="subscript"/>
        </w:rPr>
        <w:t>1</w:t>
      </w:r>
      <w:r w:rsidRPr="00DB3294">
        <w:rPr>
          <w:sz w:val="24"/>
          <w:szCs w:val="24"/>
        </w:rPr>
        <w:t xml:space="preserve"> – ВРП на душу населения, тыс. руб.; </w:t>
      </w:r>
      <w:r w:rsidRPr="00DB3294">
        <w:rPr>
          <w:i/>
          <w:sz w:val="24"/>
          <w:szCs w:val="24"/>
          <w:lang w:val="en-US"/>
        </w:rPr>
        <w:t>x</w:t>
      </w:r>
      <w:r w:rsidRPr="00DB3294">
        <w:rPr>
          <w:i/>
          <w:sz w:val="24"/>
          <w:szCs w:val="24"/>
          <w:vertAlign w:val="subscript"/>
        </w:rPr>
        <w:t>1</w:t>
      </w:r>
      <w:r w:rsidRPr="00DB3294">
        <w:rPr>
          <w:sz w:val="24"/>
          <w:szCs w:val="24"/>
        </w:rPr>
        <w:t xml:space="preserve"> – фондовооруженность экономики, тыс. руб.; </w:t>
      </w:r>
      <w:r w:rsidRPr="00DB3294">
        <w:rPr>
          <w:i/>
          <w:sz w:val="24"/>
          <w:szCs w:val="24"/>
          <w:lang w:val="en-US"/>
        </w:rPr>
        <w:t>Auto</w:t>
      </w:r>
      <w:r w:rsidRPr="00DB3294">
        <w:rPr>
          <w:sz w:val="24"/>
          <w:szCs w:val="24"/>
        </w:rPr>
        <w:t xml:space="preserve"> – плотность автодорог общего пользования с твердым покрытием, км путей на 1000 кв. км территории; </w:t>
      </w:r>
      <w:r w:rsidRPr="00DB3294">
        <w:rPr>
          <w:i/>
          <w:sz w:val="24"/>
          <w:szCs w:val="24"/>
          <w:lang w:val="en-US"/>
        </w:rPr>
        <w:t>Railw</w:t>
      </w:r>
      <w:r w:rsidRPr="00DB3294">
        <w:rPr>
          <w:sz w:val="24"/>
          <w:szCs w:val="24"/>
        </w:rPr>
        <w:t xml:space="preserve"> – плотность ж/д путей общего пользования, км путей на 10000 кв.  км территории; </w:t>
      </w:r>
      <w:r w:rsidRPr="00DB3294">
        <w:rPr>
          <w:i/>
          <w:sz w:val="24"/>
          <w:szCs w:val="24"/>
          <w:lang w:val="en-US"/>
        </w:rPr>
        <w:t>Mobile</w:t>
      </w:r>
      <w:r w:rsidRPr="00DB3294">
        <w:rPr>
          <w:sz w:val="24"/>
          <w:szCs w:val="24"/>
        </w:rPr>
        <w:t xml:space="preserve"> - число абонентских станций, подключенных к сетям подвижной радиотелефонной связи, на 1000 чел. населения.</w:t>
      </w:r>
    </w:p>
    <w:p w:rsidR="00A54AA7" w:rsidRPr="00DB3294" w:rsidRDefault="00455CF9" w:rsidP="00455CF9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Отсутствии </w:t>
      </w:r>
      <w:proofErr w:type="spellStart"/>
      <w:r w:rsidRPr="00DB3294">
        <w:rPr>
          <w:sz w:val="24"/>
          <w:szCs w:val="24"/>
        </w:rPr>
        <w:t>мультиколлинеарности</w:t>
      </w:r>
      <w:proofErr w:type="spellEnd"/>
      <w:r w:rsidRPr="00DB3294">
        <w:rPr>
          <w:sz w:val="24"/>
          <w:szCs w:val="24"/>
        </w:rPr>
        <w:t xml:space="preserve"> подтверждают расчеты VIF, значения которого не превышают 10 (таблица 1).</w:t>
      </w:r>
    </w:p>
    <w:p w:rsidR="00A54AA7" w:rsidRPr="00DB3294" w:rsidRDefault="00A54AA7">
      <w:pPr>
        <w:rPr>
          <w:sz w:val="24"/>
          <w:szCs w:val="24"/>
        </w:rPr>
      </w:pPr>
      <w:r w:rsidRPr="00DB3294">
        <w:rPr>
          <w:sz w:val="24"/>
          <w:szCs w:val="24"/>
        </w:rPr>
        <w:br w:type="page"/>
      </w:r>
    </w:p>
    <w:p w:rsidR="00455CF9" w:rsidRPr="00DB3294" w:rsidRDefault="00455CF9" w:rsidP="00455CF9">
      <w:pPr>
        <w:adjustRightInd w:val="0"/>
        <w:ind w:firstLine="709"/>
        <w:jc w:val="right"/>
        <w:rPr>
          <w:i/>
          <w:iCs/>
          <w:sz w:val="24"/>
          <w:szCs w:val="24"/>
        </w:rPr>
      </w:pPr>
      <w:r w:rsidRPr="00DB3294">
        <w:rPr>
          <w:i/>
          <w:iCs/>
          <w:sz w:val="24"/>
          <w:szCs w:val="24"/>
        </w:rPr>
        <w:lastRenderedPageBreak/>
        <w:t>Таблица 1</w:t>
      </w:r>
    </w:p>
    <w:p w:rsidR="00455CF9" w:rsidRPr="00DB3294" w:rsidRDefault="00455CF9" w:rsidP="00455CF9">
      <w:pPr>
        <w:adjustRightInd w:val="0"/>
        <w:ind w:firstLine="709"/>
        <w:jc w:val="center"/>
        <w:rPr>
          <w:sz w:val="24"/>
          <w:szCs w:val="24"/>
        </w:rPr>
      </w:pPr>
      <w:r w:rsidRPr="00DB3294">
        <w:rPr>
          <w:sz w:val="24"/>
          <w:szCs w:val="24"/>
        </w:rPr>
        <w:t xml:space="preserve">Значения показателя </w:t>
      </w:r>
      <w:r w:rsidRPr="00DB3294">
        <w:rPr>
          <w:sz w:val="24"/>
          <w:szCs w:val="24"/>
          <w:lang w:val="en-US"/>
        </w:rPr>
        <w:t>VIF</w:t>
      </w:r>
      <w:r w:rsidRPr="00DB3294">
        <w:rPr>
          <w:sz w:val="24"/>
          <w:szCs w:val="24"/>
        </w:rPr>
        <w:t xml:space="preserve"> для вариантов моделей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250"/>
        <w:gridCol w:w="1268"/>
      </w:tblGrid>
      <w:tr w:rsidR="00DB3294" w:rsidRPr="00DB3294" w:rsidTr="00455CF9">
        <w:trPr>
          <w:jc w:val="center"/>
        </w:trPr>
        <w:tc>
          <w:tcPr>
            <w:tcW w:w="1250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Переменная</w:t>
            </w:r>
          </w:p>
        </w:tc>
        <w:tc>
          <w:tcPr>
            <w:tcW w:w="1268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VIF</w:t>
            </w:r>
            <w:r w:rsidRPr="00DB3294">
              <w:rPr>
                <w:sz w:val="20"/>
                <w:szCs w:val="20"/>
              </w:rPr>
              <w:t>-тест</w:t>
            </w:r>
          </w:p>
        </w:tc>
      </w:tr>
      <w:tr w:rsidR="00DB3294" w:rsidRPr="00DB3294" w:rsidTr="00455CF9">
        <w:trPr>
          <w:jc w:val="center"/>
        </w:trPr>
        <w:tc>
          <w:tcPr>
            <w:tcW w:w="1250" w:type="dxa"/>
            <w:vAlign w:val="center"/>
          </w:tcPr>
          <w:p w:rsidR="00455CF9" w:rsidRPr="00DB3294" w:rsidRDefault="00000000" w:rsidP="006656BC">
            <w:pPr>
              <w:jc w:val="center"/>
              <w:rPr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268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1,59</w:t>
            </w:r>
          </w:p>
        </w:tc>
      </w:tr>
      <w:tr w:rsidR="00DB3294" w:rsidRPr="00DB3294" w:rsidTr="00455CF9">
        <w:trPr>
          <w:jc w:val="center"/>
        </w:trPr>
        <w:tc>
          <w:tcPr>
            <w:tcW w:w="1250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Auto</m:t>
                </m:r>
              </m:oMath>
            </m:oMathPara>
          </w:p>
        </w:tc>
        <w:tc>
          <w:tcPr>
            <w:tcW w:w="1268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4,04</w:t>
            </w:r>
          </w:p>
        </w:tc>
      </w:tr>
      <w:tr w:rsidR="00DB3294" w:rsidRPr="00DB3294" w:rsidTr="00455CF9">
        <w:trPr>
          <w:jc w:val="center"/>
        </w:trPr>
        <w:tc>
          <w:tcPr>
            <w:tcW w:w="1250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Railw</m:t>
                </m:r>
              </m:oMath>
            </m:oMathPara>
          </w:p>
        </w:tc>
        <w:tc>
          <w:tcPr>
            <w:tcW w:w="1268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3,59</w:t>
            </w:r>
          </w:p>
        </w:tc>
      </w:tr>
      <w:tr w:rsidR="00455CF9" w:rsidRPr="00DB3294" w:rsidTr="00455CF9">
        <w:trPr>
          <w:jc w:val="center"/>
        </w:trPr>
        <w:tc>
          <w:tcPr>
            <w:tcW w:w="1250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Mobile</m:t>
                </m:r>
              </m:oMath>
            </m:oMathPara>
          </w:p>
        </w:tc>
        <w:tc>
          <w:tcPr>
            <w:tcW w:w="1268" w:type="dxa"/>
            <w:vAlign w:val="center"/>
          </w:tcPr>
          <w:p w:rsidR="00455CF9" w:rsidRPr="00DB3294" w:rsidRDefault="00455CF9" w:rsidP="006656BC">
            <w:pPr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1,33</w:t>
            </w:r>
          </w:p>
        </w:tc>
      </w:tr>
    </w:tbl>
    <w:p w:rsidR="007655B3" w:rsidRPr="00DB3294" w:rsidRDefault="007655B3" w:rsidP="007655B3">
      <w:pPr>
        <w:ind w:firstLine="709"/>
        <w:jc w:val="both"/>
        <w:rPr>
          <w:sz w:val="24"/>
          <w:szCs w:val="24"/>
        </w:rPr>
      </w:pPr>
    </w:p>
    <w:p w:rsidR="007655B3" w:rsidRPr="00DB3294" w:rsidRDefault="00C23962" w:rsidP="007655B3">
      <w:pPr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>Применения МНК обосновано в случае отсутствия пространственной автокорреляции переменных. Протестируем показатель ВРП на наличие пространственной неоднородности с помощью индекса Морана при использовании матрицы смежности (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c</m:t>
            </m:r>
          </m:sup>
        </m:sSup>
      </m:oMath>
      <w:r w:rsidRPr="00DB3294">
        <w:rPr>
          <w:sz w:val="24"/>
          <w:szCs w:val="24"/>
        </w:rPr>
        <w:t>) и матрицы обратных расстояний (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d</m:t>
            </m:r>
          </m:sup>
        </m:sSup>
      </m:oMath>
      <w:r w:rsidRPr="00DB3294">
        <w:rPr>
          <w:sz w:val="24"/>
          <w:szCs w:val="24"/>
        </w:rPr>
        <w:t xml:space="preserve">) (таблица 2) </w:t>
      </w:r>
    </w:p>
    <w:p w:rsidR="00435761" w:rsidRPr="00DB3294" w:rsidRDefault="00435761" w:rsidP="00C23962">
      <w:pPr>
        <w:adjustRightInd w:val="0"/>
        <w:jc w:val="right"/>
        <w:rPr>
          <w:i/>
          <w:iCs/>
          <w:sz w:val="24"/>
          <w:szCs w:val="24"/>
        </w:rPr>
      </w:pPr>
    </w:p>
    <w:p w:rsidR="00C23962" w:rsidRPr="00DB3294" w:rsidRDefault="00C23962" w:rsidP="00C23962">
      <w:pPr>
        <w:adjustRightInd w:val="0"/>
        <w:jc w:val="right"/>
        <w:rPr>
          <w:i/>
          <w:iCs/>
          <w:sz w:val="24"/>
          <w:szCs w:val="24"/>
        </w:rPr>
      </w:pPr>
      <w:r w:rsidRPr="00DB3294">
        <w:rPr>
          <w:i/>
          <w:iCs/>
          <w:sz w:val="24"/>
          <w:szCs w:val="24"/>
        </w:rPr>
        <w:t>Таблица 2</w:t>
      </w:r>
    </w:p>
    <w:p w:rsidR="00C23962" w:rsidRPr="00DB3294" w:rsidRDefault="00C23962" w:rsidP="00C23962">
      <w:pPr>
        <w:adjustRightInd w:val="0"/>
        <w:jc w:val="center"/>
        <w:rPr>
          <w:sz w:val="24"/>
          <w:szCs w:val="24"/>
        </w:rPr>
      </w:pPr>
      <w:r w:rsidRPr="00DB3294">
        <w:rPr>
          <w:sz w:val="24"/>
          <w:szCs w:val="24"/>
        </w:rPr>
        <w:t>Индексы Морана для ВРП на душу населения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616"/>
        <w:gridCol w:w="1222"/>
        <w:gridCol w:w="1276"/>
      </w:tblGrid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Год</w:t>
            </w:r>
          </w:p>
        </w:tc>
        <w:tc>
          <w:tcPr>
            <w:tcW w:w="1222" w:type="dxa"/>
          </w:tcPr>
          <w:p w:rsidR="00C23962" w:rsidRPr="00DB3294" w:rsidRDefault="00000000" w:rsidP="006656BC">
            <w:pPr>
              <w:adjustRightInd w:val="0"/>
              <w:jc w:val="both"/>
              <w:rPr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c</m:t>
                    </m:r>
                  </m:sup>
                </m:sSup>
              </m:oMath>
            </m:oMathPara>
          </w:p>
        </w:tc>
        <w:tc>
          <w:tcPr>
            <w:tcW w:w="1276" w:type="dxa"/>
          </w:tcPr>
          <w:p w:rsidR="00C23962" w:rsidRPr="00DB3294" w:rsidRDefault="00000000" w:rsidP="006656BC">
            <w:pPr>
              <w:adjustRightInd w:val="0"/>
              <w:jc w:val="both"/>
              <w:rPr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</m:sup>
                </m:sSup>
              </m:oMath>
            </m:oMathPara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2014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</w:rPr>
              <w:t>0</w:t>
            </w:r>
            <w:r w:rsidRPr="00DB3294">
              <w:rPr>
                <w:sz w:val="20"/>
                <w:szCs w:val="20"/>
                <w:lang w:val="en-US"/>
              </w:rPr>
              <w:t>,42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</w:rPr>
              <w:t>0</w:t>
            </w:r>
            <w:r w:rsidRPr="00DB3294">
              <w:rPr>
                <w:sz w:val="20"/>
                <w:szCs w:val="20"/>
                <w:lang w:val="en-US"/>
              </w:rPr>
              <w:t>,12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2015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0,43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0,13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2016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0,44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0,12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2017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0,43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0,12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2018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0,42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0,12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2019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0,44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0,12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2020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0,47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0,13</w:t>
            </w:r>
          </w:p>
        </w:tc>
      </w:tr>
      <w:tr w:rsidR="00DB3294" w:rsidRPr="00DB3294" w:rsidTr="006656BC">
        <w:trPr>
          <w:jc w:val="center"/>
        </w:trPr>
        <w:tc>
          <w:tcPr>
            <w:tcW w:w="616" w:type="dxa"/>
          </w:tcPr>
          <w:p w:rsidR="00C23962" w:rsidRPr="00DB3294" w:rsidRDefault="00C23962" w:rsidP="006656BC">
            <w:pPr>
              <w:adjustRightInd w:val="0"/>
              <w:jc w:val="both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2021</w:t>
            </w:r>
          </w:p>
        </w:tc>
        <w:tc>
          <w:tcPr>
            <w:tcW w:w="1222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0,45</w:t>
            </w:r>
          </w:p>
        </w:tc>
        <w:tc>
          <w:tcPr>
            <w:tcW w:w="1276" w:type="dxa"/>
          </w:tcPr>
          <w:p w:rsidR="00C23962" w:rsidRPr="00DB3294" w:rsidRDefault="00C23962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0,13</w:t>
            </w:r>
          </w:p>
        </w:tc>
      </w:tr>
    </w:tbl>
    <w:p w:rsidR="00C23962" w:rsidRPr="00DB3294" w:rsidRDefault="00C23962" w:rsidP="00C23962">
      <w:pPr>
        <w:adjustRightInd w:val="0"/>
        <w:jc w:val="center"/>
        <w:rPr>
          <w:sz w:val="20"/>
          <w:szCs w:val="20"/>
        </w:rPr>
      </w:pPr>
      <w:r w:rsidRPr="00DB3294">
        <w:rPr>
          <w:sz w:val="20"/>
          <w:szCs w:val="20"/>
        </w:rPr>
        <w:t xml:space="preserve">Примечание: значимость на уровне </w:t>
      </w:r>
      <w:r w:rsidRPr="00DB3294">
        <w:rPr>
          <w:sz w:val="20"/>
          <w:szCs w:val="20"/>
          <w:lang w:val="en-US"/>
        </w:rPr>
        <w:t>p</w:t>
      </w:r>
      <w:r w:rsidRPr="00DB3294">
        <w:rPr>
          <w:sz w:val="20"/>
          <w:szCs w:val="20"/>
        </w:rPr>
        <w:t xml:space="preserve"> </w:t>
      </w:r>
      <w:proofErr w:type="gramStart"/>
      <w:r w:rsidRPr="00DB3294">
        <w:rPr>
          <w:sz w:val="20"/>
          <w:szCs w:val="20"/>
        </w:rPr>
        <w:t>&lt; 0</w:t>
      </w:r>
      <w:proofErr w:type="gramEnd"/>
      <w:r w:rsidRPr="00DB3294">
        <w:rPr>
          <w:sz w:val="20"/>
          <w:szCs w:val="20"/>
        </w:rPr>
        <w:t>,00001</w:t>
      </w:r>
    </w:p>
    <w:p w:rsidR="00C23962" w:rsidRPr="00DB3294" w:rsidRDefault="00C23962" w:rsidP="007655B3">
      <w:pPr>
        <w:ind w:firstLine="709"/>
        <w:jc w:val="both"/>
        <w:rPr>
          <w:sz w:val="24"/>
          <w:szCs w:val="24"/>
        </w:rPr>
      </w:pPr>
    </w:p>
    <w:p w:rsidR="004E7927" w:rsidRPr="00DB3294" w:rsidRDefault="004E7927" w:rsidP="004E7927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Расчеты указывают на наличие пространственной автокорреляции, следовательно, оценки МНК будут смещенными, и необходимо применение пространственных моделей. Рассмотрим модели </w:t>
      </w:r>
      <w:r w:rsidRPr="00DB3294">
        <w:rPr>
          <w:sz w:val="24"/>
          <w:szCs w:val="24"/>
          <w:lang w:val="en-US"/>
        </w:rPr>
        <w:t>SAR</w:t>
      </w:r>
      <w:r w:rsidRPr="00DB3294">
        <w:rPr>
          <w:sz w:val="24"/>
          <w:szCs w:val="24"/>
        </w:rPr>
        <w:t xml:space="preserve"> и </w:t>
      </w:r>
      <w:r w:rsidRPr="00DB3294">
        <w:rPr>
          <w:sz w:val="24"/>
          <w:szCs w:val="24"/>
          <w:lang w:val="en-US"/>
        </w:rPr>
        <w:t>SEM</w:t>
      </w:r>
      <w:r w:rsidRPr="00DB3294">
        <w:rPr>
          <w:sz w:val="24"/>
          <w:szCs w:val="24"/>
        </w:rPr>
        <w:t xml:space="preserve">. Поскольку индекс Морана не указывает направление корреляции – среди лагов или ошибок, то выбор модели </w:t>
      </w:r>
      <w:r w:rsidR="003F6263" w:rsidRPr="00DB3294">
        <w:rPr>
          <w:sz w:val="24"/>
          <w:szCs w:val="24"/>
        </w:rPr>
        <w:t xml:space="preserve">должен опираться на </w:t>
      </w:r>
      <w:r w:rsidRPr="00DB3294">
        <w:rPr>
          <w:sz w:val="24"/>
          <w:szCs w:val="24"/>
        </w:rPr>
        <w:t>значения множителей Лагранжа</w:t>
      </w:r>
      <w:r w:rsidR="003F6263" w:rsidRPr="00DB3294">
        <w:rPr>
          <w:sz w:val="24"/>
          <w:szCs w:val="24"/>
        </w:rPr>
        <w:t xml:space="preserve"> (таблица 3).</w:t>
      </w:r>
    </w:p>
    <w:p w:rsidR="00435761" w:rsidRPr="00DB3294" w:rsidRDefault="00435761" w:rsidP="00185CE7">
      <w:pPr>
        <w:adjustRightInd w:val="0"/>
        <w:ind w:firstLine="709"/>
        <w:jc w:val="right"/>
        <w:rPr>
          <w:i/>
          <w:iCs/>
          <w:sz w:val="24"/>
          <w:szCs w:val="24"/>
        </w:rPr>
      </w:pPr>
    </w:p>
    <w:p w:rsidR="00185CE7" w:rsidRPr="00DB3294" w:rsidRDefault="00185CE7" w:rsidP="00185CE7">
      <w:pPr>
        <w:adjustRightInd w:val="0"/>
        <w:ind w:firstLine="709"/>
        <w:jc w:val="right"/>
        <w:rPr>
          <w:i/>
          <w:iCs/>
          <w:sz w:val="24"/>
          <w:szCs w:val="24"/>
        </w:rPr>
      </w:pPr>
      <w:r w:rsidRPr="00DB3294">
        <w:rPr>
          <w:i/>
          <w:iCs/>
          <w:sz w:val="24"/>
          <w:szCs w:val="24"/>
        </w:rPr>
        <w:t>Таблица 3</w:t>
      </w:r>
    </w:p>
    <w:p w:rsidR="00185CE7" w:rsidRPr="00DB3294" w:rsidRDefault="00185CE7" w:rsidP="00185CE7">
      <w:pPr>
        <w:adjustRightInd w:val="0"/>
        <w:ind w:firstLine="709"/>
        <w:jc w:val="center"/>
        <w:rPr>
          <w:bCs/>
          <w:sz w:val="24"/>
          <w:szCs w:val="24"/>
        </w:rPr>
      </w:pPr>
      <w:r w:rsidRPr="00DB3294">
        <w:rPr>
          <w:bCs/>
          <w:sz w:val="24"/>
          <w:szCs w:val="24"/>
        </w:rPr>
        <w:t>Значения тестов на наличие пространственной зависимости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000"/>
        <w:gridCol w:w="1024"/>
        <w:gridCol w:w="1116"/>
      </w:tblGrid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Тест</w:t>
            </w:r>
          </w:p>
        </w:tc>
        <w:tc>
          <w:tcPr>
            <w:tcW w:w="1024" w:type="dxa"/>
            <w:vAlign w:val="center"/>
          </w:tcPr>
          <w:p w:rsidR="00185CE7" w:rsidRPr="00DB3294" w:rsidRDefault="00000000" w:rsidP="006656BC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c</m:t>
                    </m:r>
                  </m:sup>
                </m:sSup>
              </m:oMath>
            </m:oMathPara>
          </w:p>
        </w:tc>
        <w:tc>
          <w:tcPr>
            <w:tcW w:w="1116" w:type="dxa"/>
            <w:vAlign w:val="center"/>
          </w:tcPr>
          <w:p w:rsidR="00185CE7" w:rsidRPr="00DB3294" w:rsidRDefault="00000000" w:rsidP="006656BC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</m:sup>
                </m:sSup>
              </m:oMath>
            </m:oMathPara>
          </w:p>
        </w:tc>
      </w:tr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DB3294">
              <w:rPr>
                <w:sz w:val="20"/>
                <w:szCs w:val="20"/>
              </w:rPr>
              <w:t>Moran's</w:t>
            </w:r>
            <w:proofErr w:type="spellEnd"/>
            <w:r w:rsidRPr="00DB3294">
              <w:rPr>
                <w:sz w:val="20"/>
                <w:szCs w:val="20"/>
              </w:rPr>
              <w:t xml:space="preserve"> I</w:t>
            </w:r>
          </w:p>
        </w:tc>
        <w:tc>
          <w:tcPr>
            <w:tcW w:w="1024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8,51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1116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13,02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LM lag</w:t>
            </w:r>
          </w:p>
        </w:tc>
        <w:tc>
          <w:tcPr>
            <w:tcW w:w="1024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11,24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1116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5,84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</w:t>
            </w:r>
          </w:p>
        </w:tc>
      </w:tr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Robust LM (lag)</w:t>
            </w:r>
          </w:p>
        </w:tc>
        <w:tc>
          <w:tcPr>
            <w:tcW w:w="1024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8</w:t>
            </w:r>
            <w:r w:rsidRPr="00DB3294">
              <w:rPr>
                <w:sz w:val="20"/>
                <w:szCs w:val="20"/>
              </w:rPr>
              <w:t>,</w:t>
            </w:r>
            <w:r w:rsidRPr="00DB3294">
              <w:rPr>
                <w:sz w:val="20"/>
                <w:szCs w:val="20"/>
                <w:lang w:val="en-US"/>
              </w:rPr>
              <w:t>46</w:t>
            </w:r>
            <w:r w:rsidRPr="00DB3294">
              <w:rPr>
                <w:sz w:val="20"/>
                <w:szCs w:val="20"/>
                <w:vertAlign w:val="superscript"/>
              </w:rPr>
              <w:t>***</w:t>
            </w:r>
          </w:p>
        </w:tc>
        <w:tc>
          <w:tcPr>
            <w:tcW w:w="1116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50</w:t>
            </w:r>
            <w:r w:rsidRPr="00DB3294">
              <w:rPr>
                <w:sz w:val="20"/>
                <w:szCs w:val="20"/>
              </w:rPr>
              <w:t>,</w:t>
            </w:r>
            <w:r w:rsidRPr="00DB3294">
              <w:rPr>
                <w:sz w:val="20"/>
                <w:szCs w:val="20"/>
                <w:lang w:val="en-US"/>
              </w:rPr>
              <w:t>09</w:t>
            </w:r>
            <w:r w:rsidRPr="00DB3294">
              <w:rPr>
                <w:sz w:val="20"/>
                <w:szCs w:val="20"/>
                <w:vertAlign w:val="superscript"/>
              </w:rPr>
              <w:t>***</w:t>
            </w:r>
          </w:p>
        </w:tc>
      </w:tr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LM error</w:t>
            </w:r>
          </w:p>
        </w:tc>
        <w:tc>
          <w:tcPr>
            <w:tcW w:w="1024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68,50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1116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146,41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185CE7">
        <w:trPr>
          <w:jc w:val="center"/>
        </w:trPr>
        <w:tc>
          <w:tcPr>
            <w:tcW w:w="2000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Robust LM (error)</w:t>
            </w:r>
          </w:p>
        </w:tc>
        <w:tc>
          <w:tcPr>
            <w:tcW w:w="1024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65</w:t>
            </w:r>
            <w:r w:rsidRPr="00DB3294">
              <w:rPr>
                <w:sz w:val="20"/>
                <w:szCs w:val="20"/>
              </w:rPr>
              <w:t>,</w:t>
            </w:r>
            <w:r w:rsidRPr="00DB3294">
              <w:rPr>
                <w:sz w:val="20"/>
                <w:szCs w:val="20"/>
                <w:lang w:val="en-US"/>
              </w:rPr>
              <w:t>72</w:t>
            </w:r>
            <w:r w:rsidRPr="00DB3294">
              <w:rPr>
                <w:sz w:val="20"/>
                <w:szCs w:val="20"/>
                <w:vertAlign w:val="superscript"/>
              </w:rPr>
              <w:t>***</w:t>
            </w:r>
          </w:p>
        </w:tc>
        <w:tc>
          <w:tcPr>
            <w:tcW w:w="1116" w:type="dxa"/>
            <w:vAlign w:val="center"/>
          </w:tcPr>
          <w:p w:rsidR="00185CE7" w:rsidRPr="00DB3294" w:rsidRDefault="00185CE7" w:rsidP="006656BC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190</w:t>
            </w:r>
            <w:r w:rsidRPr="00DB3294">
              <w:rPr>
                <w:sz w:val="20"/>
                <w:szCs w:val="20"/>
              </w:rPr>
              <w:t>,</w:t>
            </w:r>
            <w:r w:rsidRPr="00DB3294">
              <w:rPr>
                <w:sz w:val="20"/>
                <w:szCs w:val="20"/>
                <w:lang w:val="en-US"/>
              </w:rPr>
              <w:t>65</w:t>
            </w:r>
            <w:r w:rsidRPr="00DB3294">
              <w:rPr>
                <w:sz w:val="20"/>
                <w:szCs w:val="20"/>
                <w:vertAlign w:val="superscript"/>
              </w:rPr>
              <w:t>***</w:t>
            </w:r>
          </w:p>
        </w:tc>
      </w:tr>
    </w:tbl>
    <w:p w:rsidR="00185CE7" w:rsidRPr="00DB3294" w:rsidRDefault="00185CE7" w:rsidP="00185CE7">
      <w:pPr>
        <w:adjustRightInd w:val="0"/>
        <w:ind w:firstLine="709"/>
        <w:jc w:val="both"/>
        <w:rPr>
          <w:sz w:val="20"/>
          <w:szCs w:val="20"/>
        </w:rPr>
      </w:pPr>
      <w:r w:rsidRPr="00DB3294">
        <w:rPr>
          <w:sz w:val="20"/>
          <w:szCs w:val="20"/>
        </w:rPr>
        <w:t xml:space="preserve">Примечание: </w:t>
      </w:r>
      <w:r w:rsidRPr="00DB3294">
        <w:rPr>
          <w:sz w:val="20"/>
          <w:szCs w:val="20"/>
          <w:vertAlign w:val="superscript"/>
        </w:rPr>
        <w:t>***</w:t>
      </w:r>
      <w:r w:rsidRPr="00DB3294">
        <w:rPr>
          <w:sz w:val="20"/>
          <w:szCs w:val="20"/>
        </w:rPr>
        <w:t xml:space="preserve"> </w:t>
      </w:r>
      <w:r w:rsidRPr="00DB3294">
        <w:rPr>
          <w:sz w:val="20"/>
          <w:szCs w:val="20"/>
          <w:lang w:val="en-US"/>
        </w:rPr>
        <w:t>p</w:t>
      </w:r>
      <w:r w:rsidRPr="00DB3294">
        <w:rPr>
          <w:sz w:val="20"/>
          <w:szCs w:val="20"/>
        </w:rPr>
        <w:t xml:space="preserve"> </w:t>
      </w:r>
      <w:proofErr w:type="gramStart"/>
      <w:r w:rsidRPr="00DB3294">
        <w:rPr>
          <w:sz w:val="20"/>
          <w:szCs w:val="20"/>
        </w:rPr>
        <w:t>&lt; 0</w:t>
      </w:r>
      <w:proofErr w:type="gramEnd"/>
      <w:r w:rsidRPr="00DB3294">
        <w:rPr>
          <w:sz w:val="20"/>
          <w:szCs w:val="20"/>
        </w:rPr>
        <w:t xml:space="preserve">,01; </w:t>
      </w:r>
      <w:r w:rsidRPr="00DB3294">
        <w:rPr>
          <w:sz w:val="20"/>
          <w:szCs w:val="20"/>
          <w:vertAlign w:val="superscript"/>
        </w:rPr>
        <w:t>**</w:t>
      </w:r>
      <w:r w:rsidRPr="00DB3294">
        <w:rPr>
          <w:sz w:val="20"/>
          <w:szCs w:val="20"/>
        </w:rPr>
        <w:t xml:space="preserve"> </w:t>
      </w:r>
      <w:r w:rsidRPr="00DB3294">
        <w:rPr>
          <w:sz w:val="20"/>
          <w:szCs w:val="20"/>
          <w:lang w:val="en-US"/>
        </w:rPr>
        <w:t>p</w:t>
      </w:r>
      <w:r w:rsidRPr="00DB3294">
        <w:rPr>
          <w:sz w:val="20"/>
          <w:szCs w:val="20"/>
        </w:rPr>
        <w:t xml:space="preserve"> &lt; 0,05, </w:t>
      </w:r>
      <w:r w:rsidRPr="00DB3294">
        <w:rPr>
          <w:sz w:val="20"/>
          <w:szCs w:val="20"/>
          <w:vertAlign w:val="superscript"/>
        </w:rPr>
        <w:t>*</w:t>
      </w:r>
      <w:r w:rsidRPr="00DB3294">
        <w:rPr>
          <w:sz w:val="20"/>
          <w:szCs w:val="20"/>
        </w:rPr>
        <w:t xml:space="preserve"> </w:t>
      </w:r>
      <w:r w:rsidRPr="00DB3294">
        <w:rPr>
          <w:sz w:val="20"/>
          <w:szCs w:val="20"/>
          <w:lang w:val="en-US"/>
        </w:rPr>
        <w:t>p</w:t>
      </w:r>
      <w:r w:rsidRPr="00DB3294">
        <w:rPr>
          <w:sz w:val="20"/>
          <w:szCs w:val="20"/>
        </w:rPr>
        <w:t xml:space="preserve"> &lt; 0,1; отсутствие верхнего индекса свидетельствует о незначимости оценки</w:t>
      </w:r>
    </w:p>
    <w:p w:rsidR="003F6263" w:rsidRPr="00DB3294" w:rsidRDefault="003F6263" w:rsidP="004E7927">
      <w:pPr>
        <w:adjustRightInd w:val="0"/>
        <w:ind w:firstLine="709"/>
        <w:jc w:val="both"/>
        <w:rPr>
          <w:sz w:val="24"/>
          <w:szCs w:val="24"/>
        </w:rPr>
      </w:pPr>
    </w:p>
    <w:p w:rsidR="00A95B03" w:rsidRPr="00DB3294" w:rsidRDefault="00A95B03" w:rsidP="004E7927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>Обе модели статистически значимы, соответственно, возможно примен</w:t>
      </w:r>
      <w:r w:rsidR="00EF4492" w:rsidRPr="00DB3294">
        <w:rPr>
          <w:sz w:val="24"/>
          <w:szCs w:val="24"/>
        </w:rPr>
        <w:t>ение</w:t>
      </w:r>
      <w:r w:rsidRPr="00DB3294">
        <w:rPr>
          <w:sz w:val="24"/>
          <w:szCs w:val="24"/>
        </w:rPr>
        <w:t xml:space="preserve"> обе</w:t>
      </w:r>
      <w:r w:rsidR="00EF4492" w:rsidRPr="00DB3294">
        <w:rPr>
          <w:sz w:val="24"/>
          <w:szCs w:val="24"/>
        </w:rPr>
        <w:t>их</w:t>
      </w:r>
      <w:r w:rsidRPr="00DB3294">
        <w:rPr>
          <w:sz w:val="24"/>
          <w:szCs w:val="24"/>
        </w:rPr>
        <w:t xml:space="preserve"> спецификаци</w:t>
      </w:r>
      <w:r w:rsidR="00EF4492" w:rsidRPr="00DB3294">
        <w:rPr>
          <w:sz w:val="24"/>
          <w:szCs w:val="24"/>
        </w:rPr>
        <w:t>й</w:t>
      </w:r>
      <w:r w:rsidRPr="00DB3294">
        <w:rPr>
          <w:sz w:val="24"/>
          <w:szCs w:val="24"/>
        </w:rPr>
        <w:t xml:space="preserve"> – </w:t>
      </w:r>
      <w:r w:rsidRPr="00DB3294">
        <w:rPr>
          <w:sz w:val="24"/>
          <w:szCs w:val="24"/>
          <w:lang w:val="en-US"/>
        </w:rPr>
        <w:t>SEM</w:t>
      </w:r>
      <w:r w:rsidRPr="00DB3294">
        <w:rPr>
          <w:sz w:val="24"/>
          <w:szCs w:val="24"/>
        </w:rPr>
        <w:t xml:space="preserve"> (2) и </w:t>
      </w:r>
      <w:r w:rsidRPr="00DB3294">
        <w:rPr>
          <w:sz w:val="24"/>
          <w:szCs w:val="24"/>
          <w:lang w:val="en-US"/>
        </w:rPr>
        <w:t>SAR</w:t>
      </w:r>
      <w:r w:rsidRPr="00DB3294">
        <w:rPr>
          <w:sz w:val="24"/>
          <w:szCs w:val="24"/>
        </w:rPr>
        <w:t xml:space="preserve"> (3):</w:t>
      </w:r>
    </w:p>
    <w:p w:rsidR="00435761" w:rsidRPr="00DB3294" w:rsidRDefault="00435761" w:rsidP="004E7927">
      <w:pPr>
        <w:adjustRightInd w:val="0"/>
        <w:ind w:firstLine="709"/>
        <w:jc w:val="both"/>
        <w:rPr>
          <w:sz w:val="24"/>
          <w:szCs w:val="24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1189"/>
      </w:tblGrid>
      <w:tr w:rsidR="00EF4492" w:rsidRPr="00DB3294" w:rsidTr="00EF4492">
        <w:tc>
          <w:tcPr>
            <w:tcW w:w="8897" w:type="dxa"/>
            <w:shd w:val="clear" w:color="auto" w:fill="auto"/>
            <w:vAlign w:val="center"/>
          </w:tcPr>
          <w:p w:rsidR="00EF4492" w:rsidRPr="00DB3294" w:rsidRDefault="00EF4492" w:rsidP="00EF4492">
            <w:pPr>
              <w:adjustRightInd w:val="0"/>
              <w:jc w:val="center"/>
              <w:rPr>
                <w:rFonts w:eastAsiaTheme="minorEastAsia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lnY=α+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lnx+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lnAuto+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lnRailw+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lnMobile+ϵ</m:t>
                </m:r>
              </m:oMath>
            </m:oMathPara>
          </w:p>
          <w:p w:rsidR="00EF4492" w:rsidRPr="00DB3294" w:rsidRDefault="00EF4492" w:rsidP="00EF4492">
            <w:pPr>
              <w:adjustRightInd w:val="0"/>
              <w:ind w:firstLine="709"/>
              <w:jc w:val="center"/>
              <w:rPr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ϵ=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λW</m:t>
                </m:r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ϵ+ε</m:t>
                </m:r>
              </m:oMath>
            </m:oMathPara>
          </w:p>
        </w:tc>
        <w:tc>
          <w:tcPr>
            <w:tcW w:w="1189" w:type="dxa"/>
            <w:shd w:val="clear" w:color="auto" w:fill="auto"/>
            <w:vAlign w:val="center"/>
          </w:tcPr>
          <w:p w:rsidR="00EF4492" w:rsidRPr="00DB3294" w:rsidRDefault="00EF4492" w:rsidP="00EF4492">
            <w:pPr>
              <w:adjustRightInd w:val="0"/>
              <w:jc w:val="center"/>
              <w:rPr>
                <w:sz w:val="24"/>
                <w:szCs w:val="24"/>
                <w:lang w:val="en-US"/>
              </w:rPr>
            </w:pPr>
            <w:r w:rsidRPr="00DB3294">
              <w:rPr>
                <w:sz w:val="24"/>
                <w:szCs w:val="24"/>
                <w:lang w:val="en-US"/>
              </w:rPr>
              <w:t>(2)</w:t>
            </w:r>
          </w:p>
        </w:tc>
      </w:tr>
    </w:tbl>
    <w:p w:rsidR="00EF4492" w:rsidRPr="00DB3294" w:rsidRDefault="00EF4492" w:rsidP="004E7927">
      <w:pPr>
        <w:adjustRightInd w:val="0"/>
        <w:ind w:firstLine="709"/>
        <w:jc w:val="both"/>
        <w:rPr>
          <w:sz w:val="24"/>
          <w:szCs w:val="24"/>
          <w:lang w:val="en-US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1189"/>
      </w:tblGrid>
      <w:tr w:rsidR="00DB3294" w:rsidRPr="00DB3294" w:rsidTr="009F0205">
        <w:tc>
          <w:tcPr>
            <w:tcW w:w="8897" w:type="dxa"/>
            <w:shd w:val="clear" w:color="auto" w:fill="auto"/>
            <w:vAlign w:val="center"/>
          </w:tcPr>
          <w:p w:rsidR="00EF4492" w:rsidRPr="00DB3294" w:rsidRDefault="00EF4492" w:rsidP="00425A75">
            <w:pPr>
              <w:adjustRightInd w:val="0"/>
              <w:jc w:val="both"/>
              <w:rPr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lnY=α+ρWlnY+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5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lnx+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6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lnAuto+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7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lnRailw+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8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lnMobile+ε</m:t>
                </m:r>
              </m:oMath>
            </m:oMathPara>
          </w:p>
        </w:tc>
        <w:tc>
          <w:tcPr>
            <w:tcW w:w="1189" w:type="dxa"/>
            <w:shd w:val="clear" w:color="auto" w:fill="auto"/>
            <w:vAlign w:val="center"/>
          </w:tcPr>
          <w:p w:rsidR="00EF4492" w:rsidRPr="00DB3294" w:rsidRDefault="00EF4492" w:rsidP="00EF4492">
            <w:pPr>
              <w:adjustRightInd w:val="0"/>
              <w:jc w:val="center"/>
              <w:rPr>
                <w:sz w:val="24"/>
                <w:szCs w:val="24"/>
                <w:lang w:val="en-US"/>
              </w:rPr>
            </w:pPr>
            <w:r w:rsidRPr="00DB3294">
              <w:rPr>
                <w:sz w:val="24"/>
                <w:szCs w:val="24"/>
                <w:lang w:val="en-US"/>
              </w:rPr>
              <w:t>(</w:t>
            </w:r>
            <w:r w:rsidRPr="00DB3294">
              <w:rPr>
                <w:sz w:val="24"/>
                <w:szCs w:val="24"/>
              </w:rPr>
              <w:t>3</w:t>
            </w:r>
            <w:r w:rsidRPr="00DB3294">
              <w:rPr>
                <w:sz w:val="24"/>
                <w:szCs w:val="24"/>
                <w:lang w:val="en-US"/>
              </w:rPr>
              <w:t>)</w:t>
            </w:r>
          </w:p>
        </w:tc>
      </w:tr>
    </w:tbl>
    <w:p w:rsidR="00EF4492" w:rsidRPr="00DB3294" w:rsidRDefault="00EF4492" w:rsidP="00EF4492">
      <w:pPr>
        <w:adjustRightInd w:val="0"/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где </w:t>
      </w:r>
      <w:r w:rsidRPr="00DB3294">
        <w:rPr>
          <w:sz w:val="24"/>
          <w:szCs w:val="24"/>
          <w:lang w:val="en-US"/>
        </w:rPr>
        <w:t>W</w:t>
      </w:r>
      <w:r w:rsidRPr="00DB3294">
        <w:rPr>
          <w:sz w:val="24"/>
          <w:szCs w:val="24"/>
        </w:rPr>
        <w:t xml:space="preserve"> – пространственная матрица (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c</m:t>
            </m:r>
          </m:sup>
        </m:sSup>
      </m:oMath>
      <w:r w:rsidRPr="00DB3294">
        <w:rPr>
          <w:sz w:val="24"/>
          <w:szCs w:val="24"/>
        </w:rPr>
        <w:t xml:space="preserve"> или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d</m:t>
            </m:r>
          </m:sup>
        </m:sSup>
      </m:oMath>
      <w:r w:rsidRPr="00DB3294">
        <w:rPr>
          <w:sz w:val="24"/>
          <w:szCs w:val="24"/>
        </w:rPr>
        <w:t>)</w:t>
      </w:r>
    </w:p>
    <w:p w:rsidR="00444FA7" w:rsidRPr="00DB3294" w:rsidRDefault="00444FA7">
      <w:pPr>
        <w:rPr>
          <w:sz w:val="24"/>
          <w:szCs w:val="24"/>
        </w:rPr>
      </w:pPr>
    </w:p>
    <w:p w:rsidR="00304938" w:rsidRPr="00DB3294" w:rsidRDefault="00304938" w:rsidP="00425A75">
      <w:pPr>
        <w:adjustRightInd w:val="0"/>
        <w:ind w:firstLine="709"/>
        <w:jc w:val="both"/>
        <w:rPr>
          <w:bCs/>
          <w:sz w:val="24"/>
          <w:szCs w:val="24"/>
        </w:rPr>
      </w:pPr>
      <w:r w:rsidRPr="00DB3294">
        <w:rPr>
          <w:bCs/>
          <w:sz w:val="24"/>
          <w:szCs w:val="24"/>
        </w:rPr>
        <w:t>В таблице представлены оценки коэффициентов пространственных моделей (</w:t>
      </w:r>
      <w:r w:rsidR="00425A75" w:rsidRPr="00DB3294">
        <w:rPr>
          <w:bCs/>
          <w:sz w:val="24"/>
          <w:szCs w:val="24"/>
        </w:rPr>
        <w:t>таблица 4</w:t>
      </w:r>
      <w:r w:rsidRPr="00DB3294">
        <w:rPr>
          <w:bCs/>
          <w:sz w:val="24"/>
          <w:szCs w:val="24"/>
        </w:rPr>
        <w:t>)</w:t>
      </w:r>
    </w:p>
    <w:p w:rsidR="00435761" w:rsidRPr="00DB3294" w:rsidRDefault="00435761" w:rsidP="00425A75">
      <w:pPr>
        <w:adjustRightInd w:val="0"/>
        <w:ind w:firstLine="709"/>
        <w:jc w:val="right"/>
        <w:rPr>
          <w:i/>
          <w:iCs/>
          <w:sz w:val="24"/>
          <w:szCs w:val="24"/>
        </w:rPr>
      </w:pPr>
    </w:p>
    <w:p w:rsidR="00425A75" w:rsidRPr="00DB3294" w:rsidRDefault="00425A75" w:rsidP="00425A75">
      <w:pPr>
        <w:adjustRightInd w:val="0"/>
        <w:ind w:firstLine="709"/>
        <w:jc w:val="right"/>
        <w:rPr>
          <w:i/>
          <w:iCs/>
          <w:sz w:val="24"/>
          <w:szCs w:val="24"/>
        </w:rPr>
      </w:pPr>
      <w:r w:rsidRPr="00DB3294">
        <w:rPr>
          <w:i/>
          <w:iCs/>
          <w:sz w:val="24"/>
          <w:szCs w:val="24"/>
        </w:rPr>
        <w:t>Таблица 4</w:t>
      </w:r>
    </w:p>
    <w:p w:rsidR="00304938" w:rsidRPr="00DB3294" w:rsidRDefault="00304938" w:rsidP="00304938">
      <w:pPr>
        <w:adjustRightInd w:val="0"/>
        <w:ind w:firstLine="709"/>
        <w:jc w:val="center"/>
        <w:rPr>
          <w:sz w:val="24"/>
          <w:szCs w:val="24"/>
        </w:rPr>
      </w:pPr>
      <w:r w:rsidRPr="00DB3294">
        <w:rPr>
          <w:sz w:val="24"/>
          <w:szCs w:val="24"/>
        </w:rPr>
        <w:t xml:space="preserve">Оценки моделей </w:t>
      </w:r>
      <w:r w:rsidRPr="00DB3294">
        <w:rPr>
          <w:sz w:val="24"/>
          <w:szCs w:val="24"/>
          <w:lang w:val="en-US"/>
        </w:rPr>
        <w:t>SEM</w:t>
      </w:r>
      <w:r w:rsidRPr="00DB3294">
        <w:rPr>
          <w:sz w:val="24"/>
          <w:szCs w:val="24"/>
        </w:rPr>
        <w:t xml:space="preserve"> и </w:t>
      </w:r>
      <w:r w:rsidRPr="00DB3294">
        <w:rPr>
          <w:sz w:val="24"/>
          <w:szCs w:val="24"/>
          <w:lang w:val="en-US"/>
        </w:rPr>
        <w:t>SAR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756"/>
        <w:gridCol w:w="3104"/>
        <w:gridCol w:w="2434"/>
      </w:tblGrid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425A75" w:rsidP="00425A7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Коэффициенты при п</w:t>
            </w:r>
            <w:r w:rsidR="00304938" w:rsidRPr="00DB3294">
              <w:rPr>
                <w:sz w:val="20"/>
                <w:szCs w:val="20"/>
              </w:rPr>
              <w:t>еременны</w:t>
            </w:r>
            <w:r w:rsidRPr="00DB3294">
              <w:rPr>
                <w:sz w:val="20"/>
                <w:szCs w:val="20"/>
              </w:rPr>
              <w:t>х</w:t>
            </w:r>
          </w:p>
        </w:tc>
        <w:tc>
          <w:tcPr>
            <w:tcW w:w="3104" w:type="dxa"/>
            <w:vAlign w:val="center"/>
          </w:tcPr>
          <w:p w:rsidR="00304938" w:rsidRPr="00DB3294" w:rsidRDefault="00000000" w:rsidP="00425A7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c</m:t>
                    </m:r>
                  </m:sup>
                </m:sSup>
              </m:oMath>
            </m:oMathPara>
          </w:p>
        </w:tc>
        <w:tc>
          <w:tcPr>
            <w:tcW w:w="2434" w:type="dxa"/>
            <w:vAlign w:val="center"/>
          </w:tcPr>
          <w:p w:rsidR="00304938" w:rsidRPr="00DB3294" w:rsidRDefault="00000000" w:rsidP="00425A7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d</m:t>
                    </m:r>
                  </m:sup>
                </m:sSup>
              </m:oMath>
            </m:oMathPara>
          </w:p>
        </w:tc>
      </w:tr>
      <w:tr w:rsidR="00DB3294" w:rsidRPr="00DB3294" w:rsidTr="009F0205">
        <w:trPr>
          <w:jc w:val="center"/>
        </w:trPr>
        <w:tc>
          <w:tcPr>
            <w:tcW w:w="8294" w:type="dxa"/>
            <w:gridSpan w:val="3"/>
          </w:tcPr>
          <w:p w:rsidR="00304938" w:rsidRPr="00DB3294" w:rsidRDefault="00304938" w:rsidP="00304938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</w:rPr>
              <w:t xml:space="preserve">Спецификация </w:t>
            </w:r>
            <w:r w:rsidRPr="00DB3294">
              <w:rPr>
                <w:sz w:val="20"/>
                <w:szCs w:val="20"/>
                <w:lang w:val="en-US"/>
              </w:rPr>
              <w:t>SEM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Константа</w:t>
            </w:r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-1,</w:t>
            </w:r>
            <w:r w:rsidRPr="00DB3294">
              <w:rPr>
                <w:sz w:val="20"/>
                <w:szCs w:val="20"/>
              </w:rPr>
              <w:t>53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-1,96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lnx</m:t>
                </m:r>
              </m:oMath>
            </m:oMathPara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0,7</w:t>
            </w:r>
            <w:r w:rsidRPr="00DB3294">
              <w:rPr>
                <w:sz w:val="20"/>
                <w:szCs w:val="20"/>
              </w:rPr>
              <w:t>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0,80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w:lastRenderedPageBreak/>
                  <m:t>lnAuto</m:t>
                </m:r>
              </m:oMath>
            </m:oMathPara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0,0</w:t>
            </w:r>
            <w:r w:rsidRPr="00DB3294">
              <w:rPr>
                <w:sz w:val="20"/>
                <w:szCs w:val="20"/>
              </w:rPr>
              <w:t>2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0,01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lnRailw</m:t>
                </m:r>
              </m:oMath>
            </m:oMathPara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-0,02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-0,02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lnMobile</m:t>
                </m:r>
              </m:oMath>
            </m:oMathPara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0,23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0,23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λ</m:t>
                </m:r>
              </m:oMath>
            </m:oMathPara>
          </w:p>
        </w:tc>
        <w:tc>
          <w:tcPr>
            <w:tcW w:w="310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</w:t>
            </w:r>
            <w:r w:rsidRPr="00DB3294">
              <w:rPr>
                <w:sz w:val="20"/>
                <w:szCs w:val="20"/>
              </w:rPr>
              <w:t>34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304938" w:rsidRPr="00DB3294" w:rsidRDefault="00304938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0,56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32476B">
        <w:trPr>
          <w:jc w:val="center"/>
        </w:trPr>
        <w:tc>
          <w:tcPr>
            <w:tcW w:w="8294" w:type="dxa"/>
            <w:gridSpan w:val="3"/>
          </w:tcPr>
          <w:p w:rsidR="00304938" w:rsidRPr="00DB3294" w:rsidRDefault="00304938" w:rsidP="00304938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</w:rPr>
              <w:t xml:space="preserve">Спецификация </w:t>
            </w:r>
            <w:r w:rsidRPr="00DB3294">
              <w:rPr>
                <w:sz w:val="20"/>
                <w:szCs w:val="20"/>
                <w:lang w:val="en-US"/>
              </w:rPr>
              <w:t>SAR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Константа</w:t>
            </w:r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-1,20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-0,29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lnx</m:t>
                </m:r>
              </m:oMath>
            </m:oMathPara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0,64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0,74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lnAuto</m:t>
                </m:r>
              </m:oMath>
            </m:oMathPara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-0,01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-0,01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lnRailw</m:t>
                </m:r>
              </m:oMath>
            </m:oMathPara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-0,02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-0,02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DB3294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lnMobile</m:t>
                </m:r>
              </m:oMath>
            </m:oMathPara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0,21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0,25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  <w:tr w:rsidR="00562DF1" w:rsidRPr="00DB3294" w:rsidTr="00425A75">
        <w:trPr>
          <w:jc w:val="center"/>
        </w:trPr>
        <w:tc>
          <w:tcPr>
            <w:tcW w:w="2756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ρ</m:t>
                </m:r>
              </m:oMath>
            </m:oMathPara>
          </w:p>
        </w:tc>
        <w:tc>
          <w:tcPr>
            <w:tcW w:w="310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0,11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  <w:tc>
          <w:tcPr>
            <w:tcW w:w="2434" w:type="dxa"/>
          </w:tcPr>
          <w:p w:rsidR="00562DF1" w:rsidRPr="00DB3294" w:rsidRDefault="00562DF1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-0,19</w:t>
            </w:r>
            <w:r w:rsidRPr="00DB3294">
              <w:rPr>
                <w:sz w:val="20"/>
                <w:szCs w:val="20"/>
                <w:vertAlign w:val="superscript"/>
                <w:lang w:val="en-US"/>
              </w:rPr>
              <w:t>***</w:t>
            </w:r>
          </w:p>
        </w:tc>
      </w:tr>
    </w:tbl>
    <w:p w:rsidR="00390966" w:rsidRPr="00DB3294" w:rsidRDefault="00390966">
      <w:pPr>
        <w:rPr>
          <w:sz w:val="24"/>
        </w:rPr>
      </w:pPr>
    </w:p>
    <w:p w:rsidR="00BC6C0B" w:rsidRPr="00DB3294" w:rsidRDefault="00562DF1" w:rsidP="00BC6C0B">
      <w:pPr>
        <w:ind w:firstLine="709"/>
        <w:jc w:val="both"/>
        <w:rPr>
          <w:sz w:val="24"/>
          <w:szCs w:val="24"/>
        </w:rPr>
      </w:pPr>
      <w:r w:rsidRPr="00DB3294">
        <w:rPr>
          <w:snapToGrid w:val="0"/>
          <w:sz w:val="24"/>
          <w:szCs w:val="24"/>
        </w:rPr>
        <w:t>Плотность автомобильной дорог оказалась незначимой в обеих спецификациях, однако статистическая связь между фондовооруженностью, обеспеченностью телекоммуникациями и плотностью железных дорог нашла подтверждение.</w:t>
      </w:r>
      <w:r w:rsidR="00BC6C0B" w:rsidRPr="00DB3294">
        <w:rPr>
          <w:snapToGrid w:val="0"/>
          <w:sz w:val="24"/>
          <w:szCs w:val="24"/>
        </w:rPr>
        <w:t xml:space="preserve"> </w:t>
      </w:r>
      <w:r w:rsidR="00BC6C0B" w:rsidRPr="00DB3294">
        <w:rPr>
          <w:sz w:val="24"/>
          <w:szCs w:val="24"/>
        </w:rPr>
        <w:t xml:space="preserve">Отсутствие влияния переменной </w:t>
      </w:r>
      <m:oMath>
        <m:r>
          <w:rPr>
            <w:rFonts w:ascii="Cambria Math" w:hAnsi="Cambria Math"/>
            <w:sz w:val="24"/>
            <w:szCs w:val="24"/>
            <w:lang w:val="en-US"/>
          </w:rPr>
          <m:t>Auto</m:t>
        </m:r>
      </m:oMath>
      <w:r w:rsidR="00BC6C0B" w:rsidRPr="00DB3294">
        <w:rPr>
          <w:sz w:val="24"/>
          <w:szCs w:val="24"/>
        </w:rPr>
        <w:t xml:space="preserve"> и отрицательное воздейс</w:t>
      </w:r>
      <w:r w:rsidR="001409F9" w:rsidRPr="00DB3294">
        <w:rPr>
          <w:sz w:val="24"/>
          <w:szCs w:val="24"/>
        </w:rPr>
        <w:t>т</w:t>
      </w:r>
      <w:r w:rsidR="00BC6C0B" w:rsidRPr="00DB3294">
        <w:rPr>
          <w:sz w:val="24"/>
          <w:szCs w:val="24"/>
        </w:rPr>
        <w:t xml:space="preserve">вие </w:t>
      </w:r>
      <m:oMath>
        <m:r>
          <w:rPr>
            <w:rFonts w:ascii="Cambria Math" w:hAnsi="Cambria Math"/>
            <w:sz w:val="24"/>
            <w:szCs w:val="24"/>
            <w:lang w:val="en-US"/>
          </w:rPr>
          <m:t>Railw</m:t>
        </m:r>
      </m:oMath>
      <w:r w:rsidR="00BC6C0B" w:rsidRPr="00DB3294">
        <w:rPr>
          <w:rFonts w:eastAsiaTheme="minorEastAsia"/>
          <w:sz w:val="24"/>
          <w:szCs w:val="24"/>
        </w:rPr>
        <w:t xml:space="preserve"> </w:t>
      </w:r>
      <w:r w:rsidR="00BC6C0B" w:rsidRPr="00DB3294">
        <w:rPr>
          <w:sz w:val="24"/>
          <w:szCs w:val="24"/>
        </w:rPr>
        <w:t>на экономическое развитие можно объяснить конкуренцией двух видов инфраструктурных активов за инвестиции наравне с капиталоемкими и высокотехнологичными видами деятельности.</w:t>
      </w:r>
    </w:p>
    <w:p w:rsidR="00562DF1" w:rsidRPr="00DB3294" w:rsidRDefault="00425A75" w:rsidP="00B61053">
      <w:pPr>
        <w:spacing w:line="242" w:lineRule="auto"/>
        <w:ind w:left="118" w:right="104" w:firstLine="733"/>
        <w:jc w:val="both"/>
        <w:rPr>
          <w:snapToGrid w:val="0"/>
          <w:sz w:val="24"/>
          <w:szCs w:val="24"/>
        </w:rPr>
      </w:pPr>
      <w:r w:rsidRPr="00DB3294">
        <w:rPr>
          <w:snapToGrid w:val="0"/>
          <w:sz w:val="24"/>
          <w:szCs w:val="24"/>
        </w:rPr>
        <w:t xml:space="preserve">Модель </w:t>
      </w:r>
      <w:r w:rsidRPr="00DB3294">
        <w:rPr>
          <w:snapToGrid w:val="0"/>
          <w:sz w:val="24"/>
          <w:szCs w:val="24"/>
          <w:lang w:val="en-US"/>
        </w:rPr>
        <w:t>SAR</w:t>
      </w:r>
      <w:r w:rsidRPr="00DB3294">
        <w:rPr>
          <w:snapToGrid w:val="0"/>
          <w:sz w:val="24"/>
          <w:szCs w:val="24"/>
        </w:rPr>
        <w:t xml:space="preserve"> позволяет рассчитать прямые и косвенные эффекты рассматриваемых переменных для ВРП на душу населения (таблица 5)</w:t>
      </w:r>
    </w:p>
    <w:p w:rsidR="00435761" w:rsidRPr="00DB3294" w:rsidRDefault="00435761" w:rsidP="00425A75">
      <w:pPr>
        <w:adjustRightInd w:val="0"/>
        <w:ind w:firstLine="709"/>
        <w:jc w:val="right"/>
        <w:rPr>
          <w:i/>
          <w:iCs/>
          <w:sz w:val="24"/>
          <w:szCs w:val="24"/>
        </w:rPr>
      </w:pPr>
    </w:p>
    <w:p w:rsidR="00425A75" w:rsidRPr="00DB3294" w:rsidRDefault="00425A75" w:rsidP="00425A75">
      <w:pPr>
        <w:adjustRightInd w:val="0"/>
        <w:ind w:firstLine="709"/>
        <w:jc w:val="right"/>
        <w:rPr>
          <w:i/>
          <w:iCs/>
          <w:sz w:val="24"/>
          <w:szCs w:val="24"/>
        </w:rPr>
      </w:pPr>
      <w:r w:rsidRPr="00DB3294">
        <w:rPr>
          <w:i/>
          <w:iCs/>
          <w:sz w:val="24"/>
          <w:szCs w:val="24"/>
        </w:rPr>
        <w:t>Таблица 5</w:t>
      </w:r>
    </w:p>
    <w:p w:rsidR="00425A75" w:rsidRPr="00DB3294" w:rsidRDefault="00425A75" w:rsidP="00425A75">
      <w:pPr>
        <w:adjustRightInd w:val="0"/>
        <w:ind w:firstLine="709"/>
        <w:jc w:val="center"/>
        <w:rPr>
          <w:bCs/>
          <w:sz w:val="24"/>
          <w:szCs w:val="24"/>
        </w:rPr>
      </w:pPr>
      <w:r w:rsidRPr="00DB3294">
        <w:rPr>
          <w:bCs/>
          <w:sz w:val="24"/>
          <w:szCs w:val="24"/>
        </w:rPr>
        <w:t xml:space="preserve">Прямые и косвенные эффекты переменных моделей </w:t>
      </w:r>
      <w:r w:rsidRPr="00DB3294">
        <w:rPr>
          <w:bCs/>
          <w:sz w:val="24"/>
          <w:szCs w:val="24"/>
          <w:lang w:val="en-US"/>
        </w:rPr>
        <w:t>SAR</w:t>
      </w:r>
    </w:p>
    <w:tbl>
      <w:tblPr>
        <w:tblStyle w:val="a7"/>
        <w:tblW w:w="5100" w:type="dxa"/>
        <w:jc w:val="center"/>
        <w:tblLayout w:type="fixed"/>
        <w:tblLook w:val="04A0" w:firstRow="1" w:lastRow="0" w:firstColumn="1" w:lastColumn="0" w:noHBand="0" w:noVBand="1"/>
      </w:tblPr>
      <w:tblGrid>
        <w:gridCol w:w="1408"/>
        <w:gridCol w:w="992"/>
        <w:gridCol w:w="850"/>
        <w:gridCol w:w="993"/>
        <w:gridCol w:w="857"/>
      </w:tblGrid>
      <w:tr w:rsidR="00DB3294" w:rsidRPr="00DB3294" w:rsidTr="001409F9">
        <w:trPr>
          <w:jc w:val="center"/>
        </w:trPr>
        <w:tc>
          <w:tcPr>
            <w:tcW w:w="1408" w:type="dxa"/>
            <w:vMerge w:val="restart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Переменные</w:t>
            </w:r>
          </w:p>
        </w:tc>
        <w:tc>
          <w:tcPr>
            <w:tcW w:w="1842" w:type="dxa"/>
            <w:gridSpan w:val="2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proofErr w:type="spellStart"/>
            <w:r w:rsidRPr="00DB3294">
              <w:rPr>
                <w:sz w:val="20"/>
                <w:szCs w:val="20"/>
                <w:lang w:val="en-US"/>
              </w:rPr>
              <w:t>Матрица</w:t>
            </w:r>
            <w:proofErr w:type="spellEnd"/>
            <w:r w:rsidRPr="00DB3294">
              <w:rPr>
                <w:sz w:val="20"/>
                <w:szCs w:val="20"/>
                <w:lang w:val="en-US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w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c</m:t>
                  </m:r>
                </m:sup>
              </m:sSup>
            </m:oMath>
          </w:p>
        </w:tc>
        <w:tc>
          <w:tcPr>
            <w:tcW w:w="1850" w:type="dxa"/>
            <w:gridSpan w:val="2"/>
            <w:vAlign w:val="center"/>
          </w:tcPr>
          <w:p w:rsidR="001409F9" w:rsidRPr="00DB3294" w:rsidRDefault="001409F9" w:rsidP="001409F9">
            <w:pPr>
              <w:adjustRightInd w:val="0"/>
              <w:jc w:val="center"/>
              <w:rPr>
                <w:sz w:val="20"/>
                <w:szCs w:val="20"/>
              </w:rPr>
            </w:pPr>
            <w:proofErr w:type="spellStart"/>
            <w:r w:rsidRPr="00DB3294">
              <w:rPr>
                <w:sz w:val="20"/>
                <w:szCs w:val="20"/>
                <w:lang w:val="en-US"/>
              </w:rPr>
              <w:t>Матрица</w:t>
            </w:r>
            <w:proofErr w:type="spellEnd"/>
            <w:r w:rsidRPr="00DB3294">
              <w:rPr>
                <w:sz w:val="20"/>
                <w:szCs w:val="20"/>
                <w:lang w:val="en-US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w</m:t>
                  </m:r>
                </m:e>
                <m:sup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d</m:t>
                  </m:r>
                </m:sup>
              </m:sSup>
            </m:oMath>
          </w:p>
        </w:tc>
      </w:tr>
      <w:tr w:rsidR="00DB3294" w:rsidRPr="00DB3294" w:rsidTr="001409F9">
        <w:trPr>
          <w:jc w:val="center"/>
        </w:trPr>
        <w:tc>
          <w:tcPr>
            <w:tcW w:w="1408" w:type="dxa"/>
            <w:vMerge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прямые</w:t>
            </w:r>
          </w:p>
        </w:tc>
        <w:tc>
          <w:tcPr>
            <w:tcW w:w="850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косвенные</w:t>
            </w:r>
          </w:p>
        </w:tc>
        <w:tc>
          <w:tcPr>
            <w:tcW w:w="993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прямые</w:t>
            </w:r>
          </w:p>
        </w:tc>
        <w:tc>
          <w:tcPr>
            <w:tcW w:w="857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косвенные</w:t>
            </w:r>
          </w:p>
        </w:tc>
      </w:tr>
      <w:tr w:rsidR="00DB3294" w:rsidRPr="00DB3294" w:rsidTr="001409F9">
        <w:trPr>
          <w:jc w:val="center"/>
        </w:trPr>
        <w:tc>
          <w:tcPr>
            <w:tcW w:w="1408" w:type="dxa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lnx</m:t>
                </m:r>
              </m:oMath>
            </m:oMathPara>
          </w:p>
        </w:tc>
        <w:tc>
          <w:tcPr>
            <w:tcW w:w="992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0</w:t>
            </w:r>
            <w:r w:rsidRPr="00DB3294">
              <w:rPr>
                <w:sz w:val="20"/>
                <w:szCs w:val="20"/>
                <w:lang w:val="en-US"/>
              </w:rPr>
              <w:t>,</w:t>
            </w:r>
            <w:r w:rsidRPr="00DB3294">
              <w:rPr>
                <w:sz w:val="20"/>
                <w:szCs w:val="20"/>
              </w:rPr>
              <w:t>646</w:t>
            </w:r>
          </w:p>
        </w:tc>
        <w:tc>
          <w:tcPr>
            <w:tcW w:w="850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0,082</w:t>
            </w:r>
          </w:p>
        </w:tc>
        <w:tc>
          <w:tcPr>
            <w:tcW w:w="993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0,</w:t>
            </w:r>
            <w:r w:rsidRPr="00DB3294">
              <w:rPr>
                <w:sz w:val="20"/>
                <w:szCs w:val="20"/>
              </w:rPr>
              <w:t>738</w:t>
            </w:r>
          </w:p>
        </w:tc>
        <w:tc>
          <w:tcPr>
            <w:tcW w:w="857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-0,121</w:t>
            </w:r>
          </w:p>
        </w:tc>
      </w:tr>
      <w:tr w:rsidR="00DB3294" w:rsidRPr="00DB3294" w:rsidTr="001409F9">
        <w:trPr>
          <w:jc w:val="center"/>
        </w:trPr>
        <w:tc>
          <w:tcPr>
            <w:tcW w:w="1408" w:type="dxa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lnAuto</m:t>
                </m:r>
              </m:oMath>
            </m:oMathPara>
          </w:p>
        </w:tc>
        <w:tc>
          <w:tcPr>
            <w:tcW w:w="992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-</w:t>
            </w:r>
          </w:p>
        </w:tc>
        <w:tc>
          <w:tcPr>
            <w:tcW w:w="850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-</w:t>
            </w:r>
          </w:p>
        </w:tc>
        <w:tc>
          <w:tcPr>
            <w:tcW w:w="993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857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</w:t>
            </w:r>
          </w:p>
        </w:tc>
      </w:tr>
      <w:tr w:rsidR="00DB3294" w:rsidRPr="00DB3294" w:rsidTr="001409F9">
        <w:trPr>
          <w:jc w:val="center"/>
        </w:trPr>
        <w:tc>
          <w:tcPr>
            <w:tcW w:w="1408" w:type="dxa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lnRailw</m:t>
                </m:r>
              </m:oMath>
            </m:oMathPara>
          </w:p>
        </w:tc>
        <w:tc>
          <w:tcPr>
            <w:tcW w:w="992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</w:rPr>
              <w:t>-</w:t>
            </w:r>
            <w:r w:rsidRPr="00DB3294">
              <w:rPr>
                <w:sz w:val="20"/>
                <w:szCs w:val="20"/>
                <w:lang w:val="en-US"/>
              </w:rPr>
              <w:t>0,</w:t>
            </w:r>
            <w:r w:rsidRPr="00DB3294">
              <w:rPr>
                <w:sz w:val="20"/>
                <w:szCs w:val="20"/>
              </w:rPr>
              <w:t>018</w:t>
            </w:r>
          </w:p>
        </w:tc>
        <w:tc>
          <w:tcPr>
            <w:tcW w:w="850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-0,002</w:t>
            </w:r>
          </w:p>
        </w:tc>
        <w:tc>
          <w:tcPr>
            <w:tcW w:w="993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-0,0</w:t>
            </w:r>
            <w:r w:rsidRPr="00DB3294">
              <w:rPr>
                <w:sz w:val="20"/>
                <w:szCs w:val="20"/>
              </w:rPr>
              <w:t>22</w:t>
            </w:r>
          </w:p>
        </w:tc>
        <w:tc>
          <w:tcPr>
            <w:tcW w:w="857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0,004</w:t>
            </w:r>
          </w:p>
        </w:tc>
      </w:tr>
      <w:tr w:rsidR="00DB3294" w:rsidRPr="00DB3294" w:rsidTr="001409F9">
        <w:trPr>
          <w:jc w:val="center"/>
        </w:trPr>
        <w:tc>
          <w:tcPr>
            <w:tcW w:w="1408" w:type="dxa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  <w:lang w:val="en-US"/>
                  </w:rPr>
                  <m:t>lnMobile</m:t>
                </m:r>
              </m:oMath>
            </m:oMathPara>
          </w:p>
        </w:tc>
        <w:tc>
          <w:tcPr>
            <w:tcW w:w="992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</w:rPr>
            </w:pPr>
            <w:r w:rsidRPr="00DB3294">
              <w:rPr>
                <w:sz w:val="20"/>
                <w:szCs w:val="20"/>
                <w:lang w:val="en-US"/>
              </w:rPr>
              <w:t>0,2</w:t>
            </w:r>
            <w:r w:rsidRPr="00DB3294">
              <w:rPr>
                <w:sz w:val="20"/>
                <w:szCs w:val="20"/>
              </w:rPr>
              <w:t>14</w:t>
            </w:r>
          </w:p>
        </w:tc>
        <w:tc>
          <w:tcPr>
            <w:tcW w:w="850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0,027</w:t>
            </w:r>
          </w:p>
        </w:tc>
        <w:tc>
          <w:tcPr>
            <w:tcW w:w="993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0,2</w:t>
            </w:r>
            <w:r w:rsidRPr="00DB3294">
              <w:rPr>
                <w:sz w:val="20"/>
                <w:szCs w:val="20"/>
              </w:rPr>
              <w:t>4</w:t>
            </w:r>
            <w:r w:rsidRPr="00DB3294"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857" w:type="dxa"/>
            <w:vAlign w:val="center"/>
          </w:tcPr>
          <w:p w:rsidR="001409F9" w:rsidRPr="00DB3294" w:rsidRDefault="001409F9" w:rsidP="009F0205">
            <w:pPr>
              <w:adjustRightInd w:val="0"/>
              <w:jc w:val="center"/>
              <w:rPr>
                <w:sz w:val="20"/>
                <w:szCs w:val="20"/>
                <w:lang w:val="en-US"/>
              </w:rPr>
            </w:pPr>
            <w:r w:rsidRPr="00DB3294">
              <w:rPr>
                <w:sz w:val="20"/>
                <w:szCs w:val="20"/>
                <w:lang w:val="en-US"/>
              </w:rPr>
              <w:t>-0,040</w:t>
            </w:r>
          </w:p>
        </w:tc>
      </w:tr>
    </w:tbl>
    <w:p w:rsidR="00425A75" w:rsidRPr="00DB3294" w:rsidRDefault="00425A75" w:rsidP="00425A75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DB3294">
        <w:rPr>
          <w:sz w:val="20"/>
          <w:szCs w:val="20"/>
        </w:rPr>
        <w:t xml:space="preserve">Примечание: </w:t>
      </w:r>
      <w:r w:rsidRPr="00DB3294">
        <w:rPr>
          <w:iCs/>
          <w:sz w:val="20"/>
          <w:szCs w:val="20"/>
        </w:rPr>
        <w:t>«-» означает, что эффекты статистически незначимы</w:t>
      </w:r>
    </w:p>
    <w:p w:rsidR="00562DF1" w:rsidRPr="00DB3294" w:rsidRDefault="00562DF1" w:rsidP="00B61053">
      <w:pPr>
        <w:spacing w:line="242" w:lineRule="auto"/>
        <w:ind w:left="118" w:right="104" w:firstLine="733"/>
        <w:jc w:val="both"/>
        <w:rPr>
          <w:snapToGrid w:val="0"/>
          <w:sz w:val="24"/>
          <w:szCs w:val="24"/>
        </w:rPr>
      </w:pPr>
    </w:p>
    <w:p w:rsidR="00425A75" w:rsidRPr="00DB3294" w:rsidRDefault="001409F9" w:rsidP="00B61053">
      <w:pPr>
        <w:spacing w:line="242" w:lineRule="auto"/>
        <w:ind w:left="118" w:right="104" w:firstLine="733"/>
        <w:jc w:val="both"/>
        <w:rPr>
          <w:snapToGrid w:val="0"/>
          <w:sz w:val="24"/>
          <w:szCs w:val="24"/>
        </w:rPr>
      </w:pPr>
      <w:r w:rsidRPr="00DB3294">
        <w:rPr>
          <w:bCs/>
          <w:sz w:val="24"/>
          <w:szCs w:val="24"/>
        </w:rPr>
        <w:t xml:space="preserve">Положительные косвенные эффекты переменной </w:t>
      </w:r>
      <m:oMath>
        <m:r>
          <w:rPr>
            <w:rFonts w:ascii="Cambria Math" w:hAnsi="Cambria Math"/>
            <w:sz w:val="24"/>
            <w:szCs w:val="24"/>
            <w:lang w:val="en-US"/>
          </w:rPr>
          <m:t>Railw</m:t>
        </m:r>
      </m:oMath>
      <w:r w:rsidRPr="00DB3294">
        <w:rPr>
          <w:sz w:val="24"/>
          <w:szCs w:val="24"/>
        </w:rPr>
        <w:t xml:space="preserve"> (0,004) </w:t>
      </w:r>
      <w:r w:rsidRPr="00DB3294">
        <w:rPr>
          <w:rFonts w:eastAsiaTheme="minorEastAsia"/>
          <w:sz w:val="24"/>
          <w:szCs w:val="24"/>
        </w:rPr>
        <w:t xml:space="preserve">для регионального развития </w:t>
      </w:r>
      <w:r w:rsidRPr="00DB3294">
        <w:rPr>
          <w:bCs/>
          <w:sz w:val="24"/>
          <w:szCs w:val="24"/>
        </w:rPr>
        <w:t>свидетельствуют о том, что модернизация сети железных дорог снижает транспортные расходы, способствуя тем самым расширению внутреннего рынка и развитию межрегиональной торговли, а также приводит к социальным эффектам за счет улучшения доступности поездок.</w:t>
      </w:r>
      <w:r w:rsidR="008E67BC" w:rsidRPr="00DB3294">
        <w:rPr>
          <w:bCs/>
          <w:sz w:val="24"/>
          <w:szCs w:val="24"/>
        </w:rPr>
        <w:t xml:space="preserve"> Для смежных регионов плотность ж/д является фактором межрегиональной конкуренции.</w:t>
      </w:r>
    </w:p>
    <w:p w:rsidR="001409F9" w:rsidRPr="00DB3294" w:rsidRDefault="006720CD" w:rsidP="00B61053">
      <w:pPr>
        <w:spacing w:line="242" w:lineRule="auto"/>
        <w:ind w:left="118" w:right="104" w:firstLine="733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Отрицательные косвенные эффекты </w:t>
      </w:r>
      <w:r w:rsidR="00744BD6" w:rsidRPr="00DB3294">
        <w:rPr>
          <w:sz w:val="24"/>
          <w:szCs w:val="24"/>
        </w:rPr>
        <w:t xml:space="preserve">телекоммуникаций </w:t>
      </w:r>
      <w:r w:rsidRPr="00DB3294">
        <w:rPr>
          <w:sz w:val="24"/>
          <w:szCs w:val="24"/>
        </w:rPr>
        <w:t xml:space="preserve">для экономического развития (-0,040 для </w:t>
      </w:r>
      <m:oMath>
        <m:sSup>
          <m:sSupPr>
            <m:ctrlPr>
              <w:rPr>
                <w:rFonts w:ascii="Cambria Math" w:hAnsi="Cambria Math"/>
                <w:bCs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d</m:t>
            </m:r>
          </m:sup>
        </m:sSup>
      </m:oMath>
      <w:r w:rsidRPr="00DB3294">
        <w:rPr>
          <w:sz w:val="24"/>
          <w:szCs w:val="24"/>
        </w:rPr>
        <w:t xml:space="preserve">) могут быть обусловлены неравномерным обеспечением услуг связи труднодоступных населенных пунктов, отдельных категорий населения, в то же время для смежных регионов развитие телекоммуникаций стимулирует совместное развитие (0,027 для </w:t>
      </w:r>
      <m:oMath>
        <m:sSup>
          <m:sSupPr>
            <m:ctrlPr>
              <w:rPr>
                <w:rFonts w:ascii="Cambria Math" w:hAnsi="Cambria Math"/>
                <w:bCs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w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c</m:t>
            </m:r>
          </m:sup>
        </m:sSup>
      </m:oMath>
      <w:r w:rsidRPr="00DB3294">
        <w:rPr>
          <w:sz w:val="24"/>
          <w:szCs w:val="24"/>
        </w:rPr>
        <w:t>)</w:t>
      </w:r>
      <w:r w:rsidR="00744BD6" w:rsidRPr="00DB3294">
        <w:rPr>
          <w:sz w:val="24"/>
          <w:szCs w:val="24"/>
        </w:rPr>
        <w:t>.</w:t>
      </w:r>
    </w:p>
    <w:p w:rsidR="00EA782C" w:rsidRPr="00DB3294" w:rsidRDefault="00EA782C" w:rsidP="00EA782C">
      <w:pPr>
        <w:spacing w:line="242" w:lineRule="auto"/>
        <w:ind w:left="118" w:right="104" w:firstLine="733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Гипотеза о том, что инфраструктурный капитал является фактором, положительно влияющим на ВРП на душу населения подтвердилась для телекоммуникаций, но не нашла подтверждения для плотности автомобильных и железных дорог. Результат согласуется с более ранними расчетами Е. А. Коломак, О.А. Демидовой и Э. Камаловой </w:t>
      </w:r>
      <w:r w:rsidR="00C44D98" w:rsidRPr="00DB3294">
        <w:rPr>
          <w:sz w:val="24"/>
          <w:szCs w:val="24"/>
        </w:rPr>
        <w:t>[1, 2]</w:t>
      </w:r>
      <w:r w:rsidRPr="00DB3294">
        <w:rPr>
          <w:sz w:val="24"/>
          <w:szCs w:val="24"/>
        </w:rPr>
        <w:t xml:space="preserve"> в части отсутствия влияния для валового регионального продукта. Значимость цифрового капитала свидетельствует о перспективности и важности цифровой трансформации в регионах России. </w:t>
      </w:r>
      <w:r w:rsidR="00544C33" w:rsidRPr="00DB3294">
        <w:rPr>
          <w:sz w:val="24"/>
          <w:szCs w:val="24"/>
        </w:rPr>
        <w:t xml:space="preserve">Получение незначимых коэффициентов при переменных плотности дорог не говорит об отсутствии влияния транспортной инфраструктуры на экономическое развитие. </w:t>
      </w:r>
      <w:r w:rsidRPr="00DB3294">
        <w:rPr>
          <w:sz w:val="24"/>
          <w:szCs w:val="24"/>
        </w:rPr>
        <w:t xml:space="preserve">В дальнейших исследованиях для оценки </w:t>
      </w:r>
      <w:r w:rsidR="00544C33" w:rsidRPr="00DB3294">
        <w:rPr>
          <w:sz w:val="24"/>
          <w:szCs w:val="24"/>
        </w:rPr>
        <w:t xml:space="preserve">ее воздействия </w:t>
      </w:r>
      <w:r w:rsidRPr="00DB3294">
        <w:rPr>
          <w:sz w:val="24"/>
          <w:szCs w:val="24"/>
        </w:rPr>
        <w:t xml:space="preserve">планируется рассчитать комплексный индекс </w:t>
      </w:r>
      <w:r w:rsidR="00544C33" w:rsidRPr="00DB3294">
        <w:rPr>
          <w:sz w:val="24"/>
          <w:szCs w:val="24"/>
        </w:rPr>
        <w:t>обеспеченности авто- и ж/д инфраструктурой</w:t>
      </w:r>
      <w:r w:rsidRPr="00DB3294">
        <w:rPr>
          <w:sz w:val="24"/>
          <w:szCs w:val="24"/>
        </w:rPr>
        <w:t xml:space="preserve">, учитывающий </w:t>
      </w:r>
      <w:r w:rsidR="00544C33" w:rsidRPr="00DB3294">
        <w:rPr>
          <w:sz w:val="24"/>
          <w:szCs w:val="24"/>
        </w:rPr>
        <w:t xml:space="preserve">протяженность дорог, численность населения, </w:t>
      </w:r>
      <w:proofErr w:type="spellStart"/>
      <w:r w:rsidR="00544C33" w:rsidRPr="00DB3294">
        <w:rPr>
          <w:sz w:val="24"/>
          <w:szCs w:val="24"/>
        </w:rPr>
        <w:t>грузо</w:t>
      </w:r>
      <w:proofErr w:type="spellEnd"/>
      <w:r w:rsidR="00544C33" w:rsidRPr="00DB3294">
        <w:rPr>
          <w:sz w:val="24"/>
          <w:szCs w:val="24"/>
        </w:rPr>
        <w:t>- и пассажиропотоки, и протестировать</w:t>
      </w:r>
      <w:r w:rsidR="00A54AA7" w:rsidRPr="00DB3294">
        <w:rPr>
          <w:sz w:val="24"/>
          <w:szCs w:val="24"/>
        </w:rPr>
        <w:t xml:space="preserve"> </w:t>
      </w:r>
      <w:r w:rsidR="00544C33" w:rsidRPr="00DB3294">
        <w:rPr>
          <w:sz w:val="24"/>
          <w:szCs w:val="24"/>
        </w:rPr>
        <w:t>его влияние на развитие регионов.</w:t>
      </w:r>
    </w:p>
    <w:p w:rsidR="00EA782C" w:rsidRPr="00DB3294" w:rsidRDefault="00EA782C" w:rsidP="00EA782C">
      <w:pPr>
        <w:spacing w:line="242" w:lineRule="auto"/>
        <w:ind w:left="118" w:right="104" w:firstLine="733"/>
        <w:jc w:val="both"/>
        <w:rPr>
          <w:sz w:val="24"/>
          <w:szCs w:val="24"/>
        </w:rPr>
      </w:pPr>
    </w:p>
    <w:p w:rsidR="00B61053" w:rsidRPr="00DB3294" w:rsidRDefault="009810A0" w:rsidP="00B61053">
      <w:pPr>
        <w:spacing w:line="242" w:lineRule="auto"/>
        <w:ind w:left="118" w:right="104" w:firstLine="733"/>
        <w:jc w:val="both"/>
        <w:rPr>
          <w:sz w:val="24"/>
        </w:rPr>
      </w:pPr>
      <w:r w:rsidRPr="00DB3294">
        <w:rPr>
          <w:snapToGrid w:val="0"/>
          <w:sz w:val="24"/>
          <w:szCs w:val="24"/>
        </w:rPr>
        <w:t xml:space="preserve">Работа выполнена при финансовой поддержке Международного научного фонда экономических исследований академика </w:t>
      </w:r>
      <w:bookmarkStart w:id="0" w:name="OCRUncertain017"/>
      <w:r w:rsidRPr="00DB3294">
        <w:rPr>
          <w:snapToGrid w:val="0"/>
          <w:sz w:val="24"/>
          <w:szCs w:val="24"/>
        </w:rPr>
        <w:t>Н.</w:t>
      </w:r>
      <w:bookmarkStart w:id="1" w:name="OCRUncertain018"/>
      <w:bookmarkEnd w:id="0"/>
      <w:r w:rsidRPr="00DB3294">
        <w:rPr>
          <w:snapToGrid w:val="0"/>
          <w:sz w:val="24"/>
          <w:szCs w:val="24"/>
        </w:rPr>
        <w:t>П. Федоренко.</w:t>
      </w:r>
      <w:bookmarkEnd w:id="1"/>
      <w:r w:rsidRPr="00DB3294">
        <w:rPr>
          <w:snapToGrid w:val="0"/>
          <w:sz w:val="24"/>
          <w:szCs w:val="24"/>
        </w:rPr>
        <w:t xml:space="preserve"> Проект </w:t>
      </w:r>
      <w:proofErr w:type="gramStart"/>
      <w:r w:rsidRPr="00DB3294">
        <w:rPr>
          <w:snapToGrid w:val="0"/>
          <w:sz w:val="24"/>
          <w:szCs w:val="24"/>
        </w:rPr>
        <w:t>№  2022</w:t>
      </w:r>
      <w:proofErr w:type="gramEnd"/>
      <w:r w:rsidRPr="00DB3294">
        <w:rPr>
          <w:snapToGrid w:val="0"/>
          <w:sz w:val="24"/>
          <w:szCs w:val="24"/>
        </w:rPr>
        <w:t>-137</w:t>
      </w:r>
      <w:r w:rsidR="00B61053" w:rsidRPr="00DB3294">
        <w:rPr>
          <w:sz w:val="24"/>
        </w:rPr>
        <w:t>.</w:t>
      </w:r>
    </w:p>
    <w:p w:rsidR="00B61053" w:rsidRPr="00DB3294" w:rsidRDefault="00B61053" w:rsidP="00B61053">
      <w:pPr>
        <w:spacing w:before="5"/>
        <w:rPr>
          <w:b/>
          <w:sz w:val="23"/>
        </w:rPr>
      </w:pPr>
    </w:p>
    <w:p w:rsidR="00B61053" w:rsidRPr="00DB3294" w:rsidRDefault="00B61053" w:rsidP="00B61053">
      <w:pPr>
        <w:pStyle w:val="3"/>
        <w:spacing w:line="274" w:lineRule="exact"/>
        <w:ind w:left="3413"/>
        <w:jc w:val="both"/>
        <w:rPr>
          <w:rFonts w:ascii="Times New Roman" w:hAnsi="Times New Roman"/>
        </w:rPr>
      </w:pPr>
      <w:r w:rsidRPr="00DB3294">
        <w:rPr>
          <w:rFonts w:ascii="Times New Roman" w:hAnsi="Times New Roman"/>
        </w:rPr>
        <w:lastRenderedPageBreak/>
        <w:t>Библиографический</w:t>
      </w:r>
      <w:r w:rsidRPr="00DB3294">
        <w:rPr>
          <w:rFonts w:ascii="Times New Roman" w:hAnsi="Times New Roman"/>
          <w:spacing w:val="-7"/>
        </w:rPr>
        <w:t xml:space="preserve"> </w:t>
      </w:r>
      <w:r w:rsidRPr="00DB3294">
        <w:rPr>
          <w:rFonts w:ascii="Times New Roman" w:hAnsi="Times New Roman"/>
        </w:rPr>
        <w:t>список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>1. Демидова О.А., Камалова Э. Пространственно-эконометрическое моделирование экономического роста российских регионов: имеют ли значение институты? Экономическая политика. 2021. Т. 16. № 2. С. 34–59. DOI: 10.18288/1994-5124-2021-2-34-59.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</w:rPr>
      </w:pPr>
      <w:r w:rsidRPr="00DB3294">
        <w:rPr>
          <w:sz w:val="24"/>
          <w:szCs w:val="24"/>
        </w:rPr>
        <w:t xml:space="preserve">2. Коломак Е.А. Эффективность инфраструктурного капитала в России. </w:t>
      </w:r>
      <w:hyperlink r:id="rId8" w:history="1">
        <w:r w:rsidRPr="00DB3294">
          <w:rPr>
            <w:sz w:val="24"/>
            <w:szCs w:val="24"/>
          </w:rPr>
          <w:t>Журнал Новой экономической ассоциации</w:t>
        </w:r>
      </w:hyperlink>
      <w:r w:rsidRPr="00DB3294">
        <w:rPr>
          <w:sz w:val="24"/>
          <w:szCs w:val="24"/>
        </w:rPr>
        <w:t>. 2011. № 10(10). С. 74-93.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</w:rPr>
        <w:t xml:space="preserve">3. Сборник «Регионы России. Социально-экономические показатели 2022». </w:t>
      </w:r>
      <w:r w:rsidRPr="00DB3294">
        <w:rPr>
          <w:sz w:val="24"/>
          <w:szCs w:val="24"/>
          <w:lang w:val="en-US"/>
        </w:rPr>
        <w:t>URL: https://rosstat.gov.ru/folder/210/document/13204 (</w:t>
      </w:r>
      <w:r w:rsidRPr="00DB3294">
        <w:rPr>
          <w:sz w:val="24"/>
          <w:szCs w:val="24"/>
        </w:rPr>
        <w:t>дата</w:t>
      </w:r>
      <w:r w:rsidRPr="00DB3294">
        <w:rPr>
          <w:sz w:val="24"/>
          <w:szCs w:val="24"/>
          <w:lang w:val="en-US"/>
        </w:rPr>
        <w:t xml:space="preserve"> </w:t>
      </w:r>
      <w:r w:rsidRPr="00DB3294">
        <w:rPr>
          <w:sz w:val="24"/>
          <w:szCs w:val="24"/>
        </w:rPr>
        <w:t>обращения</w:t>
      </w:r>
      <w:r w:rsidRPr="00DB3294">
        <w:rPr>
          <w:sz w:val="24"/>
          <w:szCs w:val="24"/>
          <w:lang w:val="en-US"/>
        </w:rPr>
        <w:t xml:space="preserve"> 12.01.2023)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4. Crescenzi R., Cataldo M. D., Rodríguez-Pose A. Government quality and the economic returns of transport infrastructure investment in European Regions. Journal of Regional Science, 2016, no. 56 (4), pp. 553-582. DOI: 10.1111/jors.12264.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5. Martí L., Puertas R., García L. The importance of the Logistics Performance Index in international trade. Applied Economics, 2014, no. 46, pp. 2982–2992. DOI:10.1080/00036846.2014.916394.</w:t>
      </w:r>
    </w:p>
    <w:p w:rsidR="00544C33" w:rsidRPr="00DB3294" w:rsidRDefault="00544C33" w:rsidP="00544C33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6. Melo P., Graham D., Brage-</w:t>
      </w:r>
      <w:proofErr w:type="spellStart"/>
      <w:r w:rsidRPr="00DB3294">
        <w:rPr>
          <w:sz w:val="24"/>
          <w:szCs w:val="24"/>
          <w:lang w:val="en-US"/>
        </w:rPr>
        <w:t>Ardao</w:t>
      </w:r>
      <w:proofErr w:type="spellEnd"/>
      <w:r w:rsidRPr="00DB3294">
        <w:rPr>
          <w:sz w:val="24"/>
          <w:szCs w:val="24"/>
          <w:lang w:val="en-US"/>
        </w:rPr>
        <w:t xml:space="preserve"> R. The productivity of transport infrastructure investment: a meta-analysis of empirical evidence. Regional Science and Urban Economics, 2013, no. 43, pp. 695–706. </w:t>
      </w:r>
      <w:proofErr w:type="gramStart"/>
      <w:r w:rsidRPr="00DB3294">
        <w:rPr>
          <w:sz w:val="24"/>
          <w:szCs w:val="24"/>
          <w:lang w:val="en-US"/>
        </w:rPr>
        <w:t>DOI:10.1016/j.regsciurbeco</w:t>
      </w:r>
      <w:proofErr w:type="gramEnd"/>
      <w:r w:rsidRPr="00DB3294">
        <w:rPr>
          <w:sz w:val="24"/>
          <w:szCs w:val="24"/>
          <w:lang w:val="en-US"/>
        </w:rPr>
        <w:t>.2013.05.002.</w:t>
      </w:r>
    </w:p>
    <w:p w:rsidR="00B61053" w:rsidRPr="00DB3294" w:rsidRDefault="00B61053" w:rsidP="00B61053">
      <w:pPr>
        <w:ind w:firstLine="709"/>
        <w:jc w:val="both"/>
        <w:rPr>
          <w:sz w:val="24"/>
          <w:lang w:val="en-US"/>
        </w:rPr>
      </w:pPr>
    </w:p>
    <w:p w:rsidR="00B61053" w:rsidRPr="00DB3294" w:rsidRDefault="00B61053" w:rsidP="00B61053">
      <w:pPr>
        <w:pStyle w:val="3"/>
        <w:spacing w:line="274" w:lineRule="exact"/>
        <w:ind w:left="3682"/>
        <w:jc w:val="both"/>
        <w:rPr>
          <w:rFonts w:ascii="Times New Roman" w:hAnsi="Times New Roman"/>
        </w:rPr>
      </w:pPr>
      <w:r w:rsidRPr="00DB3294">
        <w:rPr>
          <w:rFonts w:ascii="Times New Roman" w:hAnsi="Times New Roman"/>
        </w:rPr>
        <w:t>Информация</w:t>
      </w:r>
      <w:r w:rsidRPr="00DB3294">
        <w:rPr>
          <w:rFonts w:ascii="Times New Roman" w:hAnsi="Times New Roman"/>
          <w:spacing w:val="-8"/>
        </w:rPr>
        <w:t xml:space="preserve"> </w:t>
      </w:r>
      <w:r w:rsidRPr="00DB3294">
        <w:rPr>
          <w:rFonts w:ascii="Times New Roman" w:hAnsi="Times New Roman"/>
        </w:rPr>
        <w:t>об</w:t>
      </w:r>
      <w:r w:rsidRPr="00DB3294">
        <w:rPr>
          <w:rFonts w:ascii="Times New Roman" w:hAnsi="Times New Roman"/>
          <w:spacing w:val="-6"/>
        </w:rPr>
        <w:t xml:space="preserve"> </w:t>
      </w:r>
      <w:r w:rsidRPr="00DB3294">
        <w:rPr>
          <w:rFonts w:ascii="Times New Roman" w:hAnsi="Times New Roman"/>
        </w:rPr>
        <w:t>авторе</w:t>
      </w:r>
    </w:p>
    <w:p w:rsidR="00B61053" w:rsidRPr="00DB3294" w:rsidRDefault="00B61053" w:rsidP="00B61053">
      <w:pPr>
        <w:pStyle w:val="a3"/>
        <w:ind w:left="118" w:right="105" w:firstLine="708"/>
        <w:jc w:val="both"/>
        <w:rPr>
          <w:rFonts w:ascii="Times New Roman" w:hAnsi="Times New Roman"/>
          <w:lang w:val="en-US"/>
        </w:rPr>
      </w:pPr>
      <w:r w:rsidRPr="00DB3294">
        <w:rPr>
          <w:rFonts w:ascii="Times New Roman" w:hAnsi="Times New Roman"/>
        </w:rPr>
        <w:t>Патракеева Ольга Юрьевна (Россия, Ростов-на-Дону) – ведущий научный сотрудник, Федеральный исследовательский центр Южный научный центр РАН (Россия, 344006, г. Ростов-на-Дону, пр. Чехова</w:t>
      </w:r>
      <w:r w:rsidRPr="00DB3294">
        <w:rPr>
          <w:rFonts w:ascii="Times New Roman" w:hAnsi="Times New Roman"/>
          <w:lang w:val="en-US"/>
        </w:rPr>
        <w:t>, 41, OlgaPatrakeyeva@yandex.ru)</w:t>
      </w:r>
    </w:p>
    <w:p w:rsidR="00CA06A5" w:rsidRPr="00DB3294" w:rsidRDefault="00CA06A5" w:rsidP="000B24ED">
      <w:pPr>
        <w:rPr>
          <w:lang w:val="en-US"/>
        </w:rPr>
        <w:sectPr w:rsidR="00CA06A5" w:rsidRPr="00DB3294">
          <w:type w:val="continuous"/>
          <w:pgSz w:w="11910" w:h="16840"/>
          <w:pgMar w:top="720" w:right="740" w:bottom="280" w:left="1300" w:header="720" w:footer="720" w:gutter="0"/>
          <w:cols w:space="720"/>
        </w:sectPr>
      </w:pPr>
    </w:p>
    <w:p w:rsidR="005C0C0A" w:rsidRPr="00DB3294" w:rsidRDefault="00A55372" w:rsidP="005C0C0A">
      <w:pPr>
        <w:pStyle w:val="3"/>
        <w:spacing w:before="76"/>
        <w:ind w:left="0" w:right="110"/>
        <w:jc w:val="right"/>
        <w:rPr>
          <w:rFonts w:ascii="Times New Roman"/>
          <w:lang w:val="en-US"/>
        </w:rPr>
      </w:pPr>
      <w:proofErr w:type="spellStart"/>
      <w:r w:rsidRPr="00DB3294">
        <w:rPr>
          <w:rFonts w:ascii="Times New Roman"/>
          <w:spacing w:val="-3"/>
          <w:lang w:val="en-US"/>
        </w:rPr>
        <w:lastRenderedPageBreak/>
        <w:t>Patrakeeva</w:t>
      </w:r>
      <w:proofErr w:type="spellEnd"/>
      <w:r w:rsidR="005C0C0A" w:rsidRPr="00DB3294">
        <w:rPr>
          <w:rFonts w:ascii="Times New Roman"/>
          <w:spacing w:val="-3"/>
          <w:lang w:val="en-US"/>
        </w:rPr>
        <w:t xml:space="preserve"> </w:t>
      </w:r>
      <w:proofErr w:type="spellStart"/>
      <w:r w:rsidRPr="00DB3294">
        <w:rPr>
          <w:rFonts w:ascii="Times New Roman"/>
          <w:lang w:val="en-US"/>
        </w:rPr>
        <w:t>O</w:t>
      </w:r>
      <w:r w:rsidR="005C0C0A" w:rsidRPr="00DB3294">
        <w:rPr>
          <w:rFonts w:ascii="Times New Roman"/>
          <w:lang w:val="en-US"/>
        </w:rPr>
        <w:t>.</w:t>
      </w:r>
      <w:r w:rsidRPr="00DB3294">
        <w:rPr>
          <w:rFonts w:ascii="Times New Roman"/>
          <w:lang w:val="en-US"/>
        </w:rPr>
        <w:t>Yu</w:t>
      </w:r>
      <w:proofErr w:type="spellEnd"/>
      <w:r w:rsidR="005C0C0A" w:rsidRPr="00DB3294">
        <w:rPr>
          <w:rFonts w:ascii="Times New Roman"/>
          <w:lang w:val="en-US"/>
        </w:rPr>
        <w:t>.</w:t>
      </w:r>
    </w:p>
    <w:p w:rsidR="005C0C0A" w:rsidRPr="00DB3294" w:rsidRDefault="004C19CE" w:rsidP="00E23D85">
      <w:pPr>
        <w:ind w:left="2667" w:right="2015"/>
        <w:jc w:val="center"/>
        <w:rPr>
          <w:b/>
          <w:sz w:val="24"/>
          <w:lang w:val="en-US"/>
        </w:rPr>
      </w:pPr>
      <w:r w:rsidRPr="00DB3294">
        <w:rPr>
          <w:b/>
          <w:sz w:val="24"/>
          <w:lang w:val="en-US"/>
        </w:rPr>
        <w:t>INFRASTRUCTURAL EXTERNALITIES OF ECONOMIC GROWTH OF RUSSIAN REGIONS</w:t>
      </w:r>
    </w:p>
    <w:p w:rsidR="005C0C0A" w:rsidRPr="00DB3294" w:rsidRDefault="005C0C0A" w:rsidP="005C0C0A">
      <w:pPr>
        <w:spacing w:before="8"/>
        <w:rPr>
          <w:b/>
          <w:sz w:val="15"/>
          <w:lang w:val="en-US"/>
        </w:rPr>
      </w:pPr>
    </w:p>
    <w:p w:rsidR="009C0F8A" w:rsidRPr="001443AA" w:rsidRDefault="005C0C0A" w:rsidP="009C0F8A">
      <w:pPr>
        <w:spacing w:before="90"/>
        <w:ind w:left="118" w:right="105" w:firstLine="708"/>
        <w:jc w:val="both"/>
        <w:rPr>
          <w:i/>
          <w:sz w:val="24"/>
          <w:lang w:val="en-US"/>
        </w:rPr>
      </w:pPr>
      <w:r w:rsidRPr="00DB3294">
        <w:rPr>
          <w:b/>
          <w:i/>
          <w:sz w:val="24"/>
          <w:lang w:val="en-US"/>
        </w:rPr>
        <w:t xml:space="preserve">Abstract. </w:t>
      </w:r>
      <w:r w:rsidR="001443AA" w:rsidRPr="001443AA">
        <w:rPr>
          <w:i/>
          <w:spacing w:val="-7"/>
          <w:sz w:val="24"/>
          <w:szCs w:val="24"/>
          <w:lang w:val="en-US"/>
        </w:rPr>
        <w:t>Lack of quantitative assessments of the effectiveness of infrastructure investments leads to irrational expenditure; it is necessary to test the hypothesis of a significant impact of infrastructure on the development of regional economies, taking into account spatial externalities</w:t>
      </w:r>
    </w:p>
    <w:p w:rsidR="005C0C0A" w:rsidRPr="005E7164" w:rsidRDefault="005C0C0A" w:rsidP="009246D8">
      <w:pPr>
        <w:ind w:firstLine="851"/>
        <w:jc w:val="both"/>
        <w:rPr>
          <w:i/>
          <w:sz w:val="24"/>
          <w:lang w:val="en-US"/>
        </w:rPr>
      </w:pPr>
      <w:r w:rsidRPr="00DB3294">
        <w:rPr>
          <w:b/>
          <w:i/>
          <w:sz w:val="24"/>
          <w:lang w:val="en-US"/>
        </w:rPr>
        <w:t>Key</w:t>
      </w:r>
      <w:r w:rsidRPr="00DB3294">
        <w:rPr>
          <w:b/>
          <w:i/>
          <w:spacing w:val="-7"/>
          <w:sz w:val="24"/>
          <w:lang w:val="en-US"/>
        </w:rPr>
        <w:t xml:space="preserve"> </w:t>
      </w:r>
      <w:r w:rsidRPr="00DB3294">
        <w:rPr>
          <w:b/>
          <w:i/>
          <w:sz w:val="24"/>
          <w:lang w:val="en-US"/>
        </w:rPr>
        <w:t>words:</w:t>
      </w:r>
      <w:r w:rsidRPr="00DB3294">
        <w:rPr>
          <w:b/>
          <w:i/>
          <w:spacing w:val="-7"/>
          <w:sz w:val="24"/>
          <w:lang w:val="en-US"/>
        </w:rPr>
        <w:t xml:space="preserve"> </w:t>
      </w:r>
      <w:r w:rsidR="00807B32" w:rsidRPr="00DB3294">
        <w:rPr>
          <w:i/>
          <w:spacing w:val="-7"/>
          <w:sz w:val="24"/>
          <w:szCs w:val="24"/>
          <w:lang w:val="en-US"/>
        </w:rPr>
        <w:t>infrastructure, externalities, spatial models, Moran’s index</w:t>
      </w:r>
      <w:r w:rsidR="005E7164" w:rsidRPr="005E7164">
        <w:rPr>
          <w:i/>
          <w:spacing w:val="-7"/>
          <w:sz w:val="24"/>
          <w:szCs w:val="24"/>
          <w:lang w:val="en-US"/>
        </w:rPr>
        <w:t xml:space="preserve">, </w:t>
      </w:r>
      <w:r w:rsidR="005E7164">
        <w:rPr>
          <w:i/>
          <w:spacing w:val="-7"/>
          <w:sz w:val="24"/>
          <w:szCs w:val="24"/>
          <w:lang w:val="en-US"/>
        </w:rPr>
        <w:t>Russian regions</w:t>
      </w:r>
    </w:p>
    <w:p w:rsidR="005C0C0A" w:rsidRPr="00DB3294" w:rsidRDefault="005C0C0A" w:rsidP="005C0C0A">
      <w:pPr>
        <w:spacing w:before="5"/>
        <w:rPr>
          <w:i/>
          <w:sz w:val="24"/>
          <w:lang w:val="en-US"/>
        </w:rPr>
      </w:pPr>
    </w:p>
    <w:p w:rsidR="005C0C0A" w:rsidRPr="00DB3294" w:rsidRDefault="005C0C0A" w:rsidP="005C0C0A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DB3294">
        <w:rPr>
          <w:rFonts w:ascii="Times New Roman"/>
          <w:lang w:val="en-US"/>
        </w:rPr>
        <w:t>Information</w:t>
      </w:r>
      <w:r w:rsidRPr="00DB3294">
        <w:rPr>
          <w:rFonts w:ascii="Times New Roman"/>
          <w:spacing w:val="-2"/>
          <w:lang w:val="en-US"/>
        </w:rPr>
        <w:t xml:space="preserve"> </w:t>
      </w:r>
      <w:r w:rsidRPr="00DB3294">
        <w:rPr>
          <w:rFonts w:ascii="Times New Roman"/>
          <w:lang w:val="en-US"/>
        </w:rPr>
        <w:t>about</w:t>
      </w:r>
      <w:r w:rsidRPr="00DB3294">
        <w:rPr>
          <w:rFonts w:ascii="Times New Roman"/>
          <w:spacing w:val="-3"/>
          <w:lang w:val="en-US"/>
        </w:rPr>
        <w:t xml:space="preserve"> </w:t>
      </w:r>
      <w:r w:rsidRPr="00DB3294">
        <w:rPr>
          <w:rFonts w:ascii="Times New Roman"/>
          <w:lang w:val="en-US"/>
        </w:rPr>
        <w:t>the</w:t>
      </w:r>
      <w:r w:rsidRPr="00DB3294">
        <w:rPr>
          <w:rFonts w:ascii="Times New Roman"/>
          <w:spacing w:val="-3"/>
          <w:lang w:val="en-US"/>
        </w:rPr>
        <w:t xml:space="preserve"> </w:t>
      </w:r>
      <w:r w:rsidRPr="00DB3294">
        <w:rPr>
          <w:rFonts w:ascii="Times New Roman"/>
          <w:lang w:val="en-US"/>
        </w:rPr>
        <w:t>author</w:t>
      </w:r>
    </w:p>
    <w:p w:rsidR="005C0C0A" w:rsidRPr="00DB3294" w:rsidRDefault="00A55372" w:rsidP="005C0C0A">
      <w:pPr>
        <w:pStyle w:val="a3"/>
        <w:ind w:left="118" w:right="106" w:firstLine="708"/>
        <w:jc w:val="both"/>
        <w:rPr>
          <w:rFonts w:ascii="Times New Roman" w:hAnsi="Times New Roman"/>
          <w:lang w:val="en-US"/>
        </w:rPr>
      </w:pPr>
      <w:proofErr w:type="spellStart"/>
      <w:r w:rsidRPr="00DB3294">
        <w:rPr>
          <w:rFonts w:ascii="Times New Roman" w:hAnsi="Times New Roman"/>
          <w:lang w:val="en-US"/>
        </w:rPr>
        <w:t>Patrakeeva</w:t>
      </w:r>
      <w:proofErr w:type="spellEnd"/>
      <w:r w:rsidRPr="00DB3294">
        <w:rPr>
          <w:rFonts w:ascii="Times New Roman" w:hAnsi="Times New Roman"/>
          <w:lang w:val="en-US"/>
        </w:rPr>
        <w:t xml:space="preserve"> Olga </w:t>
      </w:r>
      <w:proofErr w:type="spellStart"/>
      <w:r w:rsidRPr="00DB3294">
        <w:rPr>
          <w:rFonts w:ascii="Times New Roman" w:hAnsi="Times New Roman"/>
          <w:lang w:val="en-US"/>
        </w:rPr>
        <w:t>Yurievna</w:t>
      </w:r>
      <w:proofErr w:type="spellEnd"/>
      <w:r w:rsidRPr="00DB3294">
        <w:rPr>
          <w:rFonts w:ascii="Times New Roman" w:hAnsi="Times New Roman"/>
          <w:lang w:val="en-US"/>
        </w:rPr>
        <w:t xml:space="preserve"> </w:t>
      </w:r>
      <w:r w:rsidR="005C0C0A" w:rsidRPr="00DB3294">
        <w:rPr>
          <w:rFonts w:ascii="Times New Roman" w:hAnsi="Times New Roman"/>
          <w:lang w:val="en-US"/>
        </w:rPr>
        <w:t xml:space="preserve">(Russia, </w:t>
      </w:r>
      <w:r w:rsidRPr="00DB3294">
        <w:rPr>
          <w:rFonts w:ascii="Times New Roman" w:hAnsi="Times New Roman"/>
          <w:lang w:val="en-US"/>
        </w:rPr>
        <w:t>Rostov-on-Don</w:t>
      </w:r>
      <w:r w:rsidR="005C0C0A" w:rsidRPr="00DB3294">
        <w:rPr>
          <w:rFonts w:ascii="Times New Roman" w:hAnsi="Times New Roman"/>
          <w:lang w:val="en-US"/>
        </w:rPr>
        <w:t xml:space="preserve">) – </w:t>
      </w:r>
      <w:r w:rsidR="0057317E" w:rsidRPr="00DB3294">
        <w:rPr>
          <w:rFonts w:ascii="Times New Roman" w:hAnsi="Times New Roman"/>
          <w:lang w:val="en-US"/>
        </w:rPr>
        <w:t>leading Researcher</w:t>
      </w:r>
      <w:r w:rsidR="005C0C0A" w:rsidRPr="00DB3294">
        <w:rPr>
          <w:rFonts w:ascii="Times New Roman" w:hAnsi="Times New Roman"/>
          <w:lang w:val="en-US"/>
        </w:rPr>
        <w:t xml:space="preserve">, </w:t>
      </w:r>
      <w:r w:rsidR="0057317E" w:rsidRPr="00DB3294">
        <w:rPr>
          <w:rFonts w:ascii="Times New Roman" w:hAnsi="Times New Roman"/>
          <w:lang w:val="en-US"/>
        </w:rPr>
        <w:t>Federal Research Centre the Southern Scientific Centre of the Russian Academy of Sciences</w:t>
      </w:r>
      <w:r w:rsidR="005C0C0A" w:rsidRPr="00DB3294">
        <w:rPr>
          <w:rFonts w:ascii="Times New Roman" w:hAnsi="Times New Roman"/>
          <w:lang w:val="en-US"/>
        </w:rPr>
        <w:t xml:space="preserve"> (</w:t>
      </w:r>
      <w:r w:rsidRPr="00DB3294">
        <w:rPr>
          <w:rFonts w:ascii="Times New Roman" w:hAnsi="Times New Roman"/>
          <w:lang w:val="en-US"/>
        </w:rPr>
        <w:t>41</w:t>
      </w:r>
      <w:r w:rsidR="005C0C0A" w:rsidRPr="00DB3294">
        <w:rPr>
          <w:rFonts w:ascii="Times New Roman" w:hAnsi="Times New Roman"/>
          <w:lang w:val="en-US"/>
        </w:rPr>
        <w:t xml:space="preserve">, </w:t>
      </w:r>
      <w:proofErr w:type="spellStart"/>
      <w:r w:rsidR="00A355BD" w:rsidRPr="00DB3294">
        <w:rPr>
          <w:rFonts w:ascii="Times New Roman" w:hAnsi="Times New Roman"/>
          <w:lang w:val="en-US"/>
        </w:rPr>
        <w:t>Chekhova</w:t>
      </w:r>
      <w:proofErr w:type="spellEnd"/>
      <w:r w:rsidR="00A355BD" w:rsidRPr="00DB3294">
        <w:rPr>
          <w:rFonts w:ascii="Times New Roman" w:hAnsi="Times New Roman"/>
          <w:lang w:val="en-US"/>
        </w:rPr>
        <w:t xml:space="preserve"> St</w:t>
      </w:r>
      <w:r w:rsidR="005C0C0A" w:rsidRPr="00DB3294">
        <w:rPr>
          <w:rFonts w:ascii="Times New Roman" w:hAnsi="Times New Roman"/>
          <w:lang w:val="en-US"/>
        </w:rPr>
        <w:t xml:space="preserve">, </w:t>
      </w:r>
      <w:r w:rsidR="00A355BD" w:rsidRPr="00DB3294">
        <w:rPr>
          <w:rFonts w:ascii="Times New Roman" w:hAnsi="Times New Roman"/>
          <w:lang w:val="en-US"/>
        </w:rPr>
        <w:t>Rostov-on-Don</w:t>
      </w:r>
      <w:r w:rsidR="005C0C0A" w:rsidRPr="00DB3294">
        <w:rPr>
          <w:rFonts w:ascii="Times New Roman" w:hAnsi="Times New Roman"/>
          <w:lang w:val="en-US"/>
        </w:rPr>
        <w:t xml:space="preserve">, Russian Federation, </w:t>
      </w:r>
      <w:r w:rsidRPr="00DB3294">
        <w:rPr>
          <w:rFonts w:ascii="Times New Roman" w:hAnsi="Times New Roman"/>
          <w:lang w:val="en-US"/>
        </w:rPr>
        <w:t>344006</w:t>
      </w:r>
      <w:r w:rsidR="005C0C0A" w:rsidRPr="00DB3294">
        <w:rPr>
          <w:rFonts w:ascii="Times New Roman" w:hAnsi="Times New Roman"/>
          <w:lang w:val="en-US"/>
        </w:rPr>
        <w:t xml:space="preserve">, </w:t>
      </w:r>
      <w:r w:rsidRPr="00DB3294">
        <w:rPr>
          <w:rFonts w:ascii="Times New Roman" w:hAnsi="Times New Roman"/>
          <w:lang w:val="en-US"/>
        </w:rPr>
        <w:t>OlgaPatrakeyeva@yandex.ru</w:t>
      </w:r>
      <w:r w:rsidR="005C0C0A" w:rsidRPr="00DB3294">
        <w:rPr>
          <w:rFonts w:ascii="Times New Roman" w:hAnsi="Times New Roman"/>
          <w:lang w:val="en-US"/>
        </w:rPr>
        <w:t>)</w:t>
      </w:r>
    </w:p>
    <w:p w:rsidR="005C0C0A" w:rsidRPr="00DB3294" w:rsidRDefault="005C0C0A" w:rsidP="005C0C0A">
      <w:pPr>
        <w:spacing w:before="3"/>
        <w:rPr>
          <w:sz w:val="24"/>
          <w:lang w:val="en-US"/>
        </w:rPr>
      </w:pPr>
    </w:p>
    <w:p w:rsidR="005C0C0A" w:rsidRPr="00DB3294" w:rsidRDefault="005C0C0A" w:rsidP="005C0C0A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  <w:r w:rsidRPr="00DB3294">
        <w:rPr>
          <w:rFonts w:ascii="Times New Roman"/>
          <w:lang w:val="en-US"/>
        </w:rPr>
        <w:t>References</w:t>
      </w:r>
    </w:p>
    <w:p w:rsidR="00C44D98" w:rsidRPr="00DB329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1. Demidova O.A., Kamalova E. (2021). Spatial Econometric Modeling of Economic Growth in Russian Regions: Do Institutions Matter? Economic policy, 2021, vol. 16, no. 2, pp. 34–59. DOI: 10.18288/1994-5124-2021-2-34-59.</w:t>
      </w:r>
    </w:p>
    <w:p w:rsidR="00C44D98" w:rsidRPr="005E716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 xml:space="preserve">2. </w:t>
      </w:r>
      <w:proofErr w:type="spellStart"/>
      <w:r w:rsidRPr="00DB3294">
        <w:rPr>
          <w:sz w:val="24"/>
          <w:szCs w:val="24"/>
          <w:lang w:val="en-US"/>
        </w:rPr>
        <w:t>Kolomak</w:t>
      </w:r>
      <w:proofErr w:type="spellEnd"/>
      <w:r w:rsidRPr="00DB3294">
        <w:rPr>
          <w:sz w:val="24"/>
          <w:szCs w:val="24"/>
          <w:lang w:val="en-US"/>
        </w:rPr>
        <w:t xml:space="preserve"> E.A. (2011). Efficiency of infrastructure capital in Russia. </w:t>
      </w:r>
      <w:r w:rsidR="00435761" w:rsidRPr="005E7164">
        <w:rPr>
          <w:sz w:val="24"/>
          <w:szCs w:val="24"/>
          <w:lang w:val="en-US"/>
        </w:rPr>
        <w:t>Journal of the New Economic Association</w:t>
      </w:r>
      <w:r w:rsidRPr="005E7164">
        <w:rPr>
          <w:sz w:val="24"/>
          <w:szCs w:val="24"/>
          <w:lang w:val="en-US"/>
        </w:rPr>
        <w:t>, 2011, no. 10(10), pp. 74-93.</w:t>
      </w:r>
    </w:p>
    <w:p w:rsidR="00C44D98" w:rsidRPr="00DB329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3. Regions of Russia. Socio-economic indicators 2022. URL: https://rosstat.gov.ru/folder/210/document/13204 (date accessed 12.01.2023)</w:t>
      </w:r>
    </w:p>
    <w:p w:rsidR="00C44D98" w:rsidRPr="00DB329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4. Crescenzi R., Cataldo M. D., Rodríguez-Pose A. Government quality and the economic returns of transport infrastructure investment in European Regions. Journal of Regional Science, 2016, no. 56 (4), pp. 553-582. DOI: 10.1111/jors.12264.</w:t>
      </w:r>
    </w:p>
    <w:p w:rsidR="00C44D98" w:rsidRPr="00DB329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5. Martí L., Puertas R., García L. The importance of the Logistics Performance Index in international trade. Applied Economics, 2014, no. 46, pp. 2982–2992. DOI:10.1080/00036846.2014.916394.</w:t>
      </w:r>
    </w:p>
    <w:p w:rsidR="00C44D98" w:rsidRPr="00DB3294" w:rsidRDefault="00C44D98" w:rsidP="00C44D98">
      <w:pPr>
        <w:ind w:firstLine="709"/>
        <w:jc w:val="both"/>
        <w:rPr>
          <w:sz w:val="24"/>
          <w:szCs w:val="24"/>
          <w:lang w:val="en-US"/>
        </w:rPr>
      </w:pPr>
      <w:r w:rsidRPr="00DB3294">
        <w:rPr>
          <w:sz w:val="24"/>
          <w:szCs w:val="24"/>
          <w:lang w:val="en-US"/>
        </w:rPr>
        <w:t>6. Melo P., Graham D., Brage-</w:t>
      </w:r>
      <w:proofErr w:type="spellStart"/>
      <w:r w:rsidRPr="00DB3294">
        <w:rPr>
          <w:sz w:val="24"/>
          <w:szCs w:val="24"/>
          <w:lang w:val="en-US"/>
        </w:rPr>
        <w:t>Ardao</w:t>
      </w:r>
      <w:proofErr w:type="spellEnd"/>
      <w:r w:rsidRPr="00DB3294">
        <w:rPr>
          <w:sz w:val="24"/>
          <w:szCs w:val="24"/>
          <w:lang w:val="en-US"/>
        </w:rPr>
        <w:t xml:space="preserve"> R. The productivity of transport infrastructure investment: a meta-analysis of empirical evidence. Regional Science and Urban Economics, 2013, no. 43, pp. 695–706. </w:t>
      </w:r>
      <w:proofErr w:type="gramStart"/>
      <w:r w:rsidRPr="00DB3294">
        <w:rPr>
          <w:sz w:val="24"/>
          <w:szCs w:val="24"/>
          <w:lang w:val="en-US"/>
        </w:rPr>
        <w:t>DOI:10.1016/j.regsciurbeco</w:t>
      </w:r>
      <w:proofErr w:type="gramEnd"/>
      <w:r w:rsidRPr="00DB3294">
        <w:rPr>
          <w:sz w:val="24"/>
          <w:szCs w:val="24"/>
          <w:lang w:val="en-US"/>
        </w:rPr>
        <w:t>.2013.05.002.</w:t>
      </w:r>
    </w:p>
    <w:sectPr w:rsidR="00C44D98" w:rsidRPr="00DB3294" w:rsidSect="005C0C0A">
      <w:pgSz w:w="11900" w:h="16840"/>
      <w:pgMar w:top="1060" w:right="66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4B2C" w:rsidRDefault="008B4B2C" w:rsidP="006A697A">
      <w:r>
        <w:separator/>
      </w:r>
    </w:p>
  </w:endnote>
  <w:endnote w:type="continuationSeparator" w:id="0">
    <w:p w:rsidR="008B4B2C" w:rsidRDefault="008B4B2C" w:rsidP="006A6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4B2C" w:rsidRDefault="008B4B2C" w:rsidP="006A697A">
      <w:r>
        <w:separator/>
      </w:r>
    </w:p>
  </w:footnote>
  <w:footnote w:type="continuationSeparator" w:id="0">
    <w:p w:rsidR="008B4B2C" w:rsidRDefault="008B4B2C" w:rsidP="006A69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A435F"/>
    <w:multiLevelType w:val="hybridMultilevel"/>
    <w:tmpl w:val="AC3AA78C"/>
    <w:lvl w:ilvl="0" w:tplc="3BA2161E">
      <w:numFmt w:val="bullet"/>
      <w:lvlText w:val="✓"/>
      <w:lvlJc w:val="left"/>
      <w:pPr>
        <w:ind w:left="220" w:hanging="708"/>
      </w:pPr>
      <w:rPr>
        <w:rFonts w:ascii="MS UI Gothic" w:eastAsia="MS UI Gothic" w:hAnsi="MS UI Gothic" w:cs="MS UI Gothic" w:hint="default"/>
        <w:w w:val="82"/>
        <w:sz w:val="28"/>
        <w:szCs w:val="28"/>
        <w:lang w:val="ru-RU" w:eastAsia="en-US" w:bidi="ar-SA"/>
      </w:rPr>
    </w:lvl>
    <w:lvl w:ilvl="1" w:tplc="EC94AF62">
      <w:numFmt w:val="bullet"/>
      <w:lvlText w:val="•"/>
      <w:lvlJc w:val="left"/>
      <w:pPr>
        <w:ind w:left="1216" w:hanging="708"/>
      </w:pPr>
      <w:rPr>
        <w:rFonts w:hint="default"/>
        <w:lang w:val="ru-RU" w:eastAsia="en-US" w:bidi="ar-SA"/>
      </w:rPr>
    </w:lvl>
    <w:lvl w:ilvl="2" w:tplc="D2C0BD06">
      <w:numFmt w:val="bullet"/>
      <w:lvlText w:val="•"/>
      <w:lvlJc w:val="left"/>
      <w:pPr>
        <w:ind w:left="2212" w:hanging="708"/>
      </w:pPr>
      <w:rPr>
        <w:rFonts w:hint="default"/>
        <w:lang w:val="ru-RU" w:eastAsia="en-US" w:bidi="ar-SA"/>
      </w:rPr>
    </w:lvl>
    <w:lvl w:ilvl="3" w:tplc="1A6E6FFE">
      <w:numFmt w:val="bullet"/>
      <w:lvlText w:val="•"/>
      <w:lvlJc w:val="left"/>
      <w:pPr>
        <w:ind w:left="3208" w:hanging="708"/>
      </w:pPr>
      <w:rPr>
        <w:rFonts w:hint="default"/>
        <w:lang w:val="ru-RU" w:eastAsia="en-US" w:bidi="ar-SA"/>
      </w:rPr>
    </w:lvl>
    <w:lvl w:ilvl="4" w:tplc="E886F358">
      <w:numFmt w:val="bullet"/>
      <w:lvlText w:val="•"/>
      <w:lvlJc w:val="left"/>
      <w:pPr>
        <w:ind w:left="4204" w:hanging="708"/>
      </w:pPr>
      <w:rPr>
        <w:rFonts w:hint="default"/>
        <w:lang w:val="ru-RU" w:eastAsia="en-US" w:bidi="ar-SA"/>
      </w:rPr>
    </w:lvl>
    <w:lvl w:ilvl="5" w:tplc="3D72CFB0">
      <w:numFmt w:val="bullet"/>
      <w:lvlText w:val="•"/>
      <w:lvlJc w:val="left"/>
      <w:pPr>
        <w:ind w:left="5200" w:hanging="708"/>
      </w:pPr>
      <w:rPr>
        <w:rFonts w:hint="default"/>
        <w:lang w:val="ru-RU" w:eastAsia="en-US" w:bidi="ar-SA"/>
      </w:rPr>
    </w:lvl>
    <w:lvl w:ilvl="6" w:tplc="22B274D0">
      <w:numFmt w:val="bullet"/>
      <w:lvlText w:val="•"/>
      <w:lvlJc w:val="left"/>
      <w:pPr>
        <w:ind w:left="6196" w:hanging="708"/>
      </w:pPr>
      <w:rPr>
        <w:rFonts w:hint="default"/>
        <w:lang w:val="ru-RU" w:eastAsia="en-US" w:bidi="ar-SA"/>
      </w:rPr>
    </w:lvl>
    <w:lvl w:ilvl="7" w:tplc="CEE81754">
      <w:numFmt w:val="bullet"/>
      <w:lvlText w:val="•"/>
      <w:lvlJc w:val="left"/>
      <w:pPr>
        <w:ind w:left="7192" w:hanging="708"/>
      </w:pPr>
      <w:rPr>
        <w:rFonts w:hint="default"/>
        <w:lang w:val="ru-RU" w:eastAsia="en-US" w:bidi="ar-SA"/>
      </w:rPr>
    </w:lvl>
    <w:lvl w:ilvl="8" w:tplc="5C3A8640">
      <w:numFmt w:val="bullet"/>
      <w:lvlText w:val="•"/>
      <w:lvlJc w:val="left"/>
      <w:pPr>
        <w:ind w:left="8188" w:hanging="708"/>
      </w:pPr>
      <w:rPr>
        <w:rFonts w:hint="default"/>
        <w:lang w:val="ru-RU" w:eastAsia="en-US" w:bidi="ar-SA"/>
      </w:rPr>
    </w:lvl>
  </w:abstractNum>
  <w:abstractNum w:abstractNumId="1" w15:restartNumberingAfterBreak="0">
    <w:nsid w:val="1CDE2870"/>
    <w:multiLevelType w:val="hybridMultilevel"/>
    <w:tmpl w:val="25DE1800"/>
    <w:lvl w:ilvl="0" w:tplc="39500F2C">
      <w:numFmt w:val="bullet"/>
      <w:lvlText w:val="•"/>
      <w:lvlJc w:val="left"/>
      <w:pPr>
        <w:ind w:left="118" w:hanging="152"/>
      </w:pPr>
      <w:rPr>
        <w:rFonts w:ascii="Georgia" w:eastAsia="Georgia" w:hAnsi="Georgia" w:cs="Georgia" w:hint="default"/>
        <w:w w:val="100"/>
        <w:sz w:val="24"/>
        <w:szCs w:val="24"/>
        <w:lang w:val="ru-RU" w:eastAsia="en-US" w:bidi="ar-SA"/>
      </w:rPr>
    </w:lvl>
    <w:lvl w:ilvl="1" w:tplc="5A48DAA4">
      <w:numFmt w:val="bullet"/>
      <w:lvlText w:val="•"/>
      <w:lvlJc w:val="left"/>
      <w:pPr>
        <w:ind w:left="1094" w:hanging="152"/>
      </w:pPr>
      <w:rPr>
        <w:rFonts w:hint="default"/>
        <w:lang w:val="ru-RU" w:eastAsia="en-US" w:bidi="ar-SA"/>
      </w:rPr>
    </w:lvl>
    <w:lvl w:ilvl="2" w:tplc="3E62973C">
      <w:numFmt w:val="bullet"/>
      <w:lvlText w:val="•"/>
      <w:lvlJc w:val="left"/>
      <w:pPr>
        <w:ind w:left="2068" w:hanging="152"/>
      </w:pPr>
      <w:rPr>
        <w:rFonts w:hint="default"/>
        <w:lang w:val="ru-RU" w:eastAsia="en-US" w:bidi="ar-SA"/>
      </w:rPr>
    </w:lvl>
    <w:lvl w:ilvl="3" w:tplc="7560583E">
      <w:numFmt w:val="bullet"/>
      <w:lvlText w:val="•"/>
      <w:lvlJc w:val="left"/>
      <w:pPr>
        <w:ind w:left="3043" w:hanging="152"/>
      </w:pPr>
      <w:rPr>
        <w:rFonts w:hint="default"/>
        <w:lang w:val="ru-RU" w:eastAsia="en-US" w:bidi="ar-SA"/>
      </w:rPr>
    </w:lvl>
    <w:lvl w:ilvl="4" w:tplc="AED467A6">
      <w:numFmt w:val="bullet"/>
      <w:lvlText w:val="•"/>
      <w:lvlJc w:val="left"/>
      <w:pPr>
        <w:ind w:left="4017" w:hanging="152"/>
      </w:pPr>
      <w:rPr>
        <w:rFonts w:hint="default"/>
        <w:lang w:val="ru-RU" w:eastAsia="en-US" w:bidi="ar-SA"/>
      </w:rPr>
    </w:lvl>
    <w:lvl w:ilvl="5" w:tplc="AC06080A">
      <w:numFmt w:val="bullet"/>
      <w:lvlText w:val="•"/>
      <w:lvlJc w:val="left"/>
      <w:pPr>
        <w:ind w:left="4992" w:hanging="152"/>
      </w:pPr>
      <w:rPr>
        <w:rFonts w:hint="default"/>
        <w:lang w:val="ru-RU" w:eastAsia="en-US" w:bidi="ar-SA"/>
      </w:rPr>
    </w:lvl>
    <w:lvl w:ilvl="6" w:tplc="D114765A">
      <w:numFmt w:val="bullet"/>
      <w:lvlText w:val="•"/>
      <w:lvlJc w:val="left"/>
      <w:pPr>
        <w:ind w:left="5966" w:hanging="152"/>
      </w:pPr>
      <w:rPr>
        <w:rFonts w:hint="default"/>
        <w:lang w:val="ru-RU" w:eastAsia="en-US" w:bidi="ar-SA"/>
      </w:rPr>
    </w:lvl>
    <w:lvl w:ilvl="7" w:tplc="E5BE2D04">
      <w:numFmt w:val="bullet"/>
      <w:lvlText w:val="•"/>
      <w:lvlJc w:val="left"/>
      <w:pPr>
        <w:ind w:left="6940" w:hanging="152"/>
      </w:pPr>
      <w:rPr>
        <w:rFonts w:hint="default"/>
        <w:lang w:val="ru-RU" w:eastAsia="en-US" w:bidi="ar-SA"/>
      </w:rPr>
    </w:lvl>
    <w:lvl w:ilvl="8" w:tplc="4FC2472A">
      <w:numFmt w:val="bullet"/>
      <w:lvlText w:val="•"/>
      <w:lvlJc w:val="left"/>
      <w:pPr>
        <w:ind w:left="7915" w:hanging="152"/>
      </w:pPr>
      <w:rPr>
        <w:rFonts w:hint="default"/>
        <w:lang w:val="ru-RU" w:eastAsia="en-US" w:bidi="ar-SA"/>
      </w:rPr>
    </w:lvl>
  </w:abstractNum>
  <w:abstractNum w:abstractNumId="2" w15:restartNumberingAfterBreak="0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 w15:restartNumberingAfterBreak="0">
    <w:nsid w:val="47792436"/>
    <w:multiLevelType w:val="hybridMultilevel"/>
    <w:tmpl w:val="AEC4422E"/>
    <w:lvl w:ilvl="0" w:tplc="5A386D90">
      <w:numFmt w:val="bullet"/>
      <w:lvlText w:val="o"/>
      <w:lvlJc w:val="left"/>
      <w:pPr>
        <w:ind w:left="574" w:hanging="454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1" w:tplc="CCEC2C22">
      <w:numFmt w:val="bullet"/>
      <w:lvlText w:val="•"/>
      <w:lvlJc w:val="left"/>
      <w:pPr>
        <w:ind w:left="1516" w:hanging="454"/>
      </w:pPr>
      <w:rPr>
        <w:rFonts w:hint="default"/>
        <w:lang w:val="ru-RU" w:eastAsia="en-US" w:bidi="ar-SA"/>
      </w:rPr>
    </w:lvl>
    <w:lvl w:ilvl="2" w:tplc="5DA056E6">
      <w:numFmt w:val="bullet"/>
      <w:lvlText w:val="•"/>
      <w:lvlJc w:val="left"/>
      <w:pPr>
        <w:ind w:left="2452" w:hanging="454"/>
      </w:pPr>
      <w:rPr>
        <w:rFonts w:hint="default"/>
        <w:lang w:val="ru-RU" w:eastAsia="en-US" w:bidi="ar-SA"/>
      </w:rPr>
    </w:lvl>
    <w:lvl w:ilvl="3" w:tplc="1E8889BE">
      <w:numFmt w:val="bullet"/>
      <w:lvlText w:val="•"/>
      <w:lvlJc w:val="left"/>
      <w:pPr>
        <w:ind w:left="3388" w:hanging="454"/>
      </w:pPr>
      <w:rPr>
        <w:rFonts w:hint="default"/>
        <w:lang w:val="ru-RU" w:eastAsia="en-US" w:bidi="ar-SA"/>
      </w:rPr>
    </w:lvl>
    <w:lvl w:ilvl="4" w:tplc="CCD0BDA6">
      <w:numFmt w:val="bullet"/>
      <w:lvlText w:val="•"/>
      <w:lvlJc w:val="left"/>
      <w:pPr>
        <w:ind w:left="4324" w:hanging="454"/>
      </w:pPr>
      <w:rPr>
        <w:rFonts w:hint="default"/>
        <w:lang w:val="ru-RU" w:eastAsia="en-US" w:bidi="ar-SA"/>
      </w:rPr>
    </w:lvl>
    <w:lvl w:ilvl="5" w:tplc="06569356">
      <w:numFmt w:val="bullet"/>
      <w:lvlText w:val="•"/>
      <w:lvlJc w:val="left"/>
      <w:pPr>
        <w:ind w:left="5260" w:hanging="454"/>
      </w:pPr>
      <w:rPr>
        <w:rFonts w:hint="default"/>
        <w:lang w:val="ru-RU" w:eastAsia="en-US" w:bidi="ar-SA"/>
      </w:rPr>
    </w:lvl>
    <w:lvl w:ilvl="6" w:tplc="ADBEF822">
      <w:numFmt w:val="bullet"/>
      <w:lvlText w:val="•"/>
      <w:lvlJc w:val="left"/>
      <w:pPr>
        <w:ind w:left="6196" w:hanging="454"/>
      </w:pPr>
      <w:rPr>
        <w:rFonts w:hint="default"/>
        <w:lang w:val="ru-RU" w:eastAsia="en-US" w:bidi="ar-SA"/>
      </w:rPr>
    </w:lvl>
    <w:lvl w:ilvl="7" w:tplc="C088A394">
      <w:numFmt w:val="bullet"/>
      <w:lvlText w:val="•"/>
      <w:lvlJc w:val="left"/>
      <w:pPr>
        <w:ind w:left="7132" w:hanging="454"/>
      </w:pPr>
      <w:rPr>
        <w:rFonts w:hint="default"/>
        <w:lang w:val="ru-RU" w:eastAsia="en-US" w:bidi="ar-SA"/>
      </w:rPr>
    </w:lvl>
    <w:lvl w:ilvl="8" w:tplc="D8527B60">
      <w:numFmt w:val="bullet"/>
      <w:lvlText w:val="•"/>
      <w:lvlJc w:val="left"/>
      <w:pPr>
        <w:ind w:left="8068" w:hanging="454"/>
      </w:pPr>
      <w:rPr>
        <w:rFonts w:hint="default"/>
        <w:lang w:val="ru-RU" w:eastAsia="en-US" w:bidi="ar-SA"/>
      </w:rPr>
    </w:lvl>
  </w:abstractNum>
  <w:abstractNum w:abstractNumId="4" w15:restartNumberingAfterBreak="0">
    <w:nsid w:val="4E3640C2"/>
    <w:multiLevelType w:val="hybridMultilevel"/>
    <w:tmpl w:val="05B423E8"/>
    <w:lvl w:ilvl="0" w:tplc="065C71C2">
      <w:numFmt w:val="bullet"/>
      <w:lvlText w:val=""/>
      <w:lvlJc w:val="left"/>
      <w:pPr>
        <w:ind w:left="118" w:hanging="711"/>
      </w:pPr>
      <w:rPr>
        <w:rFonts w:ascii="Wingdings" w:eastAsia="Wingdings" w:hAnsi="Wingdings" w:cs="Wingdings" w:hint="default"/>
        <w:w w:val="100"/>
        <w:sz w:val="28"/>
        <w:szCs w:val="28"/>
        <w:lang w:val="ru-RU" w:eastAsia="en-US" w:bidi="ar-SA"/>
      </w:rPr>
    </w:lvl>
    <w:lvl w:ilvl="1" w:tplc="9064CB0E">
      <w:numFmt w:val="bullet"/>
      <w:lvlText w:val="•"/>
      <w:lvlJc w:val="left"/>
      <w:pPr>
        <w:ind w:left="1094" w:hanging="711"/>
      </w:pPr>
      <w:rPr>
        <w:rFonts w:hint="default"/>
        <w:lang w:val="ru-RU" w:eastAsia="en-US" w:bidi="ar-SA"/>
      </w:rPr>
    </w:lvl>
    <w:lvl w:ilvl="2" w:tplc="5352F9C0">
      <w:numFmt w:val="bullet"/>
      <w:lvlText w:val="•"/>
      <w:lvlJc w:val="left"/>
      <w:pPr>
        <w:ind w:left="2068" w:hanging="711"/>
      </w:pPr>
      <w:rPr>
        <w:rFonts w:hint="default"/>
        <w:lang w:val="ru-RU" w:eastAsia="en-US" w:bidi="ar-SA"/>
      </w:rPr>
    </w:lvl>
    <w:lvl w:ilvl="3" w:tplc="DD80F1AC">
      <w:numFmt w:val="bullet"/>
      <w:lvlText w:val="•"/>
      <w:lvlJc w:val="left"/>
      <w:pPr>
        <w:ind w:left="3043" w:hanging="711"/>
      </w:pPr>
      <w:rPr>
        <w:rFonts w:hint="default"/>
        <w:lang w:val="ru-RU" w:eastAsia="en-US" w:bidi="ar-SA"/>
      </w:rPr>
    </w:lvl>
    <w:lvl w:ilvl="4" w:tplc="F620EBAC">
      <w:numFmt w:val="bullet"/>
      <w:lvlText w:val="•"/>
      <w:lvlJc w:val="left"/>
      <w:pPr>
        <w:ind w:left="4017" w:hanging="711"/>
      </w:pPr>
      <w:rPr>
        <w:rFonts w:hint="default"/>
        <w:lang w:val="ru-RU" w:eastAsia="en-US" w:bidi="ar-SA"/>
      </w:rPr>
    </w:lvl>
    <w:lvl w:ilvl="5" w:tplc="A56245DA">
      <w:numFmt w:val="bullet"/>
      <w:lvlText w:val="•"/>
      <w:lvlJc w:val="left"/>
      <w:pPr>
        <w:ind w:left="4992" w:hanging="711"/>
      </w:pPr>
      <w:rPr>
        <w:rFonts w:hint="default"/>
        <w:lang w:val="ru-RU" w:eastAsia="en-US" w:bidi="ar-SA"/>
      </w:rPr>
    </w:lvl>
    <w:lvl w:ilvl="6" w:tplc="478672A0">
      <w:numFmt w:val="bullet"/>
      <w:lvlText w:val="•"/>
      <w:lvlJc w:val="left"/>
      <w:pPr>
        <w:ind w:left="5966" w:hanging="711"/>
      </w:pPr>
      <w:rPr>
        <w:rFonts w:hint="default"/>
        <w:lang w:val="ru-RU" w:eastAsia="en-US" w:bidi="ar-SA"/>
      </w:rPr>
    </w:lvl>
    <w:lvl w:ilvl="7" w:tplc="C1D6B10E">
      <w:numFmt w:val="bullet"/>
      <w:lvlText w:val="•"/>
      <w:lvlJc w:val="left"/>
      <w:pPr>
        <w:ind w:left="6940" w:hanging="711"/>
      </w:pPr>
      <w:rPr>
        <w:rFonts w:hint="default"/>
        <w:lang w:val="ru-RU" w:eastAsia="en-US" w:bidi="ar-SA"/>
      </w:rPr>
    </w:lvl>
    <w:lvl w:ilvl="8" w:tplc="D3F855BA">
      <w:numFmt w:val="bullet"/>
      <w:lvlText w:val="•"/>
      <w:lvlJc w:val="left"/>
      <w:pPr>
        <w:ind w:left="7915" w:hanging="711"/>
      </w:pPr>
      <w:rPr>
        <w:rFonts w:hint="default"/>
        <w:lang w:val="ru-RU" w:eastAsia="en-US" w:bidi="ar-SA"/>
      </w:rPr>
    </w:lvl>
  </w:abstractNum>
  <w:abstractNum w:abstractNumId="5" w15:restartNumberingAfterBreak="0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abstractNum w:abstractNumId="6" w15:restartNumberingAfterBreak="0">
    <w:nsid w:val="6D180CE8"/>
    <w:multiLevelType w:val="hybridMultilevel"/>
    <w:tmpl w:val="897822A8"/>
    <w:lvl w:ilvl="0" w:tplc="C8E2F968">
      <w:start w:val="1"/>
      <w:numFmt w:val="decimal"/>
      <w:lvlText w:val="%1."/>
      <w:lvlJc w:val="left"/>
      <w:pPr>
        <w:ind w:left="220" w:hanging="260"/>
      </w:pPr>
      <w:rPr>
        <w:rFonts w:ascii="Times New Roman" w:eastAsia="Times New Roman" w:hAnsi="Times New Roman" w:cs="Times New Roman" w:hint="default"/>
        <w:spacing w:val="-3"/>
        <w:w w:val="100"/>
        <w:sz w:val="26"/>
        <w:szCs w:val="26"/>
        <w:lang w:val="ru-RU" w:eastAsia="en-US" w:bidi="ar-SA"/>
      </w:rPr>
    </w:lvl>
    <w:lvl w:ilvl="1" w:tplc="946EA8C6">
      <w:numFmt w:val="bullet"/>
      <w:lvlText w:val="•"/>
      <w:lvlJc w:val="left"/>
      <w:pPr>
        <w:ind w:left="840" w:hanging="260"/>
      </w:pPr>
      <w:rPr>
        <w:rFonts w:hint="default"/>
        <w:lang w:val="ru-RU" w:eastAsia="en-US" w:bidi="ar-SA"/>
      </w:rPr>
    </w:lvl>
    <w:lvl w:ilvl="2" w:tplc="446EBDCC">
      <w:numFmt w:val="bullet"/>
      <w:lvlText w:val="•"/>
      <w:lvlJc w:val="left"/>
      <w:pPr>
        <w:ind w:left="900" w:hanging="260"/>
      </w:pPr>
      <w:rPr>
        <w:rFonts w:hint="default"/>
        <w:lang w:val="ru-RU" w:eastAsia="en-US" w:bidi="ar-SA"/>
      </w:rPr>
    </w:lvl>
    <w:lvl w:ilvl="3" w:tplc="AC76B58C">
      <w:numFmt w:val="bullet"/>
      <w:lvlText w:val="•"/>
      <w:lvlJc w:val="left"/>
      <w:pPr>
        <w:ind w:left="920" w:hanging="260"/>
      </w:pPr>
      <w:rPr>
        <w:rFonts w:hint="default"/>
        <w:lang w:val="ru-RU" w:eastAsia="en-US" w:bidi="ar-SA"/>
      </w:rPr>
    </w:lvl>
    <w:lvl w:ilvl="4" w:tplc="492A2EB4">
      <w:numFmt w:val="bullet"/>
      <w:lvlText w:val="•"/>
      <w:lvlJc w:val="left"/>
      <w:pPr>
        <w:ind w:left="1120" w:hanging="260"/>
      </w:pPr>
      <w:rPr>
        <w:rFonts w:hint="default"/>
        <w:lang w:val="ru-RU" w:eastAsia="en-US" w:bidi="ar-SA"/>
      </w:rPr>
    </w:lvl>
    <w:lvl w:ilvl="5" w:tplc="FA3EBAAA">
      <w:numFmt w:val="bullet"/>
      <w:lvlText w:val="•"/>
      <w:lvlJc w:val="left"/>
      <w:pPr>
        <w:ind w:left="2590" w:hanging="260"/>
      </w:pPr>
      <w:rPr>
        <w:rFonts w:hint="default"/>
        <w:lang w:val="ru-RU" w:eastAsia="en-US" w:bidi="ar-SA"/>
      </w:rPr>
    </w:lvl>
    <w:lvl w:ilvl="6" w:tplc="873209F8">
      <w:numFmt w:val="bullet"/>
      <w:lvlText w:val="•"/>
      <w:lvlJc w:val="left"/>
      <w:pPr>
        <w:ind w:left="4060" w:hanging="260"/>
      </w:pPr>
      <w:rPr>
        <w:rFonts w:hint="default"/>
        <w:lang w:val="ru-RU" w:eastAsia="en-US" w:bidi="ar-SA"/>
      </w:rPr>
    </w:lvl>
    <w:lvl w:ilvl="7" w:tplc="B65ED470">
      <w:numFmt w:val="bullet"/>
      <w:lvlText w:val="•"/>
      <w:lvlJc w:val="left"/>
      <w:pPr>
        <w:ind w:left="5530" w:hanging="260"/>
      </w:pPr>
      <w:rPr>
        <w:rFonts w:hint="default"/>
        <w:lang w:val="ru-RU" w:eastAsia="en-US" w:bidi="ar-SA"/>
      </w:rPr>
    </w:lvl>
    <w:lvl w:ilvl="8" w:tplc="87FE8BE8">
      <w:numFmt w:val="bullet"/>
      <w:lvlText w:val="•"/>
      <w:lvlJc w:val="left"/>
      <w:pPr>
        <w:ind w:left="7000" w:hanging="260"/>
      </w:pPr>
      <w:rPr>
        <w:rFonts w:hint="default"/>
        <w:lang w:val="ru-RU" w:eastAsia="en-US" w:bidi="ar-SA"/>
      </w:rPr>
    </w:lvl>
  </w:abstractNum>
  <w:num w:numId="1" w16cid:durableId="2113547859">
    <w:abstractNumId w:val="2"/>
  </w:num>
  <w:num w:numId="2" w16cid:durableId="1285624836">
    <w:abstractNumId w:val="5"/>
  </w:num>
  <w:num w:numId="3" w16cid:durableId="2128768621">
    <w:abstractNumId w:val="1"/>
  </w:num>
  <w:num w:numId="4" w16cid:durableId="235938927">
    <w:abstractNumId w:val="3"/>
  </w:num>
  <w:num w:numId="5" w16cid:durableId="1053119030">
    <w:abstractNumId w:val="4"/>
  </w:num>
  <w:num w:numId="6" w16cid:durableId="555119631">
    <w:abstractNumId w:val="0"/>
  </w:num>
  <w:num w:numId="7" w16cid:durableId="9308978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585F"/>
    <w:rsid w:val="00042B79"/>
    <w:rsid w:val="000566E7"/>
    <w:rsid w:val="000777D2"/>
    <w:rsid w:val="000B24ED"/>
    <w:rsid w:val="000D2CCE"/>
    <w:rsid w:val="000E4129"/>
    <w:rsid w:val="000F6783"/>
    <w:rsid w:val="001014DA"/>
    <w:rsid w:val="00126A4A"/>
    <w:rsid w:val="0013248E"/>
    <w:rsid w:val="001409F9"/>
    <w:rsid w:val="001443AA"/>
    <w:rsid w:val="0018182C"/>
    <w:rsid w:val="00185CE7"/>
    <w:rsid w:val="00192C8F"/>
    <w:rsid w:val="00194C6A"/>
    <w:rsid w:val="001D63FA"/>
    <w:rsid w:val="001F45D2"/>
    <w:rsid w:val="002031A8"/>
    <w:rsid w:val="002A2177"/>
    <w:rsid w:val="002A732A"/>
    <w:rsid w:val="002B4455"/>
    <w:rsid w:val="002C14B7"/>
    <w:rsid w:val="002D2E8C"/>
    <w:rsid w:val="002F1C11"/>
    <w:rsid w:val="00304938"/>
    <w:rsid w:val="00354509"/>
    <w:rsid w:val="0036345D"/>
    <w:rsid w:val="00390966"/>
    <w:rsid w:val="00392BD0"/>
    <w:rsid w:val="003A408B"/>
    <w:rsid w:val="003A6E63"/>
    <w:rsid w:val="003F6263"/>
    <w:rsid w:val="003F721C"/>
    <w:rsid w:val="00424846"/>
    <w:rsid w:val="00425A75"/>
    <w:rsid w:val="00435761"/>
    <w:rsid w:val="00444FA7"/>
    <w:rsid w:val="00455CF9"/>
    <w:rsid w:val="00461B27"/>
    <w:rsid w:val="00476C58"/>
    <w:rsid w:val="00484925"/>
    <w:rsid w:val="004927B2"/>
    <w:rsid w:val="004B7986"/>
    <w:rsid w:val="004C19CE"/>
    <w:rsid w:val="004D4296"/>
    <w:rsid w:val="004E1809"/>
    <w:rsid w:val="004E7927"/>
    <w:rsid w:val="004F3475"/>
    <w:rsid w:val="004F47E6"/>
    <w:rsid w:val="00511437"/>
    <w:rsid w:val="005246C3"/>
    <w:rsid w:val="00544C33"/>
    <w:rsid w:val="00560337"/>
    <w:rsid w:val="00562DF1"/>
    <w:rsid w:val="0056649B"/>
    <w:rsid w:val="0057317E"/>
    <w:rsid w:val="00573C4D"/>
    <w:rsid w:val="005A2184"/>
    <w:rsid w:val="005A43E6"/>
    <w:rsid w:val="005B3C3F"/>
    <w:rsid w:val="005C0C0A"/>
    <w:rsid w:val="005D4206"/>
    <w:rsid w:val="005E7164"/>
    <w:rsid w:val="00600700"/>
    <w:rsid w:val="00602BA5"/>
    <w:rsid w:val="006570D3"/>
    <w:rsid w:val="006719CA"/>
    <w:rsid w:val="006720CD"/>
    <w:rsid w:val="00692DD7"/>
    <w:rsid w:val="00694005"/>
    <w:rsid w:val="00695526"/>
    <w:rsid w:val="006A697A"/>
    <w:rsid w:val="006B7AAC"/>
    <w:rsid w:val="006D35F6"/>
    <w:rsid w:val="006E6D9A"/>
    <w:rsid w:val="006F3BB0"/>
    <w:rsid w:val="006F6507"/>
    <w:rsid w:val="0073334A"/>
    <w:rsid w:val="00744BD6"/>
    <w:rsid w:val="00750DB3"/>
    <w:rsid w:val="007565E9"/>
    <w:rsid w:val="007655B3"/>
    <w:rsid w:val="00771944"/>
    <w:rsid w:val="007756A2"/>
    <w:rsid w:val="00793873"/>
    <w:rsid w:val="007E26DE"/>
    <w:rsid w:val="00805942"/>
    <w:rsid w:val="00807B32"/>
    <w:rsid w:val="00817D55"/>
    <w:rsid w:val="008451EE"/>
    <w:rsid w:val="00856EB8"/>
    <w:rsid w:val="00864AD2"/>
    <w:rsid w:val="00891D22"/>
    <w:rsid w:val="008B4B2C"/>
    <w:rsid w:val="008B6BD8"/>
    <w:rsid w:val="008D5F2B"/>
    <w:rsid w:val="008E67BC"/>
    <w:rsid w:val="008F6F6E"/>
    <w:rsid w:val="009144FA"/>
    <w:rsid w:val="009246D8"/>
    <w:rsid w:val="00940D6E"/>
    <w:rsid w:val="00953BEA"/>
    <w:rsid w:val="0097261A"/>
    <w:rsid w:val="00977EBE"/>
    <w:rsid w:val="009810A0"/>
    <w:rsid w:val="009C0F8A"/>
    <w:rsid w:val="009C48C5"/>
    <w:rsid w:val="009D0A3E"/>
    <w:rsid w:val="009F2144"/>
    <w:rsid w:val="00A1248A"/>
    <w:rsid w:val="00A26638"/>
    <w:rsid w:val="00A355BD"/>
    <w:rsid w:val="00A4063C"/>
    <w:rsid w:val="00A54AA7"/>
    <w:rsid w:val="00A55372"/>
    <w:rsid w:val="00A95B03"/>
    <w:rsid w:val="00AF1EB6"/>
    <w:rsid w:val="00B029B9"/>
    <w:rsid w:val="00B54F95"/>
    <w:rsid w:val="00B61053"/>
    <w:rsid w:val="00B80C70"/>
    <w:rsid w:val="00B93B03"/>
    <w:rsid w:val="00BB607B"/>
    <w:rsid w:val="00BC6C0B"/>
    <w:rsid w:val="00BF26EC"/>
    <w:rsid w:val="00C03710"/>
    <w:rsid w:val="00C16794"/>
    <w:rsid w:val="00C22E8B"/>
    <w:rsid w:val="00C23962"/>
    <w:rsid w:val="00C27047"/>
    <w:rsid w:val="00C44D98"/>
    <w:rsid w:val="00C47054"/>
    <w:rsid w:val="00C61CDB"/>
    <w:rsid w:val="00C930B7"/>
    <w:rsid w:val="00CA06A5"/>
    <w:rsid w:val="00CE071A"/>
    <w:rsid w:val="00D03F97"/>
    <w:rsid w:val="00D305C2"/>
    <w:rsid w:val="00D764AB"/>
    <w:rsid w:val="00D96BE2"/>
    <w:rsid w:val="00DB3294"/>
    <w:rsid w:val="00DB7C53"/>
    <w:rsid w:val="00DF7CA7"/>
    <w:rsid w:val="00E01E1F"/>
    <w:rsid w:val="00E04349"/>
    <w:rsid w:val="00E12920"/>
    <w:rsid w:val="00E23D85"/>
    <w:rsid w:val="00E46227"/>
    <w:rsid w:val="00E63F02"/>
    <w:rsid w:val="00E87E89"/>
    <w:rsid w:val="00EA45FF"/>
    <w:rsid w:val="00EA5D88"/>
    <w:rsid w:val="00EA782C"/>
    <w:rsid w:val="00EB29B4"/>
    <w:rsid w:val="00ED32F9"/>
    <w:rsid w:val="00ED4603"/>
    <w:rsid w:val="00EF1E71"/>
    <w:rsid w:val="00EF4492"/>
    <w:rsid w:val="00F02A3F"/>
    <w:rsid w:val="00F04E68"/>
    <w:rsid w:val="00F11385"/>
    <w:rsid w:val="00F6585F"/>
    <w:rsid w:val="00F81FC5"/>
    <w:rsid w:val="00FC12E2"/>
    <w:rsid w:val="00FD6485"/>
    <w:rsid w:val="00FD6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98A78"/>
  <w15:docId w15:val="{7D69ADD1-325E-409B-8B7A-889B3BAD3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2184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rsid w:val="005A2184"/>
    <w:pPr>
      <w:spacing w:before="149"/>
      <w:ind w:left="930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rsid w:val="005A2184"/>
    <w:pPr>
      <w:spacing w:before="64"/>
      <w:ind w:left="220" w:right="352" w:firstLine="710"/>
      <w:jc w:val="both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uiPriority w:val="9"/>
    <w:unhideWhenUsed/>
    <w:qFormat/>
    <w:rsid w:val="005A2184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paragraph" w:styleId="4">
    <w:name w:val="heading 4"/>
    <w:basedOn w:val="a"/>
    <w:uiPriority w:val="9"/>
    <w:unhideWhenUsed/>
    <w:qFormat/>
    <w:rsid w:val="005A2184"/>
    <w:pPr>
      <w:ind w:left="118"/>
      <w:outlineLvl w:val="3"/>
    </w:pPr>
    <w:rPr>
      <w:rFonts w:ascii="Georgia" w:eastAsia="Georgia" w:hAnsi="Georgia" w:cs="Georgia"/>
      <w:b/>
      <w:bCs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218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5A2184"/>
    <w:rPr>
      <w:rFonts w:ascii="Georgia" w:eastAsia="Georgia" w:hAnsi="Georgia" w:cs="Georgia"/>
      <w:sz w:val="24"/>
      <w:szCs w:val="24"/>
    </w:rPr>
  </w:style>
  <w:style w:type="paragraph" w:styleId="a4">
    <w:name w:val="List Paragraph"/>
    <w:basedOn w:val="a"/>
    <w:uiPriority w:val="1"/>
    <w:qFormat/>
    <w:rsid w:val="005A2184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5A2184"/>
  </w:style>
  <w:style w:type="character" w:customStyle="1" w:styleId="wmi-callto">
    <w:name w:val="wmi-callto"/>
    <w:basedOn w:val="a0"/>
    <w:rsid w:val="005D4206"/>
  </w:style>
  <w:style w:type="paragraph" w:styleId="a5">
    <w:name w:val="Balloon Text"/>
    <w:basedOn w:val="a"/>
    <w:link w:val="a6"/>
    <w:uiPriority w:val="99"/>
    <w:semiHidden/>
    <w:unhideWhenUsed/>
    <w:rsid w:val="008451EE"/>
    <w:pPr>
      <w:widowControl/>
      <w:autoSpaceDE/>
      <w:autoSpaceDN/>
    </w:pPr>
    <w:rPr>
      <w:rFonts w:ascii="Tahoma" w:eastAsiaTheme="minorHAns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51EE"/>
    <w:rPr>
      <w:rFonts w:ascii="Tahoma" w:hAnsi="Tahoma" w:cs="Tahoma"/>
      <w:sz w:val="16"/>
      <w:szCs w:val="16"/>
      <w:lang w:val="ru-RU"/>
    </w:rPr>
  </w:style>
  <w:style w:type="table" w:styleId="a7">
    <w:name w:val="Table Grid"/>
    <w:basedOn w:val="a1"/>
    <w:uiPriority w:val="59"/>
    <w:rsid w:val="004D42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Placeholder Text"/>
    <w:basedOn w:val="a0"/>
    <w:uiPriority w:val="99"/>
    <w:semiHidden/>
    <w:rsid w:val="002B4455"/>
    <w:rPr>
      <w:color w:val="808080"/>
    </w:rPr>
  </w:style>
  <w:style w:type="paragraph" w:styleId="a9">
    <w:name w:val="footnote text"/>
    <w:basedOn w:val="a"/>
    <w:link w:val="aa"/>
    <w:uiPriority w:val="99"/>
    <w:semiHidden/>
    <w:unhideWhenUsed/>
    <w:rsid w:val="006A697A"/>
    <w:pPr>
      <w:widowControl/>
      <w:autoSpaceDE/>
      <w:autoSpaceDN/>
    </w:pPr>
    <w:rPr>
      <w:rFonts w:asciiTheme="minorHAnsi" w:hAnsiTheme="minorHAnsi"/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6A697A"/>
    <w:rPr>
      <w:rFonts w:eastAsia="Times New Roman" w:cs="Times New Roman"/>
      <w:sz w:val="20"/>
      <w:szCs w:val="20"/>
      <w:lang w:val="ru-RU"/>
    </w:rPr>
  </w:style>
  <w:style w:type="character" w:styleId="ab">
    <w:name w:val="footnote reference"/>
    <w:basedOn w:val="a0"/>
    <w:uiPriority w:val="99"/>
    <w:semiHidden/>
    <w:unhideWhenUsed/>
    <w:rsid w:val="006A697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931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contents.asp?id=3366561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4B77AF-F86B-4A09-90F2-A20EEB647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5</Pages>
  <Words>1794</Words>
  <Characters>10227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eup</dc:creator>
  <cp:lastModifiedBy>Патракеева Ольга</cp:lastModifiedBy>
  <cp:revision>135</cp:revision>
  <dcterms:created xsi:type="dcterms:W3CDTF">2022-05-18T12:48:00Z</dcterms:created>
  <dcterms:modified xsi:type="dcterms:W3CDTF">2023-06-17T15:52:00Z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Writer</vt:lpwstr>
  </property>
  <property fmtid="{D5CDD505-2E9C-101B-9397-08002B2CF9AE}" pid="4" name="LastSaved">
    <vt:filetime>2022-05-13T00:00:00Z</vt:filetime>
  </property>
</Properties>
</file>