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6355" w:rsidRPr="00136AF2" w:rsidRDefault="00986355" w:rsidP="00D575D0">
      <w:pPr>
        <w:spacing w:after="0" w:line="240" w:lineRule="auto"/>
        <w:rPr>
          <w:rFonts w:ascii="Times New Roman" w:eastAsia="Courier New" w:hAnsi="Times New Roman" w:cs="Courier New"/>
          <w:b/>
          <w:color w:val="000000"/>
          <w:sz w:val="24"/>
        </w:rPr>
      </w:pPr>
      <w:r w:rsidRPr="00136AF2">
        <w:rPr>
          <w:rFonts w:ascii="Times New Roman" w:eastAsia="Courier New" w:hAnsi="Times New Roman" w:cs="Courier New"/>
          <w:b/>
          <w:color w:val="000000"/>
          <w:sz w:val="24"/>
        </w:rPr>
        <w:t xml:space="preserve">Индекс </w:t>
      </w:r>
      <w:r w:rsidR="00C37489">
        <w:rPr>
          <w:rFonts w:ascii="Times New Roman" w:eastAsia="Courier New" w:hAnsi="Times New Roman" w:cs="Courier New"/>
          <w:b/>
          <w:color w:val="000000"/>
          <w:sz w:val="24"/>
        </w:rPr>
        <w:t>338</w:t>
      </w:r>
      <w:r w:rsidRPr="00136AF2">
        <w:rPr>
          <w:rFonts w:ascii="Times New Roman" w:eastAsia="Courier New" w:hAnsi="Times New Roman" w:cs="Courier New"/>
          <w:b/>
          <w:color w:val="000000"/>
          <w:sz w:val="24"/>
        </w:rPr>
        <w:t>/</w:t>
      </w:r>
      <w:r w:rsidR="00C37489">
        <w:rPr>
          <w:rFonts w:ascii="Times New Roman" w:eastAsia="Courier New" w:hAnsi="Times New Roman" w:cs="Courier New"/>
          <w:b/>
          <w:color w:val="000000"/>
          <w:sz w:val="24"/>
        </w:rPr>
        <w:t>65.05</w:t>
      </w:r>
    </w:p>
    <w:p w:rsidR="00F115BB" w:rsidRPr="00136AF2" w:rsidRDefault="00986355" w:rsidP="004856F4">
      <w:pPr>
        <w:spacing w:after="0" w:line="240" w:lineRule="auto"/>
        <w:jc w:val="right"/>
        <w:rPr>
          <w:rFonts w:ascii="Times New Roman" w:eastAsia="Courier New" w:hAnsi="Times New Roman" w:cs="Courier New"/>
          <w:b/>
          <w:color w:val="000000"/>
          <w:sz w:val="24"/>
        </w:rPr>
      </w:pPr>
      <w:r>
        <w:rPr>
          <w:rFonts w:ascii="Times New Roman" w:eastAsia="Courier New" w:hAnsi="Times New Roman" w:cs="Courier New"/>
          <w:b/>
          <w:color w:val="000000"/>
          <w:sz w:val="24"/>
        </w:rPr>
        <w:t>Имамвердиева М.И.</w:t>
      </w:r>
    </w:p>
    <w:p w:rsidR="00986355" w:rsidRPr="00E8015D" w:rsidRDefault="00F115BB" w:rsidP="00E8015D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>ТРАНСФОРМАЦИОННО-АДАПТАЦИОННЫЙ ПОТЕНЦИАЛ</w:t>
      </w:r>
      <w:r w:rsidR="00E8015D">
        <w:rPr>
          <w:rFonts w:ascii="Times New Roman" w:hAnsi="Times New Roman" w:cs="Times New Roman"/>
          <w:b/>
          <w:sz w:val="24"/>
          <w:szCs w:val="24"/>
        </w:rPr>
        <w:t xml:space="preserve"> КАК КЛЮЧЕВОЙ ЭЛЕМЕНТ РЕАЛИЗАЦИИ УСТОЙЧИВОГО РАЗВИТИЯ ПРЕДПРИЯТИЙ</w:t>
      </w:r>
    </w:p>
    <w:p w:rsidR="00121A37" w:rsidRDefault="00121A37" w:rsidP="00986355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color w:val="000000"/>
          <w:sz w:val="24"/>
          <w:u w:val="single"/>
        </w:rPr>
      </w:pPr>
    </w:p>
    <w:p w:rsidR="00986355" w:rsidRPr="00136AF2" w:rsidRDefault="00986355" w:rsidP="00986355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</w:rPr>
      </w:pPr>
      <w:r w:rsidRPr="004B56C1">
        <w:rPr>
          <w:rFonts w:ascii="Times New Roman" w:eastAsia="Courier New" w:hAnsi="Times New Roman" w:cs="Courier New"/>
          <w:b/>
          <w:i/>
          <w:color w:val="000000"/>
          <w:sz w:val="24"/>
        </w:rPr>
        <w:t>Аннотация</w:t>
      </w:r>
      <w:r w:rsidR="004B56C1" w:rsidRPr="004B56C1">
        <w:rPr>
          <w:rFonts w:ascii="Times New Roman" w:eastAsia="Courier New" w:hAnsi="Times New Roman" w:cs="Courier New"/>
          <w:b/>
          <w:i/>
          <w:color w:val="000000"/>
          <w:sz w:val="24"/>
        </w:rPr>
        <w:t>.</w:t>
      </w:r>
      <w:r w:rsidR="004B56C1">
        <w:rPr>
          <w:rFonts w:ascii="Times New Roman" w:eastAsia="Courier New" w:hAnsi="Times New Roman" w:cs="Courier New"/>
          <w:b/>
          <w:color w:val="000000"/>
          <w:sz w:val="24"/>
        </w:rPr>
        <w:t xml:space="preserve"> </w:t>
      </w:r>
      <w:r w:rsidR="000D5BC8">
        <w:rPr>
          <w:rFonts w:ascii="Times New Roman" w:eastAsia="Courier New" w:hAnsi="Times New Roman" w:cs="Courier New"/>
          <w:i/>
          <w:color w:val="000000"/>
          <w:sz w:val="24"/>
        </w:rPr>
        <w:t>В статье рассмотрены теоретические аспекты становления категории «Устойчивое развитие» и ключевой элемент концепции –</w:t>
      </w:r>
      <w:r w:rsidR="007C59F1">
        <w:rPr>
          <w:rFonts w:ascii="Times New Roman" w:eastAsia="Courier New" w:hAnsi="Times New Roman" w:cs="Courier New"/>
          <w:i/>
          <w:color w:val="000000"/>
          <w:sz w:val="24"/>
        </w:rPr>
        <w:t xml:space="preserve"> транс</w:t>
      </w:r>
      <w:r w:rsidR="000D5BC8">
        <w:rPr>
          <w:rFonts w:ascii="Times New Roman" w:eastAsia="Courier New" w:hAnsi="Times New Roman" w:cs="Courier New"/>
          <w:i/>
          <w:color w:val="000000"/>
          <w:sz w:val="24"/>
        </w:rPr>
        <w:t xml:space="preserve">формационно-адаптационный потенциал. Классифицированы основные подходы к </w:t>
      </w:r>
      <w:r w:rsidR="00EB69DB">
        <w:rPr>
          <w:rFonts w:ascii="Times New Roman" w:eastAsia="Courier New" w:hAnsi="Times New Roman" w:cs="Courier New"/>
          <w:i/>
          <w:color w:val="000000"/>
          <w:sz w:val="24"/>
        </w:rPr>
        <w:t>трансформационно-адаптационному потенциалу</w:t>
      </w:r>
      <w:r w:rsidR="000D5BC8">
        <w:rPr>
          <w:rFonts w:ascii="Times New Roman" w:eastAsia="Courier New" w:hAnsi="Times New Roman" w:cs="Courier New"/>
          <w:i/>
          <w:color w:val="000000"/>
          <w:sz w:val="24"/>
        </w:rPr>
        <w:t xml:space="preserve">, что позволяет идентифицировать </w:t>
      </w:r>
      <w:r w:rsidR="00EB69DB">
        <w:rPr>
          <w:rFonts w:ascii="Times New Roman" w:eastAsia="Courier New" w:hAnsi="Times New Roman" w:cs="Courier New"/>
          <w:i/>
          <w:color w:val="000000"/>
          <w:sz w:val="24"/>
        </w:rPr>
        <w:t>его содержательную часть.</w:t>
      </w:r>
    </w:p>
    <w:p w:rsidR="00986355" w:rsidRPr="004B56C1" w:rsidRDefault="00986355" w:rsidP="00986355">
      <w:pPr>
        <w:spacing w:after="0" w:line="240" w:lineRule="auto"/>
        <w:ind w:firstLine="709"/>
        <w:jc w:val="both"/>
        <w:rPr>
          <w:rFonts w:ascii="Times New Roman" w:eastAsia="Courier New" w:hAnsi="Times New Roman" w:cs="Courier New"/>
          <w:i/>
          <w:color w:val="000000"/>
          <w:sz w:val="24"/>
        </w:rPr>
      </w:pPr>
      <w:r w:rsidRPr="004B56C1">
        <w:rPr>
          <w:rFonts w:ascii="Times New Roman" w:eastAsia="Courier New" w:hAnsi="Times New Roman" w:cs="Courier New"/>
          <w:b/>
          <w:i/>
          <w:color w:val="000000"/>
          <w:sz w:val="24"/>
        </w:rPr>
        <w:t>Ключевые слова</w:t>
      </w:r>
      <w:r w:rsidR="004B56C1" w:rsidRPr="004B56C1">
        <w:rPr>
          <w:rFonts w:ascii="Times New Roman" w:eastAsia="Courier New" w:hAnsi="Times New Roman" w:cs="Courier New"/>
          <w:b/>
          <w:i/>
          <w:color w:val="000000"/>
          <w:sz w:val="24"/>
        </w:rPr>
        <w:t>:</w:t>
      </w:r>
      <w:r w:rsidR="004B56C1">
        <w:rPr>
          <w:rFonts w:ascii="Times New Roman" w:eastAsia="Courier New" w:hAnsi="Times New Roman" w:cs="Courier New"/>
          <w:b/>
          <w:color w:val="000000"/>
          <w:sz w:val="24"/>
        </w:rPr>
        <w:t xml:space="preserve"> </w:t>
      </w:r>
      <w:r w:rsidR="00121A37" w:rsidRPr="004B56C1">
        <w:rPr>
          <w:rFonts w:ascii="Times New Roman" w:eastAsia="Courier New" w:hAnsi="Times New Roman" w:cs="Courier New"/>
          <w:i/>
          <w:color w:val="000000"/>
          <w:sz w:val="24"/>
        </w:rPr>
        <w:t xml:space="preserve">устойчивое развитие, </w:t>
      </w:r>
      <w:r w:rsidR="000D5BC8">
        <w:rPr>
          <w:rFonts w:ascii="Times New Roman" w:eastAsia="Courier New" w:hAnsi="Times New Roman" w:cs="Courier New"/>
          <w:i/>
          <w:color w:val="000000"/>
          <w:sz w:val="24"/>
        </w:rPr>
        <w:t>трансформационно-адаптационный потенциал, трансформация</w:t>
      </w:r>
      <w:r w:rsidR="00842FB2">
        <w:rPr>
          <w:rFonts w:ascii="Times New Roman" w:eastAsia="Courier New" w:hAnsi="Times New Roman" w:cs="Courier New"/>
          <w:i/>
          <w:color w:val="000000"/>
          <w:sz w:val="24"/>
        </w:rPr>
        <w:t>, тенденция</w:t>
      </w:r>
      <w:r w:rsidR="000D5BC8">
        <w:rPr>
          <w:rFonts w:ascii="Times New Roman" w:eastAsia="Courier New" w:hAnsi="Times New Roman" w:cs="Courier New"/>
          <w:i/>
          <w:color w:val="000000"/>
          <w:sz w:val="24"/>
        </w:rPr>
        <w:t>.</w:t>
      </w:r>
    </w:p>
    <w:p w:rsidR="002F376C" w:rsidRPr="008E596E" w:rsidRDefault="002F376C" w:rsidP="002F376C">
      <w:pPr>
        <w:ind w:left="-1134"/>
        <w:rPr>
          <w:rFonts w:ascii="Times New Roman" w:hAnsi="Times New Roman" w:cs="Times New Roman"/>
          <w:sz w:val="24"/>
          <w:szCs w:val="24"/>
        </w:rPr>
      </w:pPr>
    </w:p>
    <w:p w:rsidR="009E1F7E" w:rsidRPr="00C30DE8" w:rsidRDefault="009E1F7E" w:rsidP="009E1F7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30DE8">
        <w:rPr>
          <w:rFonts w:ascii="Times New Roman" w:hAnsi="Times New Roman"/>
          <w:color w:val="000000" w:themeColor="text1"/>
          <w:sz w:val="24"/>
          <w:szCs w:val="24"/>
        </w:rPr>
        <w:t>В 1987 году в докладе комиссии ООН прозвучало понятие «Устойчивое развитие» и его определение, акцентирующее внимание на экологическую составляющую, а также сформулированы задачи устойчивого развития. В данном докладе категория, только входящая в нормативный и научно-популярный оборот, была определена как «развитие, при котором нынешние поколения удовлетворяют свои потребности, не ставя под угрозу возможность будущих поколений удовлетворить свои потребности»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842FB2">
        <w:rPr>
          <w:rFonts w:ascii="Times New Roman" w:hAnsi="Times New Roman"/>
          <w:color w:val="000000" w:themeColor="text1"/>
          <w:sz w:val="24"/>
          <w:szCs w:val="24"/>
        </w:rPr>
        <w:t>15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>]</w:t>
      </w:r>
      <w:r w:rsidRPr="00C30DE8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:rsidR="009E1F7E" w:rsidRPr="00C30DE8" w:rsidRDefault="009E1F7E" w:rsidP="009E1F7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Популяризация классического триединого (комплексного) подхода к устойчивому развитию, который актуален и в настоящее время, обусловлена результатами Конференции по окружающей среде и развитию в Рио-де-Жанейро в 1992 г. Согласно основному документы Конференции «Повестке дня на </w:t>
      </w:r>
      <w:r w:rsidRPr="00C30DE8">
        <w:rPr>
          <w:rFonts w:ascii="Times New Roman" w:hAnsi="Times New Roman"/>
          <w:color w:val="000000" w:themeColor="text1"/>
          <w:sz w:val="24"/>
          <w:szCs w:val="24"/>
          <w:lang w:val="en-US"/>
        </w:rPr>
        <w:t>XXI</w:t>
      </w:r>
      <w:r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век» экологические проблемы рассматриваются в совокупности с проблемами социума и экономики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842FB2">
        <w:rPr>
          <w:rFonts w:ascii="Times New Roman" w:hAnsi="Times New Roman"/>
          <w:color w:val="000000" w:themeColor="text1"/>
          <w:sz w:val="24"/>
          <w:szCs w:val="24"/>
        </w:rPr>
        <w:t>14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>]</w:t>
      </w:r>
      <w:r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. </w:t>
      </w:r>
    </w:p>
    <w:p w:rsidR="009E1F7E" w:rsidRPr="00C30DE8" w:rsidRDefault="009E1F7E" w:rsidP="009E1F7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C30DE8">
        <w:rPr>
          <w:rFonts w:ascii="Times New Roman" w:hAnsi="Times New Roman"/>
          <w:color w:val="000000" w:themeColor="text1"/>
          <w:sz w:val="24"/>
          <w:szCs w:val="24"/>
        </w:rPr>
        <w:t>В Декларации тысячелетия ООН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842FB2">
        <w:rPr>
          <w:rFonts w:ascii="Times New Roman" w:hAnsi="Times New Roman"/>
          <w:color w:val="000000" w:themeColor="text1"/>
          <w:sz w:val="24"/>
          <w:szCs w:val="24"/>
        </w:rPr>
        <w:t>3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>]</w:t>
      </w:r>
      <w:r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устойчивое развитие носит триединый характер, проявляющейся в стремлении решать не только проблемы экологии, но и глобальные задачи. В 2002 г. на саммите в г. Йоханнесбурге была принята Декларация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 xml:space="preserve"> [</w:t>
      </w:r>
      <w:r w:rsidR="00842FB2">
        <w:rPr>
          <w:rFonts w:ascii="Times New Roman" w:hAnsi="Times New Roman"/>
          <w:color w:val="000000" w:themeColor="text1"/>
          <w:sz w:val="24"/>
          <w:szCs w:val="24"/>
        </w:rPr>
        <w:t>6</w:t>
      </w:r>
      <w:r w:rsidR="000B23B4" w:rsidRPr="00C30DE8">
        <w:rPr>
          <w:rFonts w:ascii="Times New Roman" w:hAnsi="Times New Roman"/>
          <w:color w:val="000000" w:themeColor="text1"/>
          <w:sz w:val="24"/>
          <w:szCs w:val="24"/>
        </w:rPr>
        <w:t>]</w:t>
      </w:r>
      <w:r w:rsidRPr="00C30DE8">
        <w:rPr>
          <w:rFonts w:ascii="Times New Roman" w:hAnsi="Times New Roman"/>
          <w:color w:val="000000" w:themeColor="text1"/>
          <w:sz w:val="24"/>
          <w:szCs w:val="24"/>
        </w:rPr>
        <w:t>, определяющим фактором которой является принятие мировым сообществом основных принципов устойчивого развития. В 2012 г. на Конференции ООН рассматривались вопросы «зеленой экономики» и координации устойчивого развития на международном уровне. Ключевым фактором популяризации концепции в современных условиях стало принятие Целей устойчивого развития на Конференции ООН в 2015 г.</w:t>
      </w:r>
    </w:p>
    <w:p w:rsidR="009E1F7E" w:rsidRPr="00C30DE8" w:rsidRDefault="009E1F7E" w:rsidP="009E1F7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C30DE8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Логическим следствие акцентирования внимания в Декларациях ООН на устойчивом развитии является постепенное распространение категории в научно-популярной и экономической литературе.</w:t>
      </w:r>
    </w:p>
    <w:p w:rsidR="008E596E" w:rsidRPr="00C30DE8" w:rsidRDefault="008E596E" w:rsidP="008E596E">
      <w:pPr>
        <w:pStyle w:val="Default"/>
        <w:ind w:firstLine="709"/>
        <w:contextualSpacing/>
        <w:jc w:val="both"/>
        <w:rPr>
          <w:color w:val="auto"/>
          <w:shd w:val="clear" w:color="auto" w:fill="FFFFFF"/>
        </w:rPr>
      </w:pPr>
      <w:r w:rsidRPr="00C30DE8">
        <w:rPr>
          <w:color w:val="auto"/>
        </w:rPr>
        <w:t>Пролонгация принципов устойчивого развития пом</w:t>
      </w:r>
      <w:r w:rsidR="00003AC2">
        <w:rPr>
          <w:color w:val="auto"/>
        </w:rPr>
        <w:t>имо экологической составляющей</w:t>
      </w:r>
      <w:r w:rsidRPr="00C30DE8">
        <w:rPr>
          <w:color w:val="auto"/>
        </w:rPr>
        <w:t xml:space="preserve">, в том числе </w:t>
      </w:r>
      <w:r w:rsidR="00003AC2">
        <w:rPr>
          <w:color w:val="auto"/>
        </w:rPr>
        <w:t>эко-инновационного направления</w:t>
      </w:r>
      <w:r w:rsidRPr="00C30DE8">
        <w:rPr>
          <w:color w:val="auto"/>
        </w:rPr>
        <w:t>, и вопросов формирования экономи</w:t>
      </w:r>
      <w:r w:rsidR="00003AC2">
        <w:rPr>
          <w:color w:val="auto"/>
        </w:rPr>
        <w:t>ки замкнутого цикла</w:t>
      </w:r>
      <w:r w:rsidRPr="00C30DE8">
        <w:rPr>
          <w:color w:val="auto"/>
        </w:rPr>
        <w:t>, в различные сферы обусловлена достаточно широким спектром траекторий развития данной категории. В современных реалиях исследуемая концепция рассматривается по следующим направлениям: устойчивость институциональных соглашений и институциональной среды [</w:t>
      </w:r>
      <w:r w:rsidR="00842FB2" w:rsidRPr="00842FB2">
        <w:rPr>
          <w:color w:val="auto"/>
        </w:rPr>
        <w:t>12</w:t>
      </w:r>
      <w:r w:rsidRPr="00C30DE8">
        <w:rPr>
          <w:color w:val="auto"/>
        </w:rPr>
        <w:t>], устойчивое развитие территорий и  городов (новаторский подход к строительству зданий, повышение ур</w:t>
      </w:r>
      <w:r w:rsidR="00003AC2">
        <w:rPr>
          <w:color w:val="auto"/>
        </w:rPr>
        <w:t xml:space="preserve">овня эффективности агломераций), </w:t>
      </w:r>
      <w:r w:rsidRPr="00C30DE8">
        <w:rPr>
          <w:color w:val="auto"/>
        </w:rPr>
        <w:t xml:space="preserve">качественно новый подход к туристическому сектору в аспекте </w:t>
      </w:r>
      <w:r w:rsidRPr="00C30DE8">
        <w:rPr>
          <w:color w:val="auto"/>
          <w:lang w:val="en-US"/>
        </w:rPr>
        <w:t>ESG</w:t>
      </w:r>
      <w:r w:rsidRPr="00C30DE8">
        <w:rPr>
          <w:color w:val="auto"/>
        </w:rPr>
        <w:t xml:space="preserve">-принципов (устойчивый </w:t>
      </w:r>
      <w:r w:rsidR="00003AC2">
        <w:rPr>
          <w:color w:val="auto"/>
        </w:rPr>
        <w:t>туризм)</w:t>
      </w:r>
      <w:r w:rsidRPr="00C30DE8">
        <w:rPr>
          <w:color w:val="auto"/>
          <w:shd w:val="clear" w:color="auto" w:fill="FFFFFF"/>
        </w:rPr>
        <w:t>, строительство, основой которого является экологически и социально-ориентированный подход (устойчивое строительство, у</w:t>
      </w:r>
      <w:r w:rsidR="00003AC2">
        <w:rPr>
          <w:color w:val="auto"/>
          <w:shd w:val="clear" w:color="auto" w:fill="FFFFFF"/>
        </w:rPr>
        <w:t>стойчивые блочные конструкции</w:t>
      </w:r>
      <w:r w:rsidRPr="00C30DE8">
        <w:rPr>
          <w:color w:val="auto"/>
          <w:shd w:val="clear" w:color="auto" w:fill="FFFFFF"/>
        </w:rPr>
        <w:t>, вопросы с</w:t>
      </w:r>
      <w:r w:rsidR="00003AC2">
        <w:rPr>
          <w:color w:val="auto"/>
          <w:shd w:val="clear" w:color="auto" w:fill="FFFFFF"/>
        </w:rPr>
        <w:t>оциальной устойчивости</w:t>
      </w:r>
      <w:r w:rsidRPr="00C30DE8">
        <w:rPr>
          <w:color w:val="auto"/>
          <w:shd w:val="clear" w:color="auto" w:fill="FFFFFF"/>
        </w:rPr>
        <w:t>, кластерный подход, устойчивое развитии в управлении человеческими ресурсами т.д.</w:t>
      </w:r>
    </w:p>
    <w:p w:rsidR="00F115BB" w:rsidRDefault="00572921" w:rsidP="008E596E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Сложность реализации концепции обусловлена не только масштабностью категории, включающей в себя экономику, экологию и социум, но и возможностями адаптации устойчивого развития к деятельности предприятий с учетом специфики функционирования. </w:t>
      </w:r>
    </w:p>
    <w:p w:rsidR="00572921" w:rsidRPr="00F115BB" w:rsidRDefault="00572921" w:rsidP="008E596E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Раскрывая дефиницию «адаптация», следует обратить внимание на ее сопряженность с трансформацией предприятий, деятельность которых преобразуется с учетом внедрения концепции и проявлять свойства адаптивно</w:t>
      </w:r>
      <w:r w:rsidR="00143AD2">
        <w:rPr>
          <w:rFonts w:ascii="Times New Roman" w:hAnsi="Times New Roman" w:cs="Times New Roman"/>
          <w:color w:val="000000" w:themeColor="text1"/>
          <w:sz w:val="24"/>
          <w:szCs w:val="24"/>
        </w:rPr>
        <w:t>сти к внешней и внутренней среде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 в том числе к тенденциям, вызванными рядом воздействующих факторов.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Трансформационно-адаптационный потенциал, как один из сложнейших элементов системы устойчивого развития, представляет собой возможности предприятия быть адаптированным под условия постоянных изменений внешней среды, оказывающей непосредственное влияние на среду внутреннюю.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В экономической литературе категория «адаптационный потенциал» была популяризирована в 1970–1980 годах.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Как отмечают В. С. Лосев и К. Д. Михайленко «адаптация сопряжена с постоянными изменениями в природе самого объекта – его внутренней среды, сформированной за счет продолжительного воздействия внешней, не зависящей от результатов деятельности предприятия»</w:t>
      </w:r>
      <w:r w:rsid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Н. В. Зяблицкая под адаптационным потенциалом понимает «совокупные возможности организации по поводу оптимального использования имеющихся в наличии ресурсов с целью обеспечения ее конкурентоспособности и экономического роста (развития системы) в современных экономических условиях»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115BB" w:rsidRPr="00003AC2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Представители теории непредвиденных обстоятельств </w:t>
      </w:r>
      <w:bookmarkStart w:id="0" w:name="_Hlk115713008"/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  <w:lang w:val="en-US"/>
        </w:rPr>
        <w:t>R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</w:rPr>
        <w:t xml:space="preserve">. 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  <w:lang w:val="en-US"/>
        </w:rPr>
        <w:t>Miles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</w:rPr>
        <w:t xml:space="preserve">, 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  <w:lang w:val="en-US"/>
        </w:rPr>
        <w:t>C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</w:rPr>
        <w:t xml:space="preserve">. 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  <w:lang w:val="en-US"/>
        </w:rPr>
        <w:t>Snow</w:t>
      </w:r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</w:rPr>
        <w:t xml:space="preserve"> </w:t>
      </w:r>
      <w:bookmarkEnd w:id="0"/>
      <w:r w:rsidRPr="00F115BB">
        <w:rPr>
          <w:rFonts w:ascii="Times New Roman" w:eastAsia="MinionPro-Regular" w:hAnsi="Times New Roman" w:cs="Times New Roman"/>
          <w:color w:val="000000" w:themeColor="text1"/>
          <w:sz w:val="24"/>
          <w:szCs w:val="24"/>
        </w:rPr>
        <w:t>определяли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успешность компании ее возможностью и своевременностью органично адаптироваться к условиям окружающей среды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17</w:t>
      </w:r>
      <w:r w:rsidR="00003AC2" w:rsidRPr="00003AC2">
        <w:rPr>
          <w:rFonts w:ascii="Times New Roman" w:hAnsi="Times New Roman" w:cs="Times New Roman"/>
          <w:color w:val="000000" w:themeColor="text1"/>
          <w:sz w:val="24"/>
          <w:szCs w:val="24"/>
        </w:rPr>
        <w:t>].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Экспансивная адаптация, характеризующаяся максимизацией результатов деятельности компаний, прослеживается в трудах представителей неоклассической теории адаптации (А. Маршалл, Р. Пиндайк, Д. Рубинфельд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>
        <w:rPr>
          <w:rFonts w:ascii="Times New Roman" w:hAnsi="Times New Roman" w:cs="Times New Roman"/>
          <w:color w:val="000000" w:themeColor="text1"/>
          <w:sz w:val="24"/>
          <w:szCs w:val="24"/>
        </w:rPr>
        <w:t>9, 13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), которая подразумевает ограничение деятельности предприятия ресурсными, конъюнктурными и технологическими барьерами. По мнению Е. Е. Иродовой и С. П. Кручининой, «адаптационный потенциал реализуется в способности предприятия находить такие соотношения в объемах ресурсов, производства и продаж, которые бы позволили установить цену, максимизирующую прибыль, т. е. органично вписаться в рыночный механизм распределения и перераспределения ресурсов»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Эволюционная теория адаптации (Р. Нельсон, С. Уинтер, Й. Шумпетер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67C3D"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основана на проявлении адаптационных свойств предприятия случайным образом исходя из проявлений внутренней и внешней среды компании, а также конкуренции на конкретном сегменте рынка. </w:t>
      </w:r>
    </w:p>
    <w:p w:rsidR="00F115BB" w:rsidRPr="00F115BB" w:rsidRDefault="00F115BB" w:rsidP="00F115BB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Р. Коузом 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и Д. Нортом</w:t>
      </w:r>
      <w:r w:rsidR="004856F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11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в рамках институциональной теории адаптации отмечается подчиненность минимизации факторов, которые могут отрицательно повлиять на деятельность компании или спровоцировать состояние неопределенности. «Институциональные аспекты адаптации предприятия сводятся здесь к максимально четкой прорисовке правомочий участников, правил и процедур принятия решений, согласованию их целей и интересов, минимизации трансакционных и сопряженных с ними издержек</w:t>
      </w:r>
      <w:r w:rsidR="00123506" w:rsidRPr="001235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23506" w:rsidRPr="00123506"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123506" w:rsidRPr="00F115BB" w:rsidRDefault="00F115BB" w:rsidP="00123506">
      <w:pPr>
        <w:tabs>
          <w:tab w:val="left" w:pos="2268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Понятие «трансформационно-адаптационный потенциал» рассматривается также в рамках «теории стратегической адаптации». Данная теория и идентификации стратегического подхода к деятельности предприятия рассмотрена в работах И. Ансоффа 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>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и Р. Акоффа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267C3D" w:rsidRPr="00267C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о важности адаптации сильных сторон деятельности организации к условиям внешней среды, а также необходимости нивелирования слабых сторон и их постепенной трансформации в преимущества. Окружающая среда рассматривается как фактор становления и развития компании и в закономерном проявлении ее во внутренних факторах, адаптирующихся к внешним вызовам и тенденциям.</w:t>
      </w:r>
    </w:p>
    <w:p w:rsidR="00123506" w:rsidRDefault="00F115BB" w:rsidP="0012350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На основании анализа представленных теорий можно заключить, что понятие «трансформационно-адаптационный потенциал» по отношению к деятельности предприятия</w:t>
      </w:r>
      <w:r w:rsidR="00123506" w:rsidRPr="0012350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23506">
        <w:rPr>
          <w:rFonts w:ascii="Times New Roman" w:hAnsi="Times New Roman" w:cs="Times New Roman"/>
          <w:color w:val="000000" w:themeColor="text1"/>
          <w:sz w:val="24"/>
          <w:szCs w:val="24"/>
        </w:rPr>
        <w:t>м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ожет включать в себя четыре подхода: социально-экономический, организационно-управленческий, стратегический, инно</w:t>
      </w:r>
      <w:r w:rsidR="007F38E9">
        <w:rPr>
          <w:rFonts w:ascii="Times New Roman" w:hAnsi="Times New Roman" w:cs="Times New Roman"/>
          <w:color w:val="000000" w:themeColor="text1"/>
          <w:sz w:val="24"/>
          <w:szCs w:val="24"/>
        </w:rPr>
        <w:t>вационно-технологический (рис. 1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).</w:t>
      </w:r>
    </w:p>
    <w:p w:rsidR="00C30DE8" w:rsidRDefault="00C30DE8" w:rsidP="0012350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30DE8" w:rsidRDefault="00C30DE8" w:rsidP="0012350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30DE8" w:rsidRDefault="00C30DE8" w:rsidP="00123506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30DE8" w:rsidRPr="00F115BB" w:rsidRDefault="00C30DE8" w:rsidP="00C30DE8">
      <w:pPr>
        <w:spacing w:after="0" w:line="240" w:lineRule="auto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lastRenderedPageBreak/>
        <w:drawing>
          <wp:anchor distT="0" distB="0" distL="114300" distR="114300" simplePos="0" relativeHeight="251659264" behindDoc="0" locked="0" layoutInCell="1" allowOverlap="1" wp14:anchorId="597645A6" wp14:editId="295ADF3A">
            <wp:simplePos x="0" y="0"/>
            <wp:positionH relativeFrom="page">
              <wp:posOffset>914400</wp:posOffset>
            </wp:positionH>
            <wp:positionV relativeFrom="paragraph">
              <wp:posOffset>0</wp:posOffset>
            </wp:positionV>
            <wp:extent cx="6119495" cy="5191125"/>
            <wp:effectExtent l="19050" t="0" r="33655" b="0"/>
            <wp:wrapTopAndBottom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Рисунок 1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. Подходы к определению трансформационно-адаптациционного потенциала</w:t>
      </w:r>
    </w:p>
    <w:p w:rsidR="00C30DE8" w:rsidRPr="00842FB2" w:rsidRDefault="00C30DE8" w:rsidP="00C30DE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Источник: составлено автором на основании данных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[</w:t>
      </w:r>
      <w:r w:rsidR="00842FB2" w:rsidRPr="00842FB2">
        <w:rPr>
          <w:rFonts w:ascii="Times New Roman" w:hAnsi="Times New Roman" w:cs="Times New Roman"/>
          <w:color w:val="000000" w:themeColor="text1"/>
          <w:sz w:val="24"/>
          <w:szCs w:val="24"/>
        </w:rPr>
        <w:t>1, 2, 5, 8, 10, 11, 13, 16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]</w:t>
      </w:r>
    </w:p>
    <w:p w:rsidR="00C30DE8" w:rsidRPr="00F115BB" w:rsidRDefault="00C30DE8" w:rsidP="00C30DE8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30DE8" w:rsidRPr="00F115BB" w:rsidRDefault="00C30DE8" w:rsidP="00C30DE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аспекте социально-экономического подхода трансформационно-адаптационный потенциал рассматривается как категория, способствующая реализация экономических интересов субъектов и выстраиванию взаимосвязей между ними. Реализация экономических интересов – естественный процесс функционирования предприятия. Каждый субъект является </w:t>
      </w:r>
      <w:r w:rsidR="00123506"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носителем экономических интересов, которые определяются целеполаганием и причинами повышения эффективности деятельности. При реализации экономических интересов интересы разных субъектов вступают в противоречие, обоснованной разной природой отношений и целей. В данном случае должны быть созданы условия для согласованной реализации интересов всех субъектов, которые положительно сказываются на росте эффективности каждого. При социально-экономическом подходе в равной степени важна адаптация категорий финансового и социального характера, то есть большое внимание уделяется инвестициям в сохранение окружающей среды и социально-значимые категории, так как в долгосрочной перспективе благодаря такому подходу к вложению денежных средств компания адаптирована к вызовам, трендам, а также к изменениям нормативного и лицензионного регулирования.</w:t>
      </w:r>
    </w:p>
    <w:p w:rsidR="00F115BB" w:rsidRPr="00F115BB" w:rsidRDefault="00123506" w:rsidP="00C30DE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Организационно-управленческий подход подразумевает своевременную и эффективную адаптацию предприятия посредством принимаемых управленческих решений и выстраивание логичной и иерархически упорядоченной структуры взаимоотношений на предприятии. В данном аспекте высокую степень важности имеет руководство предприятия, которое на основании достоверно проведенного анализа и методов прогнозирования принимает решения, способствующие своевременной адаптации всех его ресурсов.</w:t>
      </w:r>
    </w:p>
    <w:p w:rsidR="00F115BB" w:rsidRPr="00F115BB" w:rsidRDefault="00F115BB" w:rsidP="00F115BB">
      <w:pPr>
        <w:autoSpaceDE w:val="0"/>
        <w:autoSpaceDN w:val="0"/>
        <w:adjustRightInd w:val="0"/>
        <w:spacing w:line="240" w:lineRule="auto"/>
        <w:ind w:firstLine="709"/>
        <w:contextualSpacing/>
        <w:jc w:val="both"/>
        <w:rPr>
          <w:rFonts w:ascii="Times New Roman" w:eastAsia="TimesNewRomanPSMT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Стратегический подход к трансформационно-адаптационному потенциалу представляет собой выстраивание стратегической развития предприятия с учетом всех изменений и оценки их влияния на его деятельность. </w:t>
      </w:r>
      <w:r w:rsidRPr="00F115BB">
        <w:rPr>
          <w:rFonts w:ascii="Times New Roman" w:eastAsia="TimesNewRomanPSMT" w:hAnsi="Times New Roman" w:cs="Times New Roman"/>
          <w:color w:val="000000" w:themeColor="text1"/>
          <w:sz w:val="24"/>
          <w:szCs w:val="24"/>
        </w:rPr>
        <w:t>Эффективная стратегия предприятия должна включать «точки роста» (перспективные направления) как основы ее эффективного развития. Определение «точек роста» позволяет предприятию реализовывать и адаптировать новые направления деятельности при эффективном функционировании консервативных направлений.</w:t>
      </w:r>
    </w:p>
    <w:p w:rsidR="00F115BB" w:rsidRPr="00F115BB" w:rsidRDefault="00F115BB" w:rsidP="00F115BB">
      <w:pPr>
        <w:autoSpaceDE w:val="0"/>
        <w:autoSpaceDN w:val="0"/>
        <w:adjustRightInd w:val="0"/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eastAsia="TimesNewRomanPSMT" w:hAnsi="Times New Roman" w:cs="Times New Roman"/>
          <w:color w:val="000000" w:themeColor="text1"/>
          <w:sz w:val="24"/>
          <w:szCs w:val="24"/>
        </w:rPr>
        <w:t xml:space="preserve">Стратегия развития предприятия должна быть разработана не только с учетом ресурсных и геополитических особенностей страны, функционирования отрасли, предприятия, но и с учетом инновационных, актуальных направлений развития, которые могут скорректировать и снизить отрицательное влияние кризиса и способствовать эффективной адаптации предприятия </w:t>
      </w: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и выявлению приоритетного вектора развития.</w:t>
      </w:r>
    </w:p>
    <w:p w:rsidR="00F115BB" w:rsidRPr="00F115BB" w:rsidRDefault="00F115BB" w:rsidP="00F115BB">
      <w:pPr>
        <w:autoSpaceDE w:val="0"/>
        <w:autoSpaceDN w:val="0"/>
        <w:adjustRightInd w:val="0"/>
        <w:spacing w:line="240" w:lineRule="auto"/>
        <w:ind w:firstLine="709"/>
        <w:contextualSpacing/>
        <w:jc w:val="both"/>
        <w:rPr>
          <w:rFonts w:ascii="Times New Roman" w:eastAsia="TimesNewRomanPSMT" w:hAnsi="Times New Roman" w:cs="Times New Roman"/>
          <w:color w:val="000000" w:themeColor="text1"/>
          <w:sz w:val="24"/>
          <w:szCs w:val="24"/>
        </w:rPr>
      </w:pPr>
      <w:r w:rsidRPr="00F115BB">
        <w:rPr>
          <w:rFonts w:ascii="Times New Roman" w:eastAsia="TimesNewRomanPSMT" w:hAnsi="Times New Roman" w:cs="Times New Roman"/>
          <w:color w:val="000000" w:themeColor="text1"/>
          <w:sz w:val="24"/>
          <w:szCs w:val="24"/>
        </w:rPr>
        <w:t>Инновационно-технологический подход проявляется в адаптации предприятия к технологиям, способствующим повышению качества управления и конечной продукции, увеличению инвестиционных вложений в новые разработки, целесообразность и экономическую эффективность которых не всегда возможно определить на первоначальном этапе. Предприятие адаптируется к запросам внешней среды, определяет важность этих требований для среды внутренней и принимает решения о целесообразности инвестирования и внедрения инновационных технологий в свою деятельность. Трансформационно-адаптационный потенциал в данном случае способствует внедрению изменений и их практической применимости.</w:t>
      </w:r>
    </w:p>
    <w:p w:rsidR="000D5BC8" w:rsidRDefault="00ED6D70" w:rsidP="000D5B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>Ключевые</w:t>
      </w:r>
      <w:r w:rsidR="000D5B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направления</w:t>
      </w:r>
      <w:r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трансформационно-адаптационного потенциала отражены на рисунке 2.</w:t>
      </w:r>
    </w:p>
    <w:p w:rsidR="004856F4" w:rsidRPr="000D5BC8" w:rsidRDefault="004856F4" w:rsidP="000D5BC8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6D70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0B8E4CB6" wp14:editId="6D21AB78">
            <wp:simplePos x="0" y="0"/>
            <wp:positionH relativeFrom="column">
              <wp:posOffset>-24130</wp:posOffset>
            </wp:positionH>
            <wp:positionV relativeFrom="paragraph">
              <wp:posOffset>228600</wp:posOffset>
            </wp:positionV>
            <wp:extent cx="6048375" cy="3200400"/>
            <wp:effectExtent l="38100" t="0" r="66675" b="19050"/>
            <wp:wrapTopAndBottom/>
            <wp:docPr id="114" name="Схема 11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6D70" w:rsidRPr="00ED6D70" w:rsidRDefault="00ED6D70" w:rsidP="00ED6D7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Рисунок 2. </w:t>
      </w:r>
      <w:r w:rsidR="000D5BC8"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>Ключевые</w:t>
      </w:r>
      <w:r w:rsidR="000D5B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направления</w:t>
      </w:r>
      <w:r w:rsidR="000D5BC8"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трансформационно-адаптационного потенциала </w:t>
      </w:r>
      <w:r w:rsidRPr="00ED6D70">
        <w:rPr>
          <w:rFonts w:ascii="Times New Roman" w:hAnsi="Times New Roman" w:cs="Times New Roman"/>
          <w:color w:val="000000" w:themeColor="text1"/>
          <w:sz w:val="24"/>
          <w:szCs w:val="24"/>
        </w:rPr>
        <w:t>Источник: составлено автором.</w:t>
      </w:r>
    </w:p>
    <w:p w:rsidR="00ED6D70" w:rsidRPr="00F115BB" w:rsidRDefault="00ED6D70" w:rsidP="007F38E9">
      <w:pPr>
        <w:spacing w:after="0" w:line="240" w:lineRule="auto"/>
        <w:ind w:firstLine="709"/>
        <w:contextualSpacing/>
        <w:jc w:val="both"/>
        <w:rPr>
          <w:color w:val="000000" w:themeColor="text1"/>
          <w:sz w:val="24"/>
        </w:rPr>
      </w:pPr>
    </w:p>
    <w:p w:rsidR="002A296D" w:rsidRPr="007206E6" w:rsidRDefault="00F115BB" w:rsidP="00F115BB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/>
          <w:sz w:val="24"/>
        </w:rPr>
      </w:pPr>
      <w:r w:rsidRPr="00F115BB">
        <w:rPr>
          <w:rFonts w:ascii="Times New Roman" w:hAnsi="Times New Roman" w:cs="Times New Roman"/>
          <w:color w:val="000000" w:themeColor="text1"/>
          <w:sz w:val="24"/>
          <w:szCs w:val="24"/>
        </w:rPr>
        <w:t>Сложность реализации транформационно-адаптационного потенциала состоит в идентификации элементов внешней среды, наиболее практически применимых и способствующих наращению качества функционирования организации по разным направлениям и, как следствие, успешной реализации концепции устойчивого развития.</w:t>
      </w:r>
    </w:p>
    <w:p w:rsidR="00986355" w:rsidRDefault="00986355" w:rsidP="00036858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986355" w:rsidRPr="00267C3D" w:rsidRDefault="00986355" w:rsidP="00267C3D">
      <w:pPr>
        <w:pStyle w:val="2"/>
        <w:jc w:val="center"/>
        <w:rPr>
          <w:rFonts w:ascii="Times New Roman" w:eastAsia="Courier New" w:hAnsi="Times New Roman" w:cs="Times New Roman"/>
          <w:b/>
          <w:color w:val="auto"/>
          <w:sz w:val="24"/>
          <w:szCs w:val="24"/>
        </w:rPr>
      </w:pPr>
      <w:r w:rsidRPr="00267C3D">
        <w:rPr>
          <w:rFonts w:ascii="Times New Roman" w:eastAsia="Courier New" w:hAnsi="Times New Roman" w:cs="Times New Roman"/>
          <w:b/>
          <w:color w:val="auto"/>
          <w:sz w:val="24"/>
          <w:szCs w:val="24"/>
        </w:rPr>
        <w:t>Библиографический список</w:t>
      </w:r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1" w:name="_Ref137234042"/>
      <w:r w:rsidRPr="00842FB2">
        <w:rPr>
          <w:bCs/>
          <w:color w:val="000000" w:themeColor="text1"/>
          <w:shd w:val="clear" w:color="auto" w:fill="FFFFFF"/>
        </w:rPr>
        <w:t>Акофф </w:t>
      </w:r>
      <w:r w:rsidRPr="00842FB2">
        <w:rPr>
          <w:color w:val="000000" w:themeColor="text1"/>
          <w:shd w:val="clear" w:color="auto" w:fill="FFFFFF"/>
        </w:rPr>
        <w:t xml:space="preserve">Р.Л. </w:t>
      </w:r>
      <w:r w:rsidRPr="00842FB2">
        <w:rPr>
          <w:bCs/>
          <w:color w:val="000000" w:themeColor="text1"/>
          <w:shd w:val="clear" w:color="auto" w:fill="FFFFFF"/>
        </w:rPr>
        <w:t>Планирование будущего корпорации. М.: Прогресс, 1985. 327 с.</w:t>
      </w:r>
      <w:bookmarkEnd w:id="1"/>
    </w:p>
    <w:p w:rsidR="00143AD2" w:rsidRPr="005B15BF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2" w:name="_Ref137234031"/>
      <w:r w:rsidRPr="005B15BF">
        <w:rPr>
          <w:color w:val="000000" w:themeColor="text1"/>
          <w:shd w:val="clear" w:color="auto" w:fill="FFFFFF"/>
        </w:rPr>
        <w:t>Ансофф И. Стратегическое управление. М.: Экономика, 1989. 519 с.</w:t>
      </w:r>
      <w:bookmarkEnd w:id="2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3" w:name="_Ref137923637"/>
      <w:r w:rsidRPr="005B15BF">
        <w:lastRenderedPageBreak/>
        <w:t xml:space="preserve">Декларация тысячелетия ООН: принята 8 сентября 2000 г., Нью-Йорк. – Текст: электронный. – </w:t>
      </w:r>
      <w:r w:rsidRPr="00842FB2">
        <w:rPr>
          <w:lang w:val="en-US"/>
        </w:rPr>
        <w:t>URL</w:t>
      </w:r>
      <w:r w:rsidRPr="005B15BF">
        <w:t xml:space="preserve">: </w:t>
      </w:r>
      <w:hyperlink r:id="rId17" w:history="1">
        <w:r w:rsidRPr="005B15BF">
          <w:rPr>
            <w:rStyle w:val="a7"/>
          </w:rPr>
          <w:t>https://www.un.org/ru/documents/decl_conv/declarations/summitdecl.shtml</w:t>
        </w:r>
      </w:hyperlink>
      <w:bookmarkEnd w:id="3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4" w:name="_Ref137233883"/>
      <w:r w:rsidRPr="00842FB2">
        <w:rPr>
          <w:color w:val="000000" w:themeColor="text1"/>
          <w:shd w:val="clear" w:color="auto" w:fill="FFFFFF"/>
        </w:rPr>
        <w:t>Зяблицкая Н.В. Адаптационный потенциал как экономическая категория [Электронный ресурс] // Научный журнал НИУ ИТМО. Сер. Экономика и экологический менеджмент. 2012. №</w:t>
      </w:r>
      <w:r w:rsidRPr="00842FB2">
        <w:rPr>
          <w:color w:val="000000" w:themeColor="text1"/>
          <w:shd w:val="clear" w:color="auto" w:fill="FFFFFF"/>
          <w:lang w:val="en-US"/>
        </w:rPr>
        <w:t> </w:t>
      </w:r>
      <w:r w:rsidRPr="00842FB2">
        <w:rPr>
          <w:color w:val="000000" w:themeColor="text1"/>
          <w:shd w:val="clear" w:color="auto" w:fill="FFFFFF"/>
        </w:rPr>
        <w:t xml:space="preserve">1. </w:t>
      </w:r>
      <w:r w:rsidRPr="00842FB2">
        <w:rPr>
          <w:color w:val="000000" w:themeColor="text1"/>
          <w:shd w:val="clear" w:color="auto" w:fill="FFFFFF"/>
          <w:lang w:val="en-US"/>
        </w:rPr>
        <w:t>URL</w:t>
      </w:r>
      <w:r w:rsidRPr="00842FB2">
        <w:rPr>
          <w:color w:val="000000" w:themeColor="text1"/>
          <w:shd w:val="clear" w:color="auto" w:fill="FFFFFF"/>
        </w:rPr>
        <w:t xml:space="preserve">: </w:t>
      </w:r>
      <w:r w:rsidRPr="00842FB2">
        <w:rPr>
          <w:color w:val="000000" w:themeColor="text1"/>
          <w:shd w:val="clear" w:color="auto" w:fill="FFFFFF"/>
          <w:lang w:val="en-US"/>
        </w:rPr>
        <w:t>http</w:t>
      </w:r>
      <w:r w:rsidRPr="00842FB2">
        <w:rPr>
          <w:color w:val="000000" w:themeColor="text1"/>
          <w:shd w:val="clear" w:color="auto" w:fill="FFFFFF"/>
        </w:rPr>
        <w:t>://</w:t>
      </w:r>
      <w:r w:rsidRPr="00842FB2">
        <w:rPr>
          <w:color w:val="000000" w:themeColor="text1"/>
          <w:shd w:val="clear" w:color="auto" w:fill="FFFFFF"/>
          <w:lang w:val="en-US"/>
        </w:rPr>
        <w:t>economics</w:t>
      </w:r>
      <w:r w:rsidRPr="00842FB2">
        <w:rPr>
          <w:color w:val="000000" w:themeColor="text1"/>
          <w:shd w:val="clear" w:color="auto" w:fill="FFFFFF"/>
        </w:rPr>
        <w:t>.</w:t>
      </w:r>
      <w:r w:rsidRPr="00842FB2">
        <w:rPr>
          <w:color w:val="000000" w:themeColor="text1"/>
          <w:shd w:val="clear" w:color="auto" w:fill="FFFFFF"/>
          <w:lang w:val="en-US"/>
        </w:rPr>
        <w:t>itmo</w:t>
      </w:r>
      <w:r w:rsidRPr="00842FB2">
        <w:rPr>
          <w:color w:val="000000" w:themeColor="text1"/>
          <w:shd w:val="clear" w:color="auto" w:fill="FFFFFF"/>
        </w:rPr>
        <w:t>.</w:t>
      </w:r>
      <w:r w:rsidRPr="00842FB2">
        <w:rPr>
          <w:color w:val="000000" w:themeColor="text1"/>
          <w:shd w:val="clear" w:color="auto" w:fill="FFFFFF"/>
          <w:lang w:val="en-US"/>
        </w:rPr>
        <w:t>info</w:t>
      </w:r>
      <w:r w:rsidRPr="00842FB2">
        <w:rPr>
          <w:color w:val="000000" w:themeColor="text1"/>
          <w:shd w:val="clear" w:color="auto" w:fill="FFFFFF"/>
        </w:rPr>
        <w:t>/</w:t>
      </w:r>
      <w:r w:rsidRPr="00842FB2">
        <w:rPr>
          <w:color w:val="000000" w:themeColor="text1"/>
          <w:shd w:val="clear" w:color="auto" w:fill="FFFFFF"/>
          <w:lang w:val="en-US"/>
        </w:rPr>
        <w:t>file</w:t>
      </w:r>
      <w:r w:rsidRPr="00842FB2">
        <w:rPr>
          <w:color w:val="000000" w:themeColor="text1"/>
          <w:shd w:val="clear" w:color="auto" w:fill="FFFFFF"/>
        </w:rPr>
        <w:t>/</w:t>
      </w:r>
      <w:r w:rsidRPr="00842FB2">
        <w:rPr>
          <w:color w:val="000000" w:themeColor="text1"/>
          <w:shd w:val="clear" w:color="auto" w:fill="FFFFFF"/>
          <w:lang w:val="en-US"/>
        </w:rPr>
        <w:t>article</w:t>
      </w:r>
      <w:r w:rsidRPr="00842FB2">
        <w:rPr>
          <w:color w:val="000000" w:themeColor="text1"/>
          <w:shd w:val="clear" w:color="auto" w:fill="FFFFFF"/>
        </w:rPr>
        <w:t>/6773.</w:t>
      </w:r>
      <w:r w:rsidRPr="00842FB2">
        <w:rPr>
          <w:color w:val="000000" w:themeColor="text1"/>
          <w:shd w:val="clear" w:color="auto" w:fill="FFFFFF"/>
          <w:lang w:val="en-US"/>
        </w:rPr>
        <w:t>pdf</w:t>
      </w:r>
      <w:bookmarkEnd w:id="4"/>
      <w:r w:rsidRPr="00842FB2">
        <w:rPr>
          <w:color w:val="000000" w:themeColor="text1"/>
          <w:shd w:val="clear" w:color="auto" w:fill="FFFFFF"/>
        </w:rPr>
        <w:t>.</w:t>
      </w:r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5" w:name="_Ref137234156"/>
      <w:r w:rsidRPr="00842FB2">
        <w:rPr>
          <w:color w:val="000000" w:themeColor="text1"/>
        </w:rPr>
        <w:t>Иродова Е.Е., Кручинина С.П. Адаптационный потенциал экономической организации: обзор точек зрения // Экономика образования. 2009. № 3-2. С. 269–274.</w:t>
      </w:r>
      <w:bookmarkEnd w:id="5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Style w:val="a7"/>
          <w:rFonts w:eastAsiaTheme="minorHAnsi"/>
          <w:color w:val="auto"/>
          <w:u w:val="none"/>
        </w:rPr>
      </w:pPr>
      <w:bookmarkStart w:id="6" w:name="_Ref137923677"/>
      <w:r w:rsidRPr="00842FB2">
        <w:rPr>
          <w:shd w:val="clear" w:color="auto" w:fill="FFFFFF"/>
        </w:rPr>
        <w:t>Йоханнесбургская декларация по устойчивому развитию: принята 4 сентября 2002 г., Йоханнесбург</w:t>
      </w:r>
      <w:r w:rsidRPr="005B15BF">
        <w:t xml:space="preserve">. – Текст: электронный. – </w:t>
      </w:r>
      <w:r w:rsidRPr="00842FB2">
        <w:rPr>
          <w:lang w:val="en-US"/>
        </w:rPr>
        <w:t>URL</w:t>
      </w:r>
      <w:r w:rsidRPr="005B15BF">
        <w:t xml:space="preserve">: </w:t>
      </w:r>
      <w:hyperlink r:id="rId18" w:history="1">
        <w:r w:rsidRPr="005B15BF">
          <w:rPr>
            <w:rStyle w:val="a7"/>
          </w:rPr>
          <w:t>https://www.un.org/ru/documents/decl_conv/declarations/pdf/decl_wssd.pdf</w:t>
        </w:r>
      </w:hyperlink>
      <w:bookmarkEnd w:id="6"/>
    </w:p>
    <w:p w:rsidR="00143AD2" w:rsidRPr="005B15BF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  <w:rPr>
          <w:rFonts w:eastAsiaTheme="minorHAnsi"/>
        </w:rPr>
      </w:pPr>
      <w:bookmarkStart w:id="7" w:name="_Ref137233982"/>
      <w:r w:rsidRPr="005B15BF">
        <w:rPr>
          <w:color w:val="000000" w:themeColor="text1"/>
        </w:rPr>
        <w:t>Коуз Р. Фирма, рынок и право. М.: Новое изд-во, 2007. 224 с.</w:t>
      </w:r>
      <w:bookmarkEnd w:id="7"/>
    </w:p>
    <w:p w:rsidR="00143AD2" w:rsidRPr="005B15BF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</w:tabs>
        <w:contextualSpacing/>
        <w:jc w:val="both"/>
      </w:pPr>
      <w:bookmarkStart w:id="8" w:name="_Ref137233871"/>
      <w:r w:rsidRPr="005B15BF">
        <w:rPr>
          <w:color w:val="000000" w:themeColor="text1"/>
        </w:rPr>
        <w:t>Лосев В.С., Михайленко К.Д. Эволюционная природа устойчивого развития промышленного предприятия: теоретический аспект // Вестник Тихоокеан. гос. ун-та. 2012. № 2. С. 155–164.</w:t>
      </w:r>
      <w:bookmarkEnd w:id="8"/>
    </w:p>
    <w:p w:rsidR="00143AD2" w:rsidRPr="005B15BF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9" w:name="_Ref137233922"/>
      <w:r w:rsidRPr="005B15BF">
        <w:rPr>
          <w:color w:val="000000" w:themeColor="text1"/>
        </w:rPr>
        <w:t>Маршалл А. Принципы экономической науки. М.: Прогресс, 1993. Т. 2. 310 с.</w:t>
      </w:r>
      <w:bookmarkEnd w:id="9"/>
    </w:p>
    <w:p w:rsidR="00143AD2" w:rsidRPr="005B15BF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0" w:name="_Ref137233951"/>
      <w:r w:rsidRPr="005B15BF">
        <w:rPr>
          <w:color w:val="000000" w:themeColor="text1"/>
        </w:rPr>
        <w:t>Нельсон Р., Уинтер С. Дж. Эволюционная теория экономических изменений. М.: Дело, 2002. 535 с.</w:t>
      </w:r>
      <w:bookmarkEnd w:id="10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1" w:name="_Ref137233986"/>
      <w:r w:rsidRPr="00842FB2">
        <w:rPr>
          <w:color w:val="000000" w:themeColor="text1"/>
        </w:rPr>
        <w:t>Норт Д. Институты, институциональные изменения и функционирование экономики. М.: Начала, 1997. 180 с.</w:t>
      </w:r>
      <w:bookmarkEnd w:id="11"/>
    </w:p>
    <w:p w:rsidR="00143AD2" w:rsidRPr="00003AC2" w:rsidRDefault="00143AD2" w:rsidP="00842FB2">
      <w:pPr>
        <w:pStyle w:val="a3"/>
        <w:numPr>
          <w:ilvl w:val="0"/>
          <w:numId w:val="12"/>
        </w:numPr>
        <w:shd w:val="clear" w:color="auto" w:fill="FFFFFF"/>
        <w:tabs>
          <w:tab w:val="left" w:pos="426"/>
          <w:tab w:val="left" w:pos="993"/>
          <w:tab w:val="left" w:pos="1134"/>
        </w:tabs>
        <w:contextualSpacing/>
        <w:jc w:val="both"/>
        <w:rPr>
          <w:rFonts w:eastAsia="MinionPro-Regular"/>
        </w:rPr>
      </w:pPr>
      <w:bookmarkStart w:id="12" w:name="_Ref137924428"/>
      <w:r w:rsidRPr="00003AC2">
        <w:t>Орехова, С. В</w:t>
      </w:r>
      <w:r w:rsidR="005B15BF" w:rsidRPr="00003AC2">
        <w:t xml:space="preserve">. </w:t>
      </w:r>
      <w:r w:rsidRPr="00003AC2">
        <w:t xml:space="preserve">Эмпирическое конструирование институциональной карты российского металлургического комплекса / С. В. Орехова // Вестник Московского университета. </w:t>
      </w:r>
      <w:r w:rsidR="005B15BF" w:rsidRPr="00003AC2">
        <w:t xml:space="preserve">2017. </w:t>
      </w:r>
      <w:r w:rsidRPr="00003AC2">
        <w:t>Серия 6: Экономика. № 4. С. 73-99.</w:t>
      </w:r>
      <w:bookmarkEnd w:id="12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3" w:name="_Ref137233930"/>
      <w:r w:rsidRPr="00842FB2">
        <w:rPr>
          <w:color w:val="000000" w:themeColor="text1"/>
        </w:rPr>
        <w:t>Пиндайк Р., Рубинфельд Д. Микроэкономика. М.: Экономика: Дело, 1992. 510 с.</w:t>
      </w:r>
      <w:bookmarkEnd w:id="13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4" w:name="_Ref137923596"/>
      <w:r w:rsidRPr="005B15BF">
        <w:t xml:space="preserve">Программа ООН «Повестка дня на </w:t>
      </w:r>
      <w:r w:rsidRPr="00842FB2">
        <w:rPr>
          <w:lang w:val="en-US"/>
        </w:rPr>
        <w:t>XXI</w:t>
      </w:r>
      <w:r w:rsidRPr="005B15BF">
        <w:t xml:space="preserve"> век»</w:t>
      </w:r>
      <w:r w:rsidRPr="00842FB2">
        <w:rPr>
          <w:color w:val="000000" w:themeColor="text1"/>
        </w:rPr>
        <w:t xml:space="preserve">. – Текст: электронный. – </w:t>
      </w:r>
      <w:r w:rsidRPr="00842FB2">
        <w:rPr>
          <w:color w:val="000000" w:themeColor="text1"/>
          <w:lang w:val="en-US"/>
        </w:rPr>
        <w:t>URL</w:t>
      </w:r>
      <w:r w:rsidRPr="00842FB2">
        <w:rPr>
          <w:color w:val="000000" w:themeColor="text1"/>
        </w:rPr>
        <w:t xml:space="preserve">: </w:t>
      </w:r>
      <w:hyperlink r:id="rId19" w:history="1">
        <w:r w:rsidRPr="005B15BF">
          <w:rPr>
            <w:rStyle w:val="a7"/>
          </w:rPr>
          <w:t>https://biosafety.igc.by/wp-content/uploads/2021/02/18XXI-Centuary.pdf</w:t>
        </w:r>
      </w:hyperlink>
      <w:bookmarkEnd w:id="14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5" w:name="_Ref137923577"/>
      <w:r w:rsidRPr="005B15BF">
        <w:t>Устойчивое развитие — глобальная программа изменений или крупномасштабная манипуляция?</w:t>
      </w:r>
      <w:r w:rsidRPr="00842FB2">
        <w:rPr>
          <w:color w:val="000000" w:themeColor="text1"/>
        </w:rPr>
        <w:t xml:space="preserve">  – Текст: электронный. – </w:t>
      </w:r>
      <w:r w:rsidRPr="00842FB2">
        <w:rPr>
          <w:color w:val="000000" w:themeColor="text1"/>
          <w:lang w:val="en-US"/>
        </w:rPr>
        <w:t>URL</w:t>
      </w:r>
      <w:r w:rsidRPr="00842FB2">
        <w:rPr>
          <w:color w:val="000000" w:themeColor="text1"/>
        </w:rPr>
        <w:t xml:space="preserve">: </w:t>
      </w:r>
      <w:hyperlink r:id="rId20" w:history="1">
        <w:r w:rsidRPr="005B15BF">
          <w:rPr>
            <w:rStyle w:val="a7"/>
          </w:rPr>
          <w:t>https://russiancouncil.ru/analytics-and-comments/analytics/ustoychivoe-razvitie-globalnaya-programma-izmeneniy-ili-krupnomasshtabnaya-manipulyatsiya/</w:t>
        </w:r>
      </w:hyperlink>
      <w:bookmarkEnd w:id="15"/>
    </w:p>
    <w:p w:rsidR="00143AD2" w:rsidRPr="00842FB2" w:rsidRDefault="00143AD2" w:rsidP="00842FB2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</w:rPr>
      </w:pPr>
      <w:bookmarkStart w:id="16" w:name="_Ref137233961"/>
      <w:r w:rsidRPr="00842FB2">
        <w:rPr>
          <w:color w:val="000000" w:themeColor="text1"/>
        </w:rPr>
        <w:t>Шумпетер Й. Теория экономического развития (исследование предпринимательской прибыли, капитала, кредита, процента и цикла конъюнктуры). М.: Прогресс, 1982. 455 с.</w:t>
      </w:r>
      <w:bookmarkEnd w:id="16"/>
    </w:p>
    <w:p w:rsidR="00143AD2" w:rsidRPr="00EB69DB" w:rsidRDefault="00003AC2" w:rsidP="00EB69DB">
      <w:pPr>
        <w:pStyle w:val="a3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1134"/>
        </w:tabs>
        <w:contextualSpacing/>
        <w:jc w:val="both"/>
        <w:rPr>
          <w:rFonts w:eastAsiaTheme="minorHAnsi"/>
          <w:lang w:val="en-US"/>
        </w:rPr>
      </w:pPr>
      <w:bookmarkStart w:id="17" w:name="_Ref138007025"/>
      <w:r w:rsidRPr="00842FB2">
        <w:rPr>
          <w:lang w:val="en-US"/>
        </w:rPr>
        <w:t>Miles R., Snow C. Fit, failure, and the hall of fame: How companies succeed or fail. New York: Free Press, 1994. 234 r.</w:t>
      </w:r>
      <w:bookmarkStart w:id="18" w:name="_GoBack"/>
      <w:bookmarkEnd w:id="17"/>
      <w:bookmarkEnd w:id="18"/>
    </w:p>
    <w:p w:rsidR="00E8015D" w:rsidRPr="00003AC2" w:rsidRDefault="00E8015D" w:rsidP="00E8015D">
      <w:pPr>
        <w:pStyle w:val="a3"/>
        <w:ind w:left="1069"/>
        <w:contextualSpacing/>
        <w:jc w:val="both"/>
        <w:rPr>
          <w:rFonts w:eastAsiaTheme="minorHAnsi"/>
          <w:lang w:val="en-US"/>
        </w:rPr>
      </w:pPr>
    </w:p>
    <w:p w:rsidR="00986355" w:rsidRPr="00136AF2" w:rsidRDefault="00986355" w:rsidP="00036858">
      <w:pPr>
        <w:spacing w:line="240" w:lineRule="auto"/>
        <w:contextualSpacing/>
        <w:jc w:val="center"/>
        <w:rPr>
          <w:rFonts w:ascii="Times New Roman" w:eastAsia="Calibri" w:hAnsi="Times New Roman" w:cs="Courier New"/>
          <w:b/>
          <w:color w:val="000000"/>
          <w:sz w:val="24"/>
        </w:rPr>
      </w:pPr>
      <w:r w:rsidRPr="00136AF2">
        <w:rPr>
          <w:rFonts w:ascii="Times New Roman" w:eastAsia="Calibri" w:hAnsi="Times New Roman" w:cs="Courier New"/>
          <w:b/>
          <w:color w:val="000000"/>
          <w:sz w:val="24"/>
        </w:rPr>
        <w:t xml:space="preserve">Информация об авторе </w:t>
      </w:r>
    </w:p>
    <w:p w:rsidR="00986355" w:rsidRPr="00F115BB" w:rsidRDefault="00986355" w:rsidP="00036858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86355">
        <w:rPr>
          <w:rFonts w:ascii="Times New Roman" w:hAnsi="Times New Roman" w:cs="Times New Roman"/>
          <w:sz w:val="24"/>
          <w:szCs w:val="24"/>
        </w:rPr>
        <w:t xml:space="preserve">Имамвердиева Марина Ивановна (Россия, Сургут) – </w:t>
      </w:r>
      <w:r w:rsidR="00F67064">
        <w:rPr>
          <w:rFonts w:ascii="Times New Roman" w:hAnsi="Times New Roman" w:cs="Times New Roman"/>
          <w:sz w:val="24"/>
          <w:szCs w:val="24"/>
        </w:rPr>
        <w:t xml:space="preserve">старший </w:t>
      </w:r>
      <w:r w:rsidRPr="00986355">
        <w:rPr>
          <w:rFonts w:ascii="Times New Roman" w:hAnsi="Times New Roman" w:cs="Times New Roman"/>
          <w:sz w:val="24"/>
          <w:szCs w:val="24"/>
        </w:rPr>
        <w:t xml:space="preserve">преподаватель, </w:t>
      </w:r>
      <w:r w:rsidR="00F67064">
        <w:rPr>
          <w:rFonts w:ascii="Times New Roman" w:hAnsi="Times New Roman" w:cs="Times New Roman"/>
          <w:sz w:val="24"/>
          <w:szCs w:val="24"/>
        </w:rPr>
        <w:t xml:space="preserve">кандидат экономических наук, </w:t>
      </w:r>
      <w:r w:rsidRPr="00986355">
        <w:rPr>
          <w:rFonts w:ascii="Times New Roman" w:hAnsi="Times New Roman" w:cs="Times New Roman"/>
          <w:sz w:val="24"/>
          <w:szCs w:val="24"/>
        </w:rPr>
        <w:t>Бюджетное учреждение высшего образования Ханты-Мансийского автономного округа – Югры «Сургутский государственный университет» (</w:t>
      </w:r>
      <w:r>
        <w:rPr>
          <w:rFonts w:ascii="Times New Roman" w:hAnsi="Times New Roman" w:cs="Times New Roman"/>
          <w:sz w:val="24"/>
          <w:szCs w:val="24"/>
        </w:rPr>
        <w:t xml:space="preserve">Россия, 628412, </w:t>
      </w:r>
      <w:r w:rsidRPr="00986355">
        <w:rPr>
          <w:rFonts w:ascii="Times New Roman" w:hAnsi="Times New Roman" w:cs="Times New Roman"/>
          <w:sz w:val="24"/>
          <w:szCs w:val="24"/>
        </w:rPr>
        <w:t>Ханты-Мансийский автономный округ – Югра, г. Сургут, пр. Ленина</w:t>
      </w:r>
      <w:r w:rsidRPr="00F115B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986355">
        <w:rPr>
          <w:rFonts w:ascii="Times New Roman" w:hAnsi="Times New Roman" w:cs="Times New Roman"/>
          <w:sz w:val="24"/>
          <w:szCs w:val="24"/>
        </w:rPr>
        <w:t>д</w:t>
      </w:r>
      <w:r w:rsidRPr="00F115BB">
        <w:rPr>
          <w:rFonts w:ascii="Times New Roman" w:hAnsi="Times New Roman" w:cs="Times New Roman"/>
          <w:sz w:val="24"/>
          <w:szCs w:val="24"/>
          <w:lang w:val="en-US"/>
        </w:rPr>
        <w:t xml:space="preserve">. 1, </w:t>
      </w:r>
      <w:r w:rsidRPr="00D575D0">
        <w:rPr>
          <w:rFonts w:ascii="Times New Roman" w:hAnsi="Times New Roman" w:cs="Times New Roman"/>
          <w:sz w:val="24"/>
          <w:szCs w:val="24"/>
          <w:lang w:val="en-US"/>
        </w:rPr>
        <w:t>imamverdieva</w:t>
      </w:r>
      <w:r w:rsidR="00F115BB">
        <w:rPr>
          <w:rFonts w:ascii="Times New Roman" w:hAnsi="Times New Roman" w:cs="Times New Roman"/>
          <w:sz w:val="24"/>
          <w:szCs w:val="24"/>
        </w:rPr>
        <w:t>.</w:t>
      </w:r>
      <w:r w:rsidRPr="00D575D0">
        <w:rPr>
          <w:rFonts w:ascii="Times New Roman" w:hAnsi="Times New Roman" w:cs="Times New Roman"/>
          <w:sz w:val="24"/>
          <w:szCs w:val="24"/>
          <w:lang w:val="en-US"/>
        </w:rPr>
        <w:t>mi</w:t>
      </w:r>
      <w:r w:rsidRPr="00F115BB">
        <w:rPr>
          <w:rFonts w:ascii="Times New Roman" w:hAnsi="Times New Roman" w:cs="Times New Roman"/>
          <w:sz w:val="24"/>
          <w:szCs w:val="24"/>
          <w:lang w:val="en-US"/>
        </w:rPr>
        <w:t>@</w:t>
      </w:r>
      <w:r w:rsidR="00F115BB">
        <w:rPr>
          <w:rFonts w:ascii="Times New Roman" w:hAnsi="Times New Roman" w:cs="Times New Roman"/>
          <w:sz w:val="24"/>
          <w:szCs w:val="24"/>
          <w:lang w:val="en-US"/>
        </w:rPr>
        <w:t>gmail.com</w:t>
      </w:r>
      <w:r w:rsidRPr="00F115BB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E633FE" w:rsidRPr="00F115BB" w:rsidRDefault="00E633FE" w:rsidP="00F115BB">
      <w:pPr>
        <w:spacing w:line="288" w:lineRule="auto"/>
        <w:rPr>
          <w:rFonts w:ascii="Times New Roman" w:eastAsia="Calibri" w:hAnsi="Times New Roman" w:cs="Courier New"/>
          <w:b/>
          <w:sz w:val="24"/>
          <w:lang w:val="en-US"/>
        </w:rPr>
      </w:pPr>
    </w:p>
    <w:p w:rsidR="00D575D0" w:rsidRPr="00C401AF" w:rsidRDefault="007206E6" w:rsidP="00D575D0">
      <w:pPr>
        <w:spacing w:after="0" w:line="240" w:lineRule="auto"/>
        <w:jc w:val="right"/>
        <w:rPr>
          <w:rFonts w:ascii="Times New Roman" w:eastAsia="Calibri" w:hAnsi="Times New Roman" w:cs="Courier New"/>
          <w:b/>
          <w:sz w:val="24"/>
          <w:lang w:val="en-US"/>
        </w:rPr>
      </w:pPr>
      <w:r w:rsidRPr="00C401AF">
        <w:rPr>
          <w:rFonts w:ascii="Times New Roman" w:eastAsia="Calibri" w:hAnsi="Times New Roman" w:cs="Courier New"/>
          <w:b/>
          <w:sz w:val="24"/>
          <w:lang w:val="en-US"/>
        </w:rPr>
        <w:t>Imamverdieva M.I.</w:t>
      </w:r>
    </w:p>
    <w:p w:rsidR="00E633FE" w:rsidRDefault="005B15BF" w:rsidP="00E633F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5B15BF">
        <w:rPr>
          <w:rFonts w:ascii="Times New Roman" w:hAnsi="Times New Roman" w:cs="Times New Roman"/>
          <w:b/>
          <w:sz w:val="24"/>
          <w:szCs w:val="24"/>
          <w:lang w:val="en-US"/>
        </w:rPr>
        <w:t>TRANSFORMATION AND ADAPTATION POTENTIAL AS A KEY ELEMENT OF THE IMPLEMENTATION OF SUSTAINABLE DEVELOPMENT OF ENTERPRISES</w:t>
      </w:r>
    </w:p>
    <w:p w:rsidR="005B15BF" w:rsidRPr="00842FB2" w:rsidRDefault="005B15BF" w:rsidP="00E633F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  <w:highlight w:val="yellow"/>
          <w:lang w:val="en-US"/>
        </w:rPr>
      </w:pPr>
    </w:p>
    <w:p w:rsidR="00EB69DB" w:rsidRDefault="00842FB2" w:rsidP="00842FB2">
      <w:pPr>
        <w:spacing w:line="240" w:lineRule="auto"/>
        <w:contextualSpacing/>
        <w:jc w:val="both"/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</w:pPr>
      <w:r w:rsidRPr="00842FB2"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t>Annotation.</w:t>
      </w:r>
      <w:r w:rsidRPr="00842FB2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</w:t>
      </w:r>
      <w:r w:rsidR="00EB69DB" w:rsidRPr="00EB69D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The article discusses the theoretical aspects of</w:t>
      </w:r>
      <w:r w:rsidR="00EB69D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the formation of the category Sustainable development</w:t>
      </w:r>
      <w:r w:rsidR="00EB69DB" w:rsidRPr="00EB69D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and the key element - transformational and adaptive potential. The main approaches to the transformation and adaptation potential are classified, which ma</w:t>
      </w:r>
      <w:r w:rsidR="00EB69D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kes it possible to identify </w:t>
      </w:r>
      <w:r w:rsidR="00EB69DB" w:rsidRPr="00EB69D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content part.</w:t>
      </w:r>
    </w:p>
    <w:p w:rsidR="00C401AF" w:rsidRPr="00842FB2" w:rsidRDefault="00842FB2" w:rsidP="00842FB2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2FB2">
        <w:rPr>
          <w:rFonts w:ascii="Times New Roman" w:hAnsi="Times New Roman" w:cs="Times New Roman"/>
          <w:b/>
          <w:i/>
          <w:color w:val="000000"/>
          <w:sz w:val="24"/>
          <w:szCs w:val="24"/>
          <w:lang w:val="en-US"/>
        </w:rPr>
        <w:lastRenderedPageBreak/>
        <w:t xml:space="preserve">Keywords: </w:t>
      </w:r>
      <w:r w:rsidRPr="00842FB2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sustainable development, transformation and adaptation potential, transformation, trends.</w:t>
      </w:r>
    </w:p>
    <w:p w:rsidR="00C37489" w:rsidRPr="0031589E" w:rsidRDefault="00C37489" w:rsidP="00C37489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31589E">
        <w:rPr>
          <w:rFonts w:ascii="Times New Roman" w:eastAsia="Times New Roman" w:hAnsi="Times New Roman"/>
          <w:b/>
          <w:sz w:val="24"/>
          <w:lang w:val="en-US"/>
        </w:rPr>
        <w:t>Information about the author</w:t>
      </w:r>
    </w:p>
    <w:p w:rsidR="00C37489" w:rsidRPr="00D575D0" w:rsidRDefault="00C37489" w:rsidP="00C37489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  <w:r w:rsidRPr="00C37489">
        <w:rPr>
          <w:rFonts w:ascii="Times New Roman" w:eastAsia="Calibri" w:hAnsi="Times New Roman"/>
          <w:sz w:val="24"/>
          <w:lang w:val="en-US"/>
        </w:rPr>
        <w:t xml:space="preserve">Imamverdieva Marina Ivanovna (Russia, Surgut) - </w:t>
      </w:r>
      <w:r w:rsidR="00F67064" w:rsidRPr="00F67064">
        <w:rPr>
          <w:rFonts w:ascii="Times New Roman" w:eastAsia="Calibri" w:hAnsi="Times New Roman"/>
          <w:sz w:val="24"/>
          <w:lang w:val="en-US"/>
        </w:rPr>
        <w:t>Senior Lecturer, PhD in Economics</w:t>
      </w:r>
      <w:r w:rsidRPr="00C37489">
        <w:rPr>
          <w:rFonts w:ascii="Times New Roman" w:eastAsia="Calibri" w:hAnsi="Times New Roman"/>
          <w:sz w:val="24"/>
          <w:lang w:val="en-US"/>
        </w:rPr>
        <w:t xml:space="preserve">, Surgut State University (Russia, 628412, Khanty-Mansiysk Autonomous Okrug - Yugra, Surgut, Lenin Ave., d. 1, </w:t>
      </w:r>
      <w:hyperlink r:id="rId21" w:history="1">
        <w:r w:rsidR="00D575D0" w:rsidRPr="00C15269">
          <w:rPr>
            <w:rStyle w:val="a7"/>
            <w:rFonts w:ascii="Times New Roman" w:eastAsia="Calibri" w:hAnsi="Times New Roman"/>
            <w:sz w:val="24"/>
            <w:lang w:val="en-US"/>
          </w:rPr>
          <w:t>imamverdieva_mi@surgu.ru</w:t>
        </w:r>
      </w:hyperlink>
      <w:r w:rsidRPr="00C37489">
        <w:rPr>
          <w:rFonts w:ascii="Times New Roman" w:eastAsia="Calibri" w:hAnsi="Times New Roman"/>
          <w:sz w:val="24"/>
          <w:lang w:val="en-US"/>
        </w:rPr>
        <w:t>)</w:t>
      </w:r>
      <w:r w:rsidR="00D575D0" w:rsidRPr="00D575D0">
        <w:rPr>
          <w:rFonts w:ascii="Times New Roman" w:eastAsia="Calibri" w:hAnsi="Times New Roman"/>
          <w:sz w:val="24"/>
          <w:lang w:val="en-US"/>
        </w:rPr>
        <w:t>.</w:t>
      </w:r>
    </w:p>
    <w:p w:rsidR="00D575D0" w:rsidRPr="00D575D0" w:rsidRDefault="00D575D0" w:rsidP="00C37489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4"/>
          <w:lang w:val="en-US"/>
        </w:rPr>
      </w:pPr>
    </w:p>
    <w:p w:rsidR="00C37489" w:rsidRPr="00C401AF" w:rsidRDefault="00C37489" w:rsidP="00D575D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lang w:val="en-US"/>
        </w:rPr>
      </w:pPr>
      <w:r w:rsidRPr="00C401AF">
        <w:rPr>
          <w:rFonts w:ascii="Times New Roman" w:eastAsia="Times New Roman" w:hAnsi="Times New Roman"/>
          <w:b/>
          <w:sz w:val="24"/>
          <w:lang w:val="en-US"/>
        </w:rPr>
        <w:t>References</w:t>
      </w:r>
    </w:p>
    <w:p w:rsidR="00003AC2" w:rsidRPr="00003AC2" w:rsidRDefault="00C401AF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401AF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Pr="00C401AF">
        <w:rPr>
          <w:rFonts w:ascii="Times New Roman" w:hAnsi="Times New Roman" w:cs="Times New Roman"/>
          <w:sz w:val="24"/>
          <w:szCs w:val="24"/>
          <w:lang w:val="en-US"/>
        </w:rPr>
        <w:tab/>
      </w:r>
      <w:r w:rsidR="00003AC2" w:rsidRPr="00003AC2">
        <w:rPr>
          <w:rFonts w:ascii="Times New Roman" w:hAnsi="Times New Roman" w:cs="Times New Roman"/>
          <w:sz w:val="24"/>
          <w:szCs w:val="24"/>
          <w:lang w:val="en-US"/>
        </w:rPr>
        <w:t>Akoff R.L. Planirovanie budushhego korporacii. M.: Progress, 1985. 327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Ansoff I. Strategicheskoe upravlenie. M.: E`konomika, 1989. 519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3.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Deklaraciya ty`syacheletiya OON: prinyata 8 sentyabrya 2000 g., N`yu-Jork. – Tekst: e`lektronny`j. – URL: https://www.un.org/ru/documents/decl_conv/declarations/summitdecl.shtml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4.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Zyabliczkaya N.V. Adaptacionny`j potencial kak e`konomicheskaya kategoriya [E`lektronny`j resurs] // Nauchny`j zhurnal NIU ITMO. Ser. E`konomika i e`kologicheskij menedzhment. 2012. № 1. URL: http://economics.itmo.info/file/article/6773.pdf.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Irodova E.E., Kruchinina S.P. Adaptacionny`j potencial e`konomicheskoj organizacii: obzor tochek zreniya // E`konomika obrazovaniya. 2009. № 3-2. S. 269–274.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6.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Joxannesburgskaya deklaraciya po ustojchivomu razvitiyu: prinyata 4 sentyabrya 2002 g., Joxannesburg. – Tekst: e`lektronny`j. – URL: https://www.un.org/ru/documents/decl_conv/declarations/pdf/decl_wssd.pdf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7.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Kouz R. Firma, ry`nok i pravo. M.: Novoe izd-vo, 2007. 224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8.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Losev V.S., Mixajlenko K.D. E`volyucionnaya priroda ustojchivogo razvitiya promy`shlennogo predpriyatiya: teoreticheskij aspekt // Vestnik Tixookean. gos. un-ta. 2012. № 2. S. 155–164.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9.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Marshall A. Principy` e`konomicheskoj nauki. M.: Progress, 1993. T. 2. 310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10.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Nel`son R., Uinter S. Dzh. E`volyucionnaya teoriya e`konomicheskix izmenenij. M.: Delo, 2002. 535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11.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Nort D. Instituty`, institucional`ny`e izmeneniya i funkcionirovanie e`konomiki. M.: Nachala, 1997. 180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12.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Orexova, S. V. E`mpiricheskoe konstruirovanie institucional`noj karty` rossijskogo metallurgicheskogo kompleksa / S. V. Orexova // Vestnik Moskovskogo universiteta. 2017. Seriya 6: E`konomika. № 4. S. 73-99.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13.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Pindajk R., Rubinfel`d D. Mikroe`konomika. M.: E`konomika: Delo, 1992. 510 s.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14.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Programma OON «Povestka dnya na XXI vek». – Tekst: e`lektronny`j. – URL: https://biosafety.igc.by/wp-content/uploads/2021/02/18XXI-Centuary.pdf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15.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Ustojchivoe razvitie — global`naya programma izmenenij ili krupnomasshtabnaya manipulyaciya?  – Tekst: e`lektronny`j. – URL: https://russiancouncil.ru/analytics-and-comments/analytics/ustoychivoe-razvitie-globalnaya-programma-izmeneniy-ili-krupnomasshtabnaya-manipulyatsiya/</w:t>
      </w:r>
    </w:p>
    <w:p w:rsidR="00003AC2" w:rsidRPr="00003AC2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16.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Shumpeter J. Teoriya e`konomicheskogo razvitiya (issledovanie predprinimatel`skoj priby`li, kapitala, kredita, procenta i cikla kon``yunktury`). M.: Progress, 1982. 455 s.</w:t>
      </w:r>
    </w:p>
    <w:p w:rsidR="00C37489" w:rsidRPr="007206E6" w:rsidRDefault="00003AC2" w:rsidP="00003AC2">
      <w:pPr>
        <w:tabs>
          <w:tab w:val="left" w:pos="284"/>
          <w:tab w:val="left" w:pos="1134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03AC2">
        <w:rPr>
          <w:rFonts w:ascii="Times New Roman" w:hAnsi="Times New Roman" w:cs="Times New Roman"/>
          <w:sz w:val="24"/>
          <w:szCs w:val="24"/>
          <w:lang w:val="en-US"/>
        </w:rPr>
        <w:t>17.</w:t>
      </w:r>
      <w:r w:rsidRPr="00003AC2">
        <w:rPr>
          <w:rFonts w:ascii="Times New Roman" w:hAnsi="Times New Roman" w:cs="Times New Roman"/>
          <w:sz w:val="24"/>
          <w:szCs w:val="24"/>
          <w:lang w:val="en-US"/>
        </w:rPr>
        <w:tab/>
        <w:t>Miles R., Snow C. Fit, failure, and the hall of fame: How companies succeed or fail. New York: Free Press, 1994. 234 r.</w:t>
      </w:r>
    </w:p>
    <w:sectPr w:rsidR="00C37489" w:rsidRPr="007206E6" w:rsidSect="00986355">
      <w:pgSz w:w="11909" w:h="16834" w:code="9"/>
      <w:pgMar w:top="1321" w:right="852" w:bottom="357" w:left="1418" w:header="720" w:footer="720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4F94" w:rsidRDefault="00394F94" w:rsidP="00F115BB">
      <w:pPr>
        <w:spacing w:after="0" w:line="240" w:lineRule="auto"/>
      </w:pPr>
      <w:r>
        <w:separator/>
      </w:r>
    </w:p>
  </w:endnote>
  <w:endnote w:type="continuationSeparator" w:id="0">
    <w:p w:rsidR="00394F94" w:rsidRDefault="00394F94" w:rsidP="00F115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inionPro-Regular">
    <w:altName w:val="MS Gothic"/>
    <w:panose1 w:val="00000000000000000000"/>
    <w:charset w:val="80"/>
    <w:family w:val="roman"/>
    <w:notTrueType/>
    <w:pitch w:val="default"/>
    <w:sig w:usb0="00000000" w:usb1="08070000" w:usb2="00000010" w:usb3="00000000" w:csb0="00020000" w:csb1="00000000"/>
  </w:font>
  <w:font w:name="TimesNewRomanPSMT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4F94" w:rsidRDefault="00394F94" w:rsidP="00F115BB">
      <w:pPr>
        <w:spacing w:after="0" w:line="240" w:lineRule="auto"/>
      </w:pPr>
      <w:r>
        <w:separator/>
      </w:r>
    </w:p>
  </w:footnote>
  <w:footnote w:type="continuationSeparator" w:id="0">
    <w:p w:rsidR="00394F94" w:rsidRDefault="00394F94" w:rsidP="00F115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E32F4"/>
    <w:multiLevelType w:val="hybridMultilevel"/>
    <w:tmpl w:val="E718323C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 w15:restartNumberingAfterBreak="0">
    <w:nsid w:val="0A371571"/>
    <w:multiLevelType w:val="hybridMultilevel"/>
    <w:tmpl w:val="B764F9AC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A433DC"/>
    <w:multiLevelType w:val="hybridMultilevel"/>
    <w:tmpl w:val="5C28D4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C7414"/>
    <w:multiLevelType w:val="hybridMultilevel"/>
    <w:tmpl w:val="AC3617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430DC"/>
    <w:multiLevelType w:val="hybridMultilevel"/>
    <w:tmpl w:val="576E8442"/>
    <w:lvl w:ilvl="0" w:tplc="DA5815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AD20E4C"/>
    <w:multiLevelType w:val="hybridMultilevel"/>
    <w:tmpl w:val="0CC8CEEE"/>
    <w:lvl w:ilvl="0" w:tplc="F648EF92">
      <w:start w:val="1"/>
      <w:numFmt w:val="decimal"/>
      <w:lvlText w:val="%1."/>
      <w:lvlJc w:val="left"/>
      <w:pPr>
        <w:ind w:left="1069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1D672B52"/>
    <w:multiLevelType w:val="hybridMultilevel"/>
    <w:tmpl w:val="5CCED35C"/>
    <w:lvl w:ilvl="0" w:tplc="D608A5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E02743B"/>
    <w:multiLevelType w:val="hybridMultilevel"/>
    <w:tmpl w:val="893090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403D04"/>
    <w:multiLevelType w:val="hybridMultilevel"/>
    <w:tmpl w:val="D736AA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76306"/>
    <w:multiLevelType w:val="hybridMultilevel"/>
    <w:tmpl w:val="3634F494"/>
    <w:lvl w:ilvl="0" w:tplc="86281BA6">
      <w:start w:val="1"/>
      <w:numFmt w:val="decimal"/>
      <w:lvlText w:val="%1."/>
      <w:lvlJc w:val="left"/>
      <w:pPr>
        <w:ind w:left="1069" w:hanging="360"/>
      </w:pPr>
      <w:rPr>
        <w:rFonts w:ascii="Times New Roman" w:eastAsia="Times New Roman" w:hAnsi="Times New Roman" w:cs="Times New Roman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 w15:restartNumberingAfterBreak="0">
    <w:nsid w:val="6B322A16"/>
    <w:multiLevelType w:val="hybridMultilevel"/>
    <w:tmpl w:val="9356E8E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79B9783E"/>
    <w:multiLevelType w:val="hybridMultilevel"/>
    <w:tmpl w:val="488A5B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2"/>
  </w:num>
  <w:num w:numId="4">
    <w:abstractNumId w:val="3"/>
  </w:num>
  <w:num w:numId="5">
    <w:abstractNumId w:val="8"/>
  </w:num>
  <w:num w:numId="6">
    <w:abstractNumId w:val="6"/>
  </w:num>
  <w:num w:numId="7">
    <w:abstractNumId w:val="1"/>
  </w:num>
  <w:num w:numId="8">
    <w:abstractNumId w:val="11"/>
  </w:num>
  <w:num w:numId="9">
    <w:abstractNumId w:val="4"/>
  </w:num>
  <w:num w:numId="10">
    <w:abstractNumId w:val="9"/>
  </w:num>
  <w:num w:numId="11">
    <w:abstractNumId w:val="0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376C"/>
    <w:rsid w:val="00003AC2"/>
    <w:rsid w:val="00036858"/>
    <w:rsid w:val="000B23B4"/>
    <w:rsid w:val="000D5BC8"/>
    <w:rsid w:val="00121A37"/>
    <w:rsid w:val="00123506"/>
    <w:rsid w:val="00143AD2"/>
    <w:rsid w:val="00267C3D"/>
    <w:rsid w:val="002A296D"/>
    <w:rsid w:val="002F376C"/>
    <w:rsid w:val="0034336E"/>
    <w:rsid w:val="00367F05"/>
    <w:rsid w:val="00394F94"/>
    <w:rsid w:val="004856F4"/>
    <w:rsid w:val="004B56C1"/>
    <w:rsid w:val="005438F4"/>
    <w:rsid w:val="00572921"/>
    <w:rsid w:val="005906CE"/>
    <w:rsid w:val="005A0B9B"/>
    <w:rsid w:val="005B15BF"/>
    <w:rsid w:val="0061751E"/>
    <w:rsid w:val="006E3E7E"/>
    <w:rsid w:val="007206E6"/>
    <w:rsid w:val="0078198F"/>
    <w:rsid w:val="00793456"/>
    <w:rsid w:val="007C59F1"/>
    <w:rsid w:val="007F38E9"/>
    <w:rsid w:val="00842FB2"/>
    <w:rsid w:val="008A3E5A"/>
    <w:rsid w:val="008E596E"/>
    <w:rsid w:val="00986355"/>
    <w:rsid w:val="009B4DD4"/>
    <w:rsid w:val="009C563B"/>
    <w:rsid w:val="009E1F7E"/>
    <w:rsid w:val="00AF176C"/>
    <w:rsid w:val="00C30DE8"/>
    <w:rsid w:val="00C37489"/>
    <w:rsid w:val="00C401AF"/>
    <w:rsid w:val="00C65887"/>
    <w:rsid w:val="00CE4FB6"/>
    <w:rsid w:val="00D04EC7"/>
    <w:rsid w:val="00D575D0"/>
    <w:rsid w:val="00D77F91"/>
    <w:rsid w:val="00E633FE"/>
    <w:rsid w:val="00E8015D"/>
    <w:rsid w:val="00EB69DB"/>
    <w:rsid w:val="00ED6D70"/>
    <w:rsid w:val="00F115BB"/>
    <w:rsid w:val="00F14515"/>
    <w:rsid w:val="00F6102C"/>
    <w:rsid w:val="00F67064"/>
    <w:rsid w:val="00F72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EB0C7"/>
  <w15:chartTrackingRefBased/>
  <w15:docId w15:val="{76B1DEFD-CED2-470B-ACFA-C82C18424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E8015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2F376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Абзац списка Знак"/>
    <w:link w:val="a3"/>
    <w:uiPriority w:val="34"/>
    <w:locked/>
    <w:rsid w:val="002F376C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">
    <w:name w:val="Обычный1"/>
    <w:basedOn w:val="a0"/>
    <w:rsid w:val="002F376C"/>
  </w:style>
  <w:style w:type="paragraph" w:styleId="a5">
    <w:name w:val="Normal (Web)"/>
    <w:basedOn w:val="a"/>
    <w:uiPriority w:val="99"/>
    <w:unhideWhenUsed/>
    <w:rsid w:val="009863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Emphasis"/>
    <w:basedOn w:val="a0"/>
    <w:uiPriority w:val="20"/>
    <w:qFormat/>
    <w:rsid w:val="00986355"/>
    <w:rPr>
      <w:i/>
      <w:iCs/>
    </w:rPr>
  </w:style>
  <w:style w:type="character" w:styleId="a7">
    <w:name w:val="Hyperlink"/>
    <w:basedOn w:val="a0"/>
    <w:uiPriority w:val="99"/>
    <w:unhideWhenUsed/>
    <w:rsid w:val="00121A37"/>
    <w:rPr>
      <w:color w:val="0563C1" w:themeColor="hyperlink"/>
      <w:u w:val="single"/>
    </w:rPr>
  </w:style>
  <w:style w:type="paragraph" w:customStyle="1" w:styleId="Default">
    <w:name w:val="Default"/>
    <w:rsid w:val="004B56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7206E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7206E6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7206E6"/>
  </w:style>
  <w:style w:type="paragraph" w:customStyle="1" w:styleId="a8">
    <w:name w:val="Стандарт"/>
    <w:basedOn w:val="a"/>
    <w:link w:val="a9"/>
    <w:qFormat/>
    <w:rsid w:val="00F115BB"/>
    <w:pPr>
      <w:spacing w:after="0" w:line="360" w:lineRule="auto"/>
      <w:ind w:firstLine="709"/>
      <w:contextualSpacing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9">
    <w:name w:val="Стандарт Знак"/>
    <w:basedOn w:val="a0"/>
    <w:link w:val="a8"/>
    <w:rsid w:val="00F115BB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footnote text"/>
    <w:basedOn w:val="a"/>
    <w:link w:val="ab"/>
    <w:uiPriority w:val="99"/>
    <w:unhideWhenUsed/>
    <w:rsid w:val="00F115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b">
    <w:name w:val="Текст сноски Знак"/>
    <w:basedOn w:val="a0"/>
    <w:link w:val="aa"/>
    <w:uiPriority w:val="99"/>
    <w:rsid w:val="00F115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footnote reference"/>
    <w:basedOn w:val="a0"/>
    <w:uiPriority w:val="99"/>
    <w:semiHidden/>
    <w:unhideWhenUsed/>
    <w:rsid w:val="00F115BB"/>
    <w:rPr>
      <w:vertAlign w:val="superscript"/>
    </w:rPr>
  </w:style>
  <w:style w:type="character" w:customStyle="1" w:styleId="20">
    <w:name w:val="Заголовок 2 Знак"/>
    <w:basedOn w:val="a0"/>
    <w:link w:val="2"/>
    <w:uiPriority w:val="9"/>
    <w:rsid w:val="00E8015D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d">
    <w:name w:val="annotation reference"/>
    <w:basedOn w:val="a0"/>
    <w:uiPriority w:val="99"/>
    <w:semiHidden/>
    <w:unhideWhenUsed/>
    <w:rsid w:val="00267C3D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67C3D"/>
    <w:pPr>
      <w:spacing w:line="240" w:lineRule="auto"/>
    </w:pPr>
    <w:rPr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semiHidden/>
    <w:rsid w:val="00267C3D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267C3D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semiHidden/>
    <w:rsid w:val="00267C3D"/>
    <w:rPr>
      <w:b/>
      <w:bCs/>
      <w:sz w:val="20"/>
      <w:szCs w:val="20"/>
    </w:rPr>
  </w:style>
  <w:style w:type="paragraph" w:styleId="af2">
    <w:name w:val="Balloon Text"/>
    <w:basedOn w:val="a"/>
    <w:link w:val="af3"/>
    <w:uiPriority w:val="99"/>
    <w:semiHidden/>
    <w:unhideWhenUsed/>
    <w:rsid w:val="00267C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267C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35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6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diagramLayout" Target="diagrams/layout2.xml"/><Relationship Id="rId18" Type="http://schemas.openxmlformats.org/officeDocument/2006/relationships/hyperlink" Target="https://www.un.org/ru/documents/decl_conv/declarations/pdf/decl_wssd.pdf" TargetMode="External"/><Relationship Id="rId3" Type="http://schemas.openxmlformats.org/officeDocument/2006/relationships/settings" Target="settings.xml"/><Relationship Id="rId21" Type="http://schemas.openxmlformats.org/officeDocument/2006/relationships/hyperlink" Target="mailto:imamverdieva_mi@surgu.ru" TargetMode="External"/><Relationship Id="rId7" Type="http://schemas.openxmlformats.org/officeDocument/2006/relationships/diagramData" Target="diagrams/data1.xml"/><Relationship Id="rId12" Type="http://schemas.openxmlformats.org/officeDocument/2006/relationships/diagramData" Target="diagrams/data2.xml"/><Relationship Id="rId17" Type="http://schemas.openxmlformats.org/officeDocument/2006/relationships/hyperlink" Target="https://www.un.org/ru/documents/decl_conv/declarations/summitdecl.shtml" TargetMode="External"/><Relationship Id="rId2" Type="http://schemas.openxmlformats.org/officeDocument/2006/relationships/styles" Target="styles.xml"/><Relationship Id="rId16" Type="http://schemas.microsoft.com/office/2007/relationships/diagramDrawing" Target="diagrams/drawing2.xml"/><Relationship Id="rId20" Type="http://schemas.openxmlformats.org/officeDocument/2006/relationships/hyperlink" Target="https://russiancouncil.ru/analytics-and-comments/analytics/ustoychivoe-razvitie-globalnaya-programma-izmeneniy-ili-krupnomasshtabnaya-manipulyatsiya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diagramDrawing" Target="diagrams/drawing1.xml"/><Relationship Id="rId5" Type="http://schemas.openxmlformats.org/officeDocument/2006/relationships/footnotes" Target="footnotes.xml"/><Relationship Id="rId15" Type="http://schemas.openxmlformats.org/officeDocument/2006/relationships/diagramColors" Target="diagrams/colors2.xml"/><Relationship Id="rId23" Type="http://schemas.openxmlformats.org/officeDocument/2006/relationships/theme" Target="theme/theme1.xml"/><Relationship Id="rId10" Type="http://schemas.openxmlformats.org/officeDocument/2006/relationships/diagramColors" Target="diagrams/colors1.xml"/><Relationship Id="rId19" Type="http://schemas.openxmlformats.org/officeDocument/2006/relationships/hyperlink" Target="https://biosafety.igc.by/wp-content/uploads/2021/02/18XXI-Centuary.pdf" TargetMode="External"/><Relationship Id="rId4" Type="http://schemas.openxmlformats.org/officeDocument/2006/relationships/webSettings" Target="webSettings.xml"/><Relationship Id="rId9" Type="http://schemas.openxmlformats.org/officeDocument/2006/relationships/diagramQuickStyle" Target="diagrams/quickStyle1.xml"/><Relationship Id="rId14" Type="http://schemas.openxmlformats.org/officeDocument/2006/relationships/diagramQuickStyle" Target="diagrams/quickStyle2.xml"/><Relationship Id="rId22" Type="http://schemas.openxmlformats.org/officeDocument/2006/relationships/fontTable" Target="fontTable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7D2204E-10EE-4467-ADDA-D1AC5D3F28E9}" type="doc">
      <dgm:prSet loTypeId="urn:microsoft.com/office/officeart/2005/8/layout/process2" loCatId="process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F96C25DE-E07D-432B-B5E1-12FED84B94CC}">
      <dgm:prSet phldrT="[Текст]" custT="1"/>
      <dgm:spPr/>
      <dgm:t>
        <a:bodyPr/>
        <a:lstStyle/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Организационно-управленческий </a:t>
          </a:r>
        </a:p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рациональной организационного строения компании с четко опредленными на основании анализа структуры рабочих мест и управления, а также эффективных коммуникаций. Обозначение принципов и методов управления организацией, стилей, целей, задач и миссии. Адаптация включает в себя: процесс качественных изменений в организации, зависящих от срока ее сущестования, рост компании, диверсификация производства и увеличение численности в зависимости от внедряемых изменений</a:t>
          </a:r>
        </a:p>
      </dgm:t>
    </dgm:pt>
    <dgm:pt modelId="{90EFECBF-842E-494A-8143-0ADBFE283FA9}" type="parTrans" cxnId="{E02D1E93-D1D9-4B27-8FB2-E7AF96812CCB}">
      <dgm:prSet/>
      <dgm:spPr/>
      <dgm:t>
        <a:bodyPr/>
        <a:lstStyle/>
        <a:p>
          <a:endParaRPr lang="ru-RU"/>
        </a:p>
      </dgm:t>
    </dgm:pt>
    <dgm:pt modelId="{71334434-3400-4742-A5E0-FED68D7DDE8A}" type="sibTrans" cxnId="{E02D1E93-D1D9-4B27-8FB2-E7AF96812CCB}">
      <dgm:prSet/>
      <dgm:spPr/>
      <dgm:t>
        <a:bodyPr/>
        <a:lstStyle/>
        <a:p>
          <a:endParaRPr lang="ru-RU"/>
        </a:p>
      </dgm:t>
    </dgm:pt>
    <dgm:pt modelId="{68B1CA41-CF21-4E57-95C1-D7C2247C1EBD}">
      <dgm:prSet phldrT="[Текст]" custT="1"/>
      <dgm:spPr/>
      <dgm:t>
        <a:bodyPr/>
        <a:lstStyle/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Стратегический</a:t>
          </a:r>
        </a:p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Развитие и адаптация организации - сложноструктурированная стратегия, рассчитанная на изменение внутренней среды с целью повышения качества функционирования и адаптации к требованиям рынка. Компания акцентирует внимание на изменениях во внешней среде, которые позволяют развиваться и повышать свою эффектвиность</a:t>
          </a:r>
        </a:p>
      </dgm:t>
    </dgm:pt>
    <dgm:pt modelId="{9583581F-5C28-4CBD-A449-50C5B7879F5B}" type="parTrans" cxnId="{1FFD85F4-1E0B-4536-A38F-CD9E05EEEA1A}">
      <dgm:prSet/>
      <dgm:spPr/>
      <dgm:t>
        <a:bodyPr/>
        <a:lstStyle/>
        <a:p>
          <a:endParaRPr lang="ru-RU"/>
        </a:p>
      </dgm:t>
    </dgm:pt>
    <dgm:pt modelId="{E311AD62-3845-4584-891A-20531C669BBD}" type="sibTrans" cxnId="{1FFD85F4-1E0B-4536-A38F-CD9E05EEEA1A}">
      <dgm:prSet/>
      <dgm:spPr/>
      <dgm:t>
        <a:bodyPr/>
        <a:lstStyle/>
        <a:p>
          <a:endParaRPr lang="ru-RU"/>
        </a:p>
      </dgm:t>
    </dgm:pt>
    <dgm:pt modelId="{113A1E25-B55C-4D37-B07E-61EEF7E482D5}">
      <dgm:prSet phldrT="[Текст]" custT="1"/>
      <dgm:spPr/>
      <dgm:t>
        <a:bodyPr/>
        <a:lstStyle/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Инновационно-технологический </a:t>
          </a:r>
        </a:p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активно внедряет технологии, которые оказывают положительное влияние на ее деятельность, требуют значительных инвестиций, а также продиктованы внешними условиями, тенденциями и потребностями самой компании. Изменения в деятельности компании связаны с углублением дифференциации потребительского спроса, высокой технологичностью и высокой степень динамики технологий, предполагающей быстрый моральный износ товара или услуги </a:t>
          </a:r>
        </a:p>
      </dgm:t>
    </dgm:pt>
    <dgm:pt modelId="{1F89E7F3-8BE6-48ED-A16F-21FA9D9E760D}" type="parTrans" cxnId="{C3D917B2-833F-4151-B939-7276E4FE02CA}">
      <dgm:prSet/>
      <dgm:spPr/>
      <dgm:t>
        <a:bodyPr/>
        <a:lstStyle/>
        <a:p>
          <a:endParaRPr lang="ru-RU"/>
        </a:p>
      </dgm:t>
    </dgm:pt>
    <dgm:pt modelId="{1501DABB-9F15-4DE0-BAA1-2DB1BB93CC03}" type="sibTrans" cxnId="{C3D917B2-833F-4151-B939-7276E4FE02CA}">
      <dgm:prSet/>
      <dgm:spPr/>
      <dgm:t>
        <a:bodyPr/>
        <a:lstStyle/>
        <a:p>
          <a:endParaRPr lang="ru-RU"/>
        </a:p>
      </dgm:t>
    </dgm:pt>
    <dgm:pt modelId="{DE70973D-EE73-493D-9F13-E88627996E79}">
      <dgm:prSet phldrT="[Текст]" custT="1"/>
      <dgm:spPr/>
      <dgm:t>
        <a:bodyPr/>
        <a:lstStyle/>
        <a:p>
          <a:pPr algn="ctr"/>
          <a:r>
            <a:rPr lang="ru-RU" sz="1100" b="0" i="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Социально-экономический</a:t>
          </a:r>
        </a:p>
        <a:p>
          <a:pPr algn="ctr"/>
          <a:r>
            <a:rPr lang="ru-RU" sz="1100" i="0">
              <a:latin typeface="Times New Roman" panose="02020603050405020304" pitchFamily="18" charset="0"/>
              <a:cs typeface="Times New Roman" panose="02020603050405020304" pitchFamily="18" charset="0"/>
            </a:rPr>
            <a:t>Рализация экономичсеких интересов всех носителей, достижение результатов, способствующих повышению показателей и возможностей предприятия в рыночной среде. Эффективное социальное инвестированием в развитие социальной инфраструктуры, охрану окружающей среды; затраты, направленные на внешнюю социальную среду</a:t>
          </a:r>
        </a:p>
      </dgm:t>
    </dgm:pt>
    <dgm:pt modelId="{97A49A89-084D-4027-B8EB-889578DDD470}" type="sibTrans" cxnId="{65F46AA4-7B9C-42ED-878B-10839054F8FF}">
      <dgm:prSet/>
      <dgm:spPr/>
      <dgm:t>
        <a:bodyPr/>
        <a:lstStyle/>
        <a:p>
          <a:endParaRPr lang="ru-RU"/>
        </a:p>
      </dgm:t>
    </dgm:pt>
    <dgm:pt modelId="{79E32656-F6BD-4D5E-8B4A-CF7E149724B1}" type="parTrans" cxnId="{65F46AA4-7B9C-42ED-878B-10839054F8FF}">
      <dgm:prSet/>
      <dgm:spPr/>
      <dgm:t>
        <a:bodyPr/>
        <a:lstStyle/>
        <a:p>
          <a:endParaRPr lang="ru-RU"/>
        </a:p>
      </dgm:t>
    </dgm:pt>
    <dgm:pt modelId="{2A7F28B1-EC22-4119-9EE1-0161DCFA0381}" type="pres">
      <dgm:prSet presAssocID="{77D2204E-10EE-4467-ADDA-D1AC5D3F28E9}" presName="linearFlow" presStyleCnt="0">
        <dgm:presLayoutVars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8F46AA05-F563-41C2-AB43-AB6BC1469E45}" type="pres">
      <dgm:prSet presAssocID="{DE70973D-EE73-493D-9F13-E88627996E79}" presName="node" presStyleLbl="node1" presStyleIdx="0" presStyleCnt="4" custScaleX="195154" custScaleY="120923" custLinFactNeighborX="-1722" custLinFactNeighborY="-167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8288DDA4-0A25-42F1-BC1A-2719144F75A6}" type="pres">
      <dgm:prSet presAssocID="{97A49A89-084D-4027-B8EB-889578DDD470}" presName="sibTrans" presStyleLbl="sibTrans2D1" presStyleIdx="0" presStyleCnt="3" custAng="0" custScaleX="114202" custScaleY="76559" custLinFactNeighborX="-15205" custLinFactNeighborY="4643"/>
      <dgm:spPr/>
      <dgm:t>
        <a:bodyPr/>
        <a:lstStyle/>
        <a:p>
          <a:endParaRPr lang="ru-RU"/>
        </a:p>
      </dgm:t>
    </dgm:pt>
    <dgm:pt modelId="{BA13A972-B502-4FBA-9451-7076A56FF6AA}" type="pres">
      <dgm:prSet presAssocID="{97A49A89-084D-4027-B8EB-889578DDD470}" presName="connectorText" presStyleLbl="sibTrans2D1" presStyleIdx="0" presStyleCnt="3"/>
      <dgm:spPr/>
      <dgm:t>
        <a:bodyPr/>
        <a:lstStyle/>
        <a:p>
          <a:endParaRPr lang="ru-RU"/>
        </a:p>
      </dgm:t>
    </dgm:pt>
    <dgm:pt modelId="{03E41D7A-DBE7-41AC-A2FC-24114803E9ED}" type="pres">
      <dgm:prSet presAssocID="{F96C25DE-E07D-432B-B5E1-12FED84B94CC}" presName="node" presStyleLbl="node1" presStyleIdx="1" presStyleCnt="4" custScaleX="195154" custScaleY="136508" custLinFactNeighborX="-1722" custLinFactNeighborY="-11414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7B7B3A4-894B-4F65-8E0D-789285183765}" type="pres">
      <dgm:prSet presAssocID="{71334434-3400-4742-A5E0-FED68D7DDE8A}" presName="sibTrans" presStyleLbl="sibTrans2D1" presStyleIdx="1" presStyleCnt="3" custAng="21573646" custFlipHor="1" custScaleX="93651" custScaleY="76217" custLinFactNeighborX="-16862" custLinFactNeighborY="9467"/>
      <dgm:spPr/>
      <dgm:t>
        <a:bodyPr/>
        <a:lstStyle/>
        <a:p>
          <a:endParaRPr lang="ru-RU"/>
        </a:p>
      </dgm:t>
    </dgm:pt>
    <dgm:pt modelId="{01B30759-5570-4191-934B-EE8F2A23D7FA}" type="pres">
      <dgm:prSet presAssocID="{71334434-3400-4742-A5E0-FED68D7DDE8A}" presName="connectorText" presStyleLbl="sibTrans2D1" presStyleIdx="1" presStyleCnt="3"/>
      <dgm:spPr/>
      <dgm:t>
        <a:bodyPr/>
        <a:lstStyle/>
        <a:p>
          <a:endParaRPr lang="ru-RU"/>
        </a:p>
      </dgm:t>
    </dgm:pt>
    <dgm:pt modelId="{80D76709-08E7-46FC-9B47-5855E8D24E5C}" type="pres">
      <dgm:prSet presAssocID="{68B1CA41-CF21-4E57-95C1-D7C2247C1EBD}" presName="node" presStyleLbl="node1" presStyleIdx="2" presStyleCnt="4" custScaleX="195154" custScaleY="114089" custLinFactNeighborX="-1278" custLinFactNeighborY="-1983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5FA8338C-DB7E-4E10-B6FE-EBBD83B4CC1E}" type="pres">
      <dgm:prSet presAssocID="{E311AD62-3845-4584-891A-20531C669BBD}" presName="sibTrans" presStyleLbl="sibTrans2D1" presStyleIdx="2" presStyleCnt="3" custScaleX="104480" custScaleY="76387" custLinFactNeighborX="-22277" custLinFactNeighborY="4497"/>
      <dgm:spPr/>
      <dgm:t>
        <a:bodyPr/>
        <a:lstStyle/>
        <a:p>
          <a:endParaRPr lang="ru-RU"/>
        </a:p>
      </dgm:t>
    </dgm:pt>
    <dgm:pt modelId="{B0FB2657-A357-4D0F-BCF9-80956D920AB0}" type="pres">
      <dgm:prSet presAssocID="{E311AD62-3845-4584-891A-20531C669BBD}" presName="connectorText" presStyleLbl="sibTrans2D1" presStyleIdx="2" presStyleCnt="3"/>
      <dgm:spPr/>
      <dgm:t>
        <a:bodyPr/>
        <a:lstStyle/>
        <a:p>
          <a:endParaRPr lang="ru-RU"/>
        </a:p>
      </dgm:t>
    </dgm:pt>
    <dgm:pt modelId="{80220572-AD86-4302-826E-19440F484EF3}" type="pres">
      <dgm:prSet presAssocID="{113A1E25-B55C-4D37-B07E-61EEF7E482D5}" presName="node" presStyleLbl="node1" presStyleIdx="3" presStyleCnt="4" custScaleX="195154" custScaleY="141695" custLinFactNeighborX="-911" custLinFactNeighborY="-30279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05CDF792-17AA-47A0-8BBF-E21D5ED83001}" type="presOf" srcId="{F96C25DE-E07D-432B-B5E1-12FED84B94CC}" destId="{03E41D7A-DBE7-41AC-A2FC-24114803E9ED}" srcOrd="0" destOrd="0" presId="urn:microsoft.com/office/officeart/2005/8/layout/process2"/>
    <dgm:cxn modelId="{51A03E5C-29B8-4C9C-96CE-A47AFD6ACB20}" type="presOf" srcId="{97A49A89-084D-4027-B8EB-889578DDD470}" destId="{8288DDA4-0A25-42F1-BC1A-2719144F75A6}" srcOrd="0" destOrd="0" presId="urn:microsoft.com/office/officeart/2005/8/layout/process2"/>
    <dgm:cxn modelId="{67988108-959F-4432-B60A-DFB465CD13EA}" type="presOf" srcId="{71334434-3400-4742-A5E0-FED68D7DDE8A}" destId="{57B7B3A4-894B-4F65-8E0D-789285183765}" srcOrd="0" destOrd="0" presId="urn:microsoft.com/office/officeart/2005/8/layout/process2"/>
    <dgm:cxn modelId="{1FFD85F4-1E0B-4536-A38F-CD9E05EEEA1A}" srcId="{77D2204E-10EE-4467-ADDA-D1AC5D3F28E9}" destId="{68B1CA41-CF21-4E57-95C1-D7C2247C1EBD}" srcOrd="2" destOrd="0" parTransId="{9583581F-5C28-4CBD-A449-50C5B7879F5B}" sibTransId="{E311AD62-3845-4584-891A-20531C669BBD}"/>
    <dgm:cxn modelId="{4C4D9BCB-ED48-4C49-86DF-E7906225FE9F}" type="presOf" srcId="{68B1CA41-CF21-4E57-95C1-D7C2247C1EBD}" destId="{80D76709-08E7-46FC-9B47-5855E8D24E5C}" srcOrd="0" destOrd="0" presId="urn:microsoft.com/office/officeart/2005/8/layout/process2"/>
    <dgm:cxn modelId="{E02D1E93-D1D9-4B27-8FB2-E7AF96812CCB}" srcId="{77D2204E-10EE-4467-ADDA-D1AC5D3F28E9}" destId="{F96C25DE-E07D-432B-B5E1-12FED84B94CC}" srcOrd="1" destOrd="0" parTransId="{90EFECBF-842E-494A-8143-0ADBFE283FA9}" sibTransId="{71334434-3400-4742-A5E0-FED68D7DDE8A}"/>
    <dgm:cxn modelId="{005BD8B2-DC0E-4381-989E-D268A74EA190}" type="presOf" srcId="{E311AD62-3845-4584-891A-20531C669BBD}" destId="{5FA8338C-DB7E-4E10-B6FE-EBBD83B4CC1E}" srcOrd="0" destOrd="0" presId="urn:microsoft.com/office/officeart/2005/8/layout/process2"/>
    <dgm:cxn modelId="{B6C95FE0-C08A-4175-9AFB-57DAE4B31673}" type="presOf" srcId="{E311AD62-3845-4584-891A-20531C669BBD}" destId="{B0FB2657-A357-4D0F-BCF9-80956D920AB0}" srcOrd="1" destOrd="0" presId="urn:microsoft.com/office/officeart/2005/8/layout/process2"/>
    <dgm:cxn modelId="{0A43EB8B-9044-4A90-BE27-4A2F03E2BC71}" type="presOf" srcId="{97A49A89-084D-4027-B8EB-889578DDD470}" destId="{BA13A972-B502-4FBA-9451-7076A56FF6AA}" srcOrd="1" destOrd="0" presId="urn:microsoft.com/office/officeart/2005/8/layout/process2"/>
    <dgm:cxn modelId="{B7534C71-D254-44BF-BC51-A571FBDE32B6}" type="presOf" srcId="{DE70973D-EE73-493D-9F13-E88627996E79}" destId="{8F46AA05-F563-41C2-AB43-AB6BC1469E45}" srcOrd="0" destOrd="0" presId="urn:microsoft.com/office/officeart/2005/8/layout/process2"/>
    <dgm:cxn modelId="{65F46AA4-7B9C-42ED-878B-10839054F8FF}" srcId="{77D2204E-10EE-4467-ADDA-D1AC5D3F28E9}" destId="{DE70973D-EE73-493D-9F13-E88627996E79}" srcOrd="0" destOrd="0" parTransId="{79E32656-F6BD-4D5E-8B4A-CF7E149724B1}" sibTransId="{97A49A89-084D-4027-B8EB-889578DDD470}"/>
    <dgm:cxn modelId="{04396EE9-525F-4C1E-A767-9D7E24538D08}" type="presOf" srcId="{77D2204E-10EE-4467-ADDA-D1AC5D3F28E9}" destId="{2A7F28B1-EC22-4119-9EE1-0161DCFA0381}" srcOrd="0" destOrd="0" presId="urn:microsoft.com/office/officeart/2005/8/layout/process2"/>
    <dgm:cxn modelId="{4C887249-21FC-450F-B3E2-D47AAC8F584D}" type="presOf" srcId="{113A1E25-B55C-4D37-B07E-61EEF7E482D5}" destId="{80220572-AD86-4302-826E-19440F484EF3}" srcOrd="0" destOrd="0" presId="urn:microsoft.com/office/officeart/2005/8/layout/process2"/>
    <dgm:cxn modelId="{B37DA8BE-F248-4DBA-97AB-B627EC2EF3E0}" type="presOf" srcId="{71334434-3400-4742-A5E0-FED68D7DDE8A}" destId="{01B30759-5570-4191-934B-EE8F2A23D7FA}" srcOrd="1" destOrd="0" presId="urn:microsoft.com/office/officeart/2005/8/layout/process2"/>
    <dgm:cxn modelId="{C3D917B2-833F-4151-B939-7276E4FE02CA}" srcId="{77D2204E-10EE-4467-ADDA-D1AC5D3F28E9}" destId="{113A1E25-B55C-4D37-B07E-61EEF7E482D5}" srcOrd="3" destOrd="0" parTransId="{1F89E7F3-8BE6-48ED-A16F-21FA9D9E760D}" sibTransId="{1501DABB-9F15-4DE0-BAA1-2DB1BB93CC03}"/>
    <dgm:cxn modelId="{379BD337-580D-4E3D-B8C5-1565B6602895}" type="presParOf" srcId="{2A7F28B1-EC22-4119-9EE1-0161DCFA0381}" destId="{8F46AA05-F563-41C2-AB43-AB6BC1469E45}" srcOrd="0" destOrd="0" presId="urn:microsoft.com/office/officeart/2005/8/layout/process2"/>
    <dgm:cxn modelId="{CECBFDFF-6E6C-4412-AC7D-D7A0865B5C1A}" type="presParOf" srcId="{2A7F28B1-EC22-4119-9EE1-0161DCFA0381}" destId="{8288DDA4-0A25-42F1-BC1A-2719144F75A6}" srcOrd="1" destOrd="0" presId="urn:microsoft.com/office/officeart/2005/8/layout/process2"/>
    <dgm:cxn modelId="{0376E819-4451-43F8-82BE-2406F7468053}" type="presParOf" srcId="{8288DDA4-0A25-42F1-BC1A-2719144F75A6}" destId="{BA13A972-B502-4FBA-9451-7076A56FF6AA}" srcOrd="0" destOrd="0" presId="urn:microsoft.com/office/officeart/2005/8/layout/process2"/>
    <dgm:cxn modelId="{DD2414FB-8EA8-47EC-A363-80BA9C9C6D02}" type="presParOf" srcId="{2A7F28B1-EC22-4119-9EE1-0161DCFA0381}" destId="{03E41D7A-DBE7-41AC-A2FC-24114803E9ED}" srcOrd="2" destOrd="0" presId="urn:microsoft.com/office/officeart/2005/8/layout/process2"/>
    <dgm:cxn modelId="{39B51744-0E9D-4792-A536-EC25B5BB7FCD}" type="presParOf" srcId="{2A7F28B1-EC22-4119-9EE1-0161DCFA0381}" destId="{57B7B3A4-894B-4F65-8E0D-789285183765}" srcOrd="3" destOrd="0" presId="urn:microsoft.com/office/officeart/2005/8/layout/process2"/>
    <dgm:cxn modelId="{467BF94D-1AB9-42B7-BC7F-0FBB1E73AF8E}" type="presParOf" srcId="{57B7B3A4-894B-4F65-8E0D-789285183765}" destId="{01B30759-5570-4191-934B-EE8F2A23D7FA}" srcOrd="0" destOrd="0" presId="urn:microsoft.com/office/officeart/2005/8/layout/process2"/>
    <dgm:cxn modelId="{64D9A528-0918-44DB-A1FF-82ED08670B1A}" type="presParOf" srcId="{2A7F28B1-EC22-4119-9EE1-0161DCFA0381}" destId="{80D76709-08E7-46FC-9B47-5855E8D24E5C}" srcOrd="4" destOrd="0" presId="urn:microsoft.com/office/officeart/2005/8/layout/process2"/>
    <dgm:cxn modelId="{18608B5D-AEBF-4D47-9E76-304E98790E9D}" type="presParOf" srcId="{2A7F28B1-EC22-4119-9EE1-0161DCFA0381}" destId="{5FA8338C-DB7E-4E10-B6FE-EBBD83B4CC1E}" srcOrd="5" destOrd="0" presId="urn:microsoft.com/office/officeart/2005/8/layout/process2"/>
    <dgm:cxn modelId="{6E1383FC-EE12-432F-9351-7A15DA9A8A75}" type="presParOf" srcId="{5FA8338C-DB7E-4E10-B6FE-EBBD83B4CC1E}" destId="{B0FB2657-A357-4D0F-BCF9-80956D920AB0}" srcOrd="0" destOrd="0" presId="urn:microsoft.com/office/officeart/2005/8/layout/process2"/>
    <dgm:cxn modelId="{5D2CCE6D-D1DF-4800-81A5-9BB841D726F2}" type="presParOf" srcId="{2A7F28B1-EC22-4119-9EE1-0161DCFA0381}" destId="{80220572-AD86-4302-826E-19440F484EF3}" srcOrd="6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1D70236C-D602-4B1F-B628-106297ACFFBF}" type="doc">
      <dgm:prSet loTypeId="urn:microsoft.com/office/officeart/2008/layout/LinedList" loCatId="hierarchy" qsTypeId="urn:microsoft.com/office/officeart/2005/8/quickstyle/simple1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A53ED935-869E-4364-A2E4-809AF5BDDBC5}">
      <dgm:prSet phldrT="[Текст]" custT="1"/>
      <dgm:spPr/>
      <dgm:t>
        <a:bodyPr/>
        <a:lstStyle/>
        <a:p>
          <a:r>
            <a:rPr lang="ru-RU" sz="1100" b="0">
              <a:latin typeface="Times New Roman" panose="02020603050405020304" pitchFamily="18" charset="0"/>
              <a:cs typeface="Times New Roman" panose="02020603050405020304" pitchFamily="18" charset="0"/>
            </a:rPr>
            <a:t>Трансформационно-адаптационный потенциал</a:t>
          </a:r>
        </a:p>
      </dgm:t>
    </dgm:pt>
    <dgm:pt modelId="{48854B3C-DEED-4B0F-A240-A26AADD0A848}" type="parTrans" cxnId="{4C820BC6-F6A3-48CD-9671-E21CCE9A865A}">
      <dgm:prSet/>
      <dgm:spPr/>
      <dgm:t>
        <a:bodyPr/>
        <a:lstStyle/>
        <a:p>
          <a:endParaRPr lang="ru-RU"/>
        </a:p>
      </dgm:t>
    </dgm:pt>
    <dgm:pt modelId="{4BE0203B-C883-429D-BE61-5720CE97D28D}" type="sibTrans" cxnId="{4C820BC6-F6A3-48CD-9671-E21CCE9A865A}">
      <dgm:prSet/>
      <dgm:spPr/>
      <dgm:t>
        <a:bodyPr/>
        <a:lstStyle/>
        <a:p>
          <a:endParaRPr lang="ru-RU"/>
        </a:p>
      </dgm:t>
    </dgm:pt>
    <dgm:pt modelId="{95C84DA1-0296-46A4-95F1-B4AFA3ABE35B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Оптимизация рабочих процессов: продвижения информационных платформ с целью демократизации данных внутри организации, усовершенствования процессов анализа и обработки данных</a:t>
          </a:r>
        </a:p>
      </dgm:t>
    </dgm:pt>
    <dgm:pt modelId="{67E78F5D-979E-460A-AB34-F63E3F37A9C8}" type="parTrans" cxnId="{A11A8B25-1F10-42F9-84DC-A7D7F07941D2}">
      <dgm:prSet/>
      <dgm:spPr/>
      <dgm:t>
        <a:bodyPr/>
        <a:lstStyle/>
        <a:p>
          <a:endParaRPr lang="ru-RU"/>
        </a:p>
      </dgm:t>
    </dgm:pt>
    <dgm:pt modelId="{2D18AC37-FB0C-49CA-9673-EF807E3654AC}" type="sibTrans" cxnId="{A11A8B25-1F10-42F9-84DC-A7D7F07941D2}">
      <dgm:prSet/>
      <dgm:spPr/>
      <dgm:t>
        <a:bodyPr/>
        <a:lstStyle/>
        <a:p>
          <a:endParaRPr lang="ru-RU"/>
        </a:p>
      </dgm:t>
    </dgm:pt>
    <dgm:pt modelId="{E94FC542-ECCE-4B38-BEDC-225824B7E91F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Реструктуризация структуры персонала, акцентирование внимание на специалистов, а области инноваций и цифровых технологий. Формирование корпоративной культуры, направленной на прогрессивное отношение к инновациям</a:t>
          </a:r>
        </a:p>
      </dgm:t>
    </dgm:pt>
    <dgm:pt modelId="{C7B9AFDA-A9B4-4B77-A7FA-4A456A10351F}" type="parTrans" cxnId="{80F21483-8F82-4178-A1F2-1FD873830548}">
      <dgm:prSet/>
      <dgm:spPr/>
      <dgm:t>
        <a:bodyPr/>
        <a:lstStyle/>
        <a:p>
          <a:endParaRPr lang="ru-RU"/>
        </a:p>
      </dgm:t>
    </dgm:pt>
    <dgm:pt modelId="{A5B3AE19-5645-4298-8E37-411674563B87}" type="sibTrans" cxnId="{80F21483-8F82-4178-A1F2-1FD873830548}">
      <dgm:prSet/>
      <dgm:spPr/>
      <dgm:t>
        <a:bodyPr/>
        <a:lstStyle/>
        <a:p>
          <a:endParaRPr lang="ru-RU"/>
        </a:p>
      </dgm:t>
    </dgm:pt>
    <dgm:pt modelId="{CF972D70-490B-49BB-AC55-A0BC9F3E4227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Поэтапное внедрение технологий в процессы функционирования предприятий. Отлаженная схема взаимодействия между используемыми и внедряемыми технологиями</a:t>
          </a:r>
        </a:p>
      </dgm:t>
    </dgm:pt>
    <dgm:pt modelId="{B1BF72FA-D1FD-497A-9C36-3FA2395CDDA6}" type="parTrans" cxnId="{9962C6E1-DC41-454E-B94E-41C1E1489530}">
      <dgm:prSet/>
      <dgm:spPr/>
      <dgm:t>
        <a:bodyPr/>
        <a:lstStyle/>
        <a:p>
          <a:endParaRPr lang="ru-RU"/>
        </a:p>
      </dgm:t>
    </dgm:pt>
    <dgm:pt modelId="{883F9954-007A-4F68-9110-3172EA4AF3A3}" type="sibTrans" cxnId="{9962C6E1-DC41-454E-B94E-41C1E1489530}">
      <dgm:prSet/>
      <dgm:spPr/>
      <dgm:t>
        <a:bodyPr/>
        <a:lstStyle/>
        <a:p>
          <a:endParaRPr lang="ru-RU"/>
        </a:p>
      </dgm:t>
    </dgm:pt>
    <dgm:pt modelId="{C22D646C-2967-48C5-9EE4-7DB21112E0D6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Анализ практики внедрения стратегий и технологий других предприятий промышленности, применения их опыта, интеграция опыта других компаний и его трансформация под критерий конкретных предприятий</a:t>
          </a:r>
        </a:p>
      </dgm:t>
    </dgm:pt>
    <dgm:pt modelId="{3522B1E2-8562-4C2B-816A-F7AF6E898AE3}" type="parTrans" cxnId="{1BDA0711-E888-4B02-BB3E-B32ABDF9DC79}">
      <dgm:prSet/>
      <dgm:spPr/>
      <dgm:t>
        <a:bodyPr/>
        <a:lstStyle/>
        <a:p>
          <a:endParaRPr lang="ru-RU"/>
        </a:p>
      </dgm:t>
    </dgm:pt>
    <dgm:pt modelId="{A35EF331-D47C-4C1B-8057-07511E4AD3AD}" type="sibTrans" cxnId="{1BDA0711-E888-4B02-BB3E-B32ABDF9DC79}">
      <dgm:prSet/>
      <dgm:spPr/>
      <dgm:t>
        <a:bodyPr/>
        <a:lstStyle/>
        <a:p>
          <a:endParaRPr lang="ru-RU"/>
        </a:p>
      </dgm:t>
    </dgm:pt>
    <dgm:pt modelId="{8D1C134A-0ABE-48A0-8CC8-75A6E6D3E275}">
      <dgm:prSet phldrT="[Текст]" custT="1"/>
      <dgm:spPr/>
      <dgm:t>
        <a:bodyPr/>
        <a:lstStyle/>
        <a:p>
          <a:r>
            <a:rPr lang="ru-RU" sz="1100">
              <a:latin typeface="Times New Roman" panose="02020603050405020304" pitchFamily="18" charset="0"/>
              <a:cs typeface="Times New Roman" panose="02020603050405020304" pitchFamily="18" charset="0"/>
            </a:rPr>
            <a:t>Актуализация инновационной стратегии, ее адаптация стратегии развития компании. Инновации – это не только средство снижения расходов, это формирования новой траектории развития предприятия с высоким уровнем цифровой зрелости</a:t>
          </a:r>
        </a:p>
      </dgm:t>
    </dgm:pt>
    <dgm:pt modelId="{9B5423A3-BE48-4216-806B-58D02E472ADA}" type="parTrans" cxnId="{0D48C3D4-8A37-4203-8B5C-3DFD51C11445}">
      <dgm:prSet/>
      <dgm:spPr/>
      <dgm:t>
        <a:bodyPr/>
        <a:lstStyle/>
        <a:p>
          <a:endParaRPr lang="ru-RU"/>
        </a:p>
      </dgm:t>
    </dgm:pt>
    <dgm:pt modelId="{AB93FDB0-8603-45D9-8192-52D5006E4DF0}" type="sibTrans" cxnId="{0D48C3D4-8A37-4203-8B5C-3DFD51C11445}">
      <dgm:prSet/>
      <dgm:spPr/>
      <dgm:t>
        <a:bodyPr/>
        <a:lstStyle/>
        <a:p>
          <a:endParaRPr lang="ru-RU"/>
        </a:p>
      </dgm:t>
    </dgm:pt>
    <dgm:pt modelId="{BBF9E387-BF21-4478-AF2A-69F326EDAE15}" type="pres">
      <dgm:prSet presAssocID="{1D70236C-D602-4B1F-B628-106297ACFFBF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41A9B11D-61A6-4AD0-AB3D-83831E0E9DAA}" type="pres">
      <dgm:prSet presAssocID="{A53ED935-869E-4364-A2E4-809AF5BDDBC5}" presName="thickLine" presStyleLbl="alignNode1" presStyleIdx="0" presStyleCnt="1"/>
      <dgm:spPr/>
    </dgm:pt>
    <dgm:pt modelId="{8B13E3CF-D27F-4B61-9DC6-A5C0B82A2DF6}" type="pres">
      <dgm:prSet presAssocID="{A53ED935-869E-4364-A2E4-809AF5BDDBC5}" presName="horz1" presStyleCnt="0"/>
      <dgm:spPr/>
    </dgm:pt>
    <dgm:pt modelId="{0FA3B71C-94AC-4293-B410-C5B5581D7B83}" type="pres">
      <dgm:prSet presAssocID="{A53ED935-869E-4364-A2E4-809AF5BDDBC5}" presName="tx1" presStyleLbl="revTx" presStyleIdx="0" presStyleCnt="6" custScaleX="120927"/>
      <dgm:spPr/>
      <dgm:t>
        <a:bodyPr/>
        <a:lstStyle/>
        <a:p>
          <a:endParaRPr lang="ru-RU"/>
        </a:p>
      </dgm:t>
    </dgm:pt>
    <dgm:pt modelId="{57C06CFA-8539-4F3A-9A6D-854C55E4E69D}" type="pres">
      <dgm:prSet presAssocID="{A53ED935-869E-4364-A2E4-809AF5BDDBC5}" presName="vert1" presStyleCnt="0"/>
      <dgm:spPr/>
    </dgm:pt>
    <dgm:pt modelId="{1DB90E30-22F8-498F-AFBC-9CBD71BFA710}" type="pres">
      <dgm:prSet presAssocID="{95C84DA1-0296-46A4-95F1-B4AFA3ABE35B}" presName="vertSpace2a" presStyleCnt="0"/>
      <dgm:spPr/>
    </dgm:pt>
    <dgm:pt modelId="{1EE8F4A9-DAD6-4C9D-81D8-FC1EC6DEE623}" type="pres">
      <dgm:prSet presAssocID="{95C84DA1-0296-46A4-95F1-B4AFA3ABE35B}" presName="horz2" presStyleCnt="0"/>
      <dgm:spPr/>
    </dgm:pt>
    <dgm:pt modelId="{918EA296-8710-4966-B81F-ECFB19C12084}" type="pres">
      <dgm:prSet presAssocID="{95C84DA1-0296-46A4-95F1-B4AFA3ABE35B}" presName="horzSpace2" presStyleCnt="0"/>
      <dgm:spPr/>
    </dgm:pt>
    <dgm:pt modelId="{DAA8784A-99AC-4BA0-BA9F-977FD12BD73A}" type="pres">
      <dgm:prSet presAssocID="{95C84DA1-0296-46A4-95F1-B4AFA3ABE35B}" presName="tx2" presStyleLbl="revTx" presStyleIdx="1" presStyleCnt="6"/>
      <dgm:spPr/>
      <dgm:t>
        <a:bodyPr/>
        <a:lstStyle/>
        <a:p>
          <a:endParaRPr lang="ru-RU"/>
        </a:p>
      </dgm:t>
    </dgm:pt>
    <dgm:pt modelId="{91E47EF4-E8E4-4556-92F8-DC8B7529D283}" type="pres">
      <dgm:prSet presAssocID="{95C84DA1-0296-46A4-95F1-B4AFA3ABE35B}" presName="vert2" presStyleCnt="0"/>
      <dgm:spPr/>
    </dgm:pt>
    <dgm:pt modelId="{DBCC6DB4-7283-4D4C-B834-FA6E2A67003C}" type="pres">
      <dgm:prSet presAssocID="{95C84DA1-0296-46A4-95F1-B4AFA3ABE35B}" presName="thinLine2b" presStyleLbl="callout" presStyleIdx="0" presStyleCnt="5"/>
      <dgm:spPr/>
    </dgm:pt>
    <dgm:pt modelId="{1BF77201-D9EB-4711-9670-08A7A843AE05}" type="pres">
      <dgm:prSet presAssocID="{95C84DA1-0296-46A4-95F1-B4AFA3ABE35B}" presName="vertSpace2b" presStyleCnt="0"/>
      <dgm:spPr/>
    </dgm:pt>
    <dgm:pt modelId="{B8BC1BAF-049E-42EC-ADDE-B0BC634BF47D}" type="pres">
      <dgm:prSet presAssocID="{E94FC542-ECCE-4B38-BEDC-225824B7E91F}" presName="horz2" presStyleCnt="0"/>
      <dgm:spPr/>
    </dgm:pt>
    <dgm:pt modelId="{42401A9D-6F8F-42BF-8F88-CCD28D6D2334}" type="pres">
      <dgm:prSet presAssocID="{E94FC542-ECCE-4B38-BEDC-225824B7E91F}" presName="horzSpace2" presStyleCnt="0"/>
      <dgm:spPr/>
    </dgm:pt>
    <dgm:pt modelId="{772AFCCB-5337-43E4-851D-27CE80D846CB}" type="pres">
      <dgm:prSet presAssocID="{E94FC542-ECCE-4B38-BEDC-225824B7E91F}" presName="tx2" presStyleLbl="revTx" presStyleIdx="2" presStyleCnt="6" custLinFactNeighborX="-162" custLinFactNeighborY="-7927"/>
      <dgm:spPr/>
      <dgm:t>
        <a:bodyPr/>
        <a:lstStyle/>
        <a:p>
          <a:endParaRPr lang="ru-RU"/>
        </a:p>
      </dgm:t>
    </dgm:pt>
    <dgm:pt modelId="{12B5DF2F-1DFF-49A6-896A-E2CBCE7FAF3B}" type="pres">
      <dgm:prSet presAssocID="{E94FC542-ECCE-4B38-BEDC-225824B7E91F}" presName="vert2" presStyleCnt="0"/>
      <dgm:spPr/>
    </dgm:pt>
    <dgm:pt modelId="{316CEF36-9EF2-4E32-97C1-B661CC2F771A}" type="pres">
      <dgm:prSet presAssocID="{E94FC542-ECCE-4B38-BEDC-225824B7E91F}" presName="thinLine2b" presStyleLbl="callout" presStyleIdx="1" presStyleCnt="5"/>
      <dgm:spPr/>
    </dgm:pt>
    <dgm:pt modelId="{B72BFE87-530F-4609-9674-3C00D9B98A22}" type="pres">
      <dgm:prSet presAssocID="{E94FC542-ECCE-4B38-BEDC-225824B7E91F}" presName="vertSpace2b" presStyleCnt="0"/>
      <dgm:spPr/>
    </dgm:pt>
    <dgm:pt modelId="{2ECC5828-B65F-4689-9C0F-9CB26C80F3FA}" type="pres">
      <dgm:prSet presAssocID="{CF972D70-490B-49BB-AC55-A0BC9F3E4227}" presName="horz2" presStyleCnt="0"/>
      <dgm:spPr/>
    </dgm:pt>
    <dgm:pt modelId="{8C2CD5EB-A2E1-4D37-8B21-2C668DE59BC0}" type="pres">
      <dgm:prSet presAssocID="{CF972D70-490B-49BB-AC55-A0BC9F3E4227}" presName="horzSpace2" presStyleCnt="0"/>
      <dgm:spPr/>
    </dgm:pt>
    <dgm:pt modelId="{9752330C-460B-44B6-A659-8F4DFC52BB36}" type="pres">
      <dgm:prSet presAssocID="{CF972D70-490B-49BB-AC55-A0BC9F3E4227}" presName="tx2" presStyleLbl="revTx" presStyleIdx="3" presStyleCnt="6"/>
      <dgm:spPr/>
      <dgm:t>
        <a:bodyPr/>
        <a:lstStyle/>
        <a:p>
          <a:endParaRPr lang="ru-RU"/>
        </a:p>
      </dgm:t>
    </dgm:pt>
    <dgm:pt modelId="{B4BDEBED-20D2-43B8-9653-DB12A0E8DC17}" type="pres">
      <dgm:prSet presAssocID="{CF972D70-490B-49BB-AC55-A0BC9F3E4227}" presName="vert2" presStyleCnt="0"/>
      <dgm:spPr/>
    </dgm:pt>
    <dgm:pt modelId="{33C8D047-E2FA-46B9-A3B0-0CB2776B2814}" type="pres">
      <dgm:prSet presAssocID="{CF972D70-490B-49BB-AC55-A0BC9F3E4227}" presName="thinLine2b" presStyleLbl="callout" presStyleIdx="2" presStyleCnt="5"/>
      <dgm:spPr/>
    </dgm:pt>
    <dgm:pt modelId="{76A48352-1A30-4D64-B2A5-832606021DD3}" type="pres">
      <dgm:prSet presAssocID="{CF972D70-490B-49BB-AC55-A0BC9F3E4227}" presName="vertSpace2b" presStyleCnt="0"/>
      <dgm:spPr/>
    </dgm:pt>
    <dgm:pt modelId="{2E5CA992-9EE7-4879-BA99-19D347052ED1}" type="pres">
      <dgm:prSet presAssocID="{C22D646C-2967-48C5-9EE4-7DB21112E0D6}" presName="horz2" presStyleCnt="0"/>
      <dgm:spPr/>
    </dgm:pt>
    <dgm:pt modelId="{A5ECB6A1-5968-4990-8E61-29B964D72894}" type="pres">
      <dgm:prSet presAssocID="{C22D646C-2967-48C5-9EE4-7DB21112E0D6}" presName="horzSpace2" presStyleCnt="0"/>
      <dgm:spPr/>
    </dgm:pt>
    <dgm:pt modelId="{7B998E8C-1D59-4AB4-89C9-BB29F6BC08C4}" type="pres">
      <dgm:prSet presAssocID="{C22D646C-2967-48C5-9EE4-7DB21112E0D6}" presName="tx2" presStyleLbl="revTx" presStyleIdx="4" presStyleCnt="6" custLinFactNeighborX="69" custLinFactNeighborY="-7927"/>
      <dgm:spPr/>
      <dgm:t>
        <a:bodyPr/>
        <a:lstStyle/>
        <a:p>
          <a:endParaRPr lang="ru-RU"/>
        </a:p>
      </dgm:t>
    </dgm:pt>
    <dgm:pt modelId="{CC8600E6-088E-41FC-A289-E8EB1DFA1981}" type="pres">
      <dgm:prSet presAssocID="{C22D646C-2967-48C5-9EE4-7DB21112E0D6}" presName="vert2" presStyleCnt="0"/>
      <dgm:spPr/>
    </dgm:pt>
    <dgm:pt modelId="{387A36E4-3D99-4210-B289-676197B02657}" type="pres">
      <dgm:prSet presAssocID="{C22D646C-2967-48C5-9EE4-7DB21112E0D6}" presName="thinLine2b" presStyleLbl="callout" presStyleIdx="3" presStyleCnt="5"/>
      <dgm:spPr/>
    </dgm:pt>
    <dgm:pt modelId="{A0152902-93B6-4B7C-9E79-2A0A05874F97}" type="pres">
      <dgm:prSet presAssocID="{C22D646C-2967-48C5-9EE4-7DB21112E0D6}" presName="vertSpace2b" presStyleCnt="0"/>
      <dgm:spPr/>
    </dgm:pt>
    <dgm:pt modelId="{4509267E-D8E5-4FAE-8B57-F9754691A829}" type="pres">
      <dgm:prSet presAssocID="{8D1C134A-0ABE-48A0-8CC8-75A6E6D3E275}" presName="horz2" presStyleCnt="0"/>
      <dgm:spPr/>
    </dgm:pt>
    <dgm:pt modelId="{17A19503-0FFF-456E-94D2-D546735000A7}" type="pres">
      <dgm:prSet presAssocID="{8D1C134A-0ABE-48A0-8CC8-75A6E6D3E275}" presName="horzSpace2" presStyleCnt="0"/>
      <dgm:spPr/>
    </dgm:pt>
    <dgm:pt modelId="{AF2A594F-4EE5-4E25-A16C-E4D3D6F68646}" type="pres">
      <dgm:prSet presAssocID="{8D1C134A-0ABE-48A0-8CC8-75A6E6D3E275}" presName="tx2" presStyleLbl="revTx" presStyleIdx="5" presStyleCnt="6" custLinFactNeighborX="-162" custLinFactNeighborY="-9059"/>
      <dgm:spPr/>
      <dgm:t>
        <a:bodyPr/>
        <a:lstStyle/>
        <a:p>
          <a:endParaRPr lang="ru-RU"/>
        </a:p>
      </dgm:t>
    </dgm:pt>
    <dgm:pt modelId="{55F1B99F-CF03-469B-82FC-76E4D504EF09}" type="pres">
      <dgm:prSet presAssocID="{8D1C134A-0ABE-48A0-8CC8-75A6E6D3E275}" presName="vert2" presStyleCnt="0"/>
      <dgm:spPr/>
    </dgm:pt>
    <dgm:pt modelId="{2F1ACC30-DEE1-4310-8C8A-4B205C14E893}" type="pres">
      <dgm:prSet presAssocID="{8D1C134A-0ABE-48A0-8CC8-75A6E6D3E275}" presName="thinLine2b" presStyleLbl="callout" presStyleIdx="4" presStyleCnt="5"/>
      <dgm:spPr>
        <a:ln>
          <a:noFill/>
        </a:ln>
      </dgm:spPr>
    </dgm:pt>
    <dgm:pt modelId="{3DDC0D24-A51A-4479-B4E8-FF0CE79031C7}" type="pres">
      <dgm:prSet presAssocID="{8D1C134A-0ABE-48A0-8CC8-75A6E6D3E275}" presName="vertSpace2b" presStyleCnt="0"/>
      <dgm:spPr/>
    </dgm:pt>
  </dgm:ptLst>
  <dgm:cxnLst>
    <dgm:cxn modelId="{4C820BC6-F6A3-48CD-9671-E21CCE9A865A}" srcId="{1D70236C-D602-4B1F-B628-106297ACFFBF}" destId="{A53ED935-869E-4364-A2E4-809AF5BDDBC5}" srcOrd="0" destOrd="0" parTransId="{48854B3C-DEED-4B0F-A240-A26AADD0A848}" sibTransId="{4BE0203B-C883-429D-BE61-5720CE97D28D}"/>
    <dgm:cxn modelId="{91CAA4CE-920D-4801-A001-3AB9E4E0DF56}" type="presOf" srcId="{C22D646C-2967-48C5-9EE4-7DB21112E0D6}" destId="{7B998E8C-1D59-4AB4-89C9-BB29F6BC08C4}" srcOrd="0" destOrd="0" presId="urn:microsoft.com/office/officeart/2008/layout/LinedList"/>
    <dgm:cxn modelId="{9962C6E1-DC41-454E-B94E-41C1E1489530}" srcId="{A53ED935-869E-4364-A2E4-809AF5BDDBC5}" destId="{CF972D70-490B-49BB-AC55-A0BC9F3E4227}" srcOrd="2" destOrd="0" parTransId="{B1BF72FA-D1FD-497A-9C36-3FA2395CDDA6}" sibTransId="{883F9954-007A-4F68-9110-3172EA4AF3A3}"/>
    <dgm:cxn modelId="{F5F4E244-EFE1-4F09-BF51-BD717EC81AD2}" type="presOf" srcId="{1D70236C-D602-4B1F-B628-106297ACFFBF}" destId="{BBF9E387-BF21-4478-AF2A-69F326EDAE15}" srcOrd="0" destOrd="0" presId="urn:microsoft.com/office/officeart/2008/layout/LinedList"/>
    <dgm:cxn modelId="{A11A8B25-1F10-42F9-84DC-A7D7F07941D2}" srcId="{A53ED935-869E-4364-A2E4-809AF5BDDBC5}" destId="{95C84DA1-0296-46A4-95F1-B4AFA3ABE35B}" srcOrd="0" destOrd="0" parTransId="{67E78F5D-979E-460A-AB34-F63E3F37A9C8}" sibTransId="{2D18AC37-FB0C-49CA-9673-EF807E3654AC}"/>
    <dgm:cxn modelId="{FB90B26A-FA1E-418C-9C7C-702F63C7A8CA}" type="presOf" srcId="{CF972D70-490B-49BB-AC55-A0BC9F3E4227}" destId="{9752330C-460B-44B6-A659-8F4DFC52BB36}" srcOrd="0" destOrd="0" presId="urn:microsoft.com/office/officeart/2008/layout/LinedList"/>
    <dgm:cxn modelId="{B5CFA89D-F68A-4BFA-88F0-9D352C16D2CD}" type="presOf" srcId="{A53ED935-869E-4364-A2E4-809AF5BDDBC5}" destId="{0FA3B71C-94AC-4293-B410-C5B5581D7B83}" srcOrd="0" destOrd="0" presId="urn:microsoft.com/office/officeart/2008/layout/LinedList"/>
    <dgm:cxn modelId="{501205AC-748A-4277-8379-88127179073A}" type="presOf" srcId="{E94FC542-ECCE-4B38-BEDC-225824B7E91F}" destId="{772AFCCB-5337-43E4-851D-27CE80D846CB}" srcOrd="0" destOrd="0" presId="urn:microsoft.com/office/officeart/2008/layout/LinedList"/>
    <dgm:cxn modelId="{0769134A-16E4-457A-AC1A-BC1077B94301}" type="presOf" srcId="{8D1C134A-0ABE-48A0-8CC8-75A6E6D3E275}" destId="{AF2A594F-4EE5-4E25-A16C-E4D3D6F68646}" srcOrd="0" destOrd="0" presId="urn:microsoft.com/office/officeart/2008/layout/LinedList"/>
    <dgm:cxn modelId="{0D48C3D4-8A37-4203-8B5C-3DFD51C11445}" srcId="{A53ED935-869E-4364-A2E4-809AF5BDDBC5}" destId="{8D1C134A-0ABE-48A0-8CC8-75A6E6D3E275}" srcOrd="4" destOrd="0" parTransId="{9B5423A3-BE48-4216-806B-58D02E472ADA}" sibTransId="{AB93FDB0-8603-45D9-8192-52D5006E4DF0}"/>
    <dgm:cxn modelId="{80F21483-8F82-4178-A1F2-1FD873830548}" srcId="{A53ED935-869E-4364-A2E4-809AF5BDDBC5}" destId="{E94FC542-ECCE-4B38-BEDC-225824B7E91F}" srcOrd="1" destOrd="0" parTransId="{C7B9AFDA-A9B4-4B77-A7FA-4A456A10351F}" sibTransId="{A5B3AE19-5645-4298-8E37-411674563B87}"/>
    <dgm:cxn modelId="{5C45C3B7-DCCD-41F8-8B95-3CFBDE4E70AB}" type="presOf" srcId="{95C84DA1-0296-46A4-95F1-B4AFA3ABE35B}" destId="{DAA8784A-99AC-4BA0-BA9F-977FD12BD73A}" srcOrd="0" destOrd="0" presId="urn:microsoft.com/office/officeart/2008/layout/LinedList"/>
    <dgm:cxn modelId="{1BDA0711-E888-4B02-BB3E-B32ABDF9DC79}" srcId="{A53ED935-869E-4364-A2E4-809AF5BDDBC5}" destId="{C22D646C-2967-48C5-9EE4-7DB21112E0D6}" srcOrd="3" destOrd="0" parTransId="{3522B1E2-8562-4C2B-816A-F7AF6E898AE3}" sibTransId="{A35EF331-D47C-4C1B-8057-07511E4AD3AD}"/>
    <dgm:cxn modelId="{9F8CA4C3-FA1C-426C-B56E-0C26691C01B2}" type="presParOf" srcId="{BBF9E387-BF21-4478-AF2A-69F326EDAE15}" destId="{41A9B11D-61A6-4AD0-AB3D-83831E0E9DAA}" srcOrd="0" destOrd="0" presId="urn:microsoft.com/office/officeart/2008/layout/LinedList"/>
    <dgm:cxn modelId="{523778DF-9071-447B-BA1A-E1FB36789F9C}" type="presParOf" srcId="{BBF9E387-BF21-4478-AF2A-69F326EDAE15}" destId="{8B13E3CF-D27F-4B61-9DC6-A5C0B82A2DF6}" srcOrd="1" destOrd="0" presId="urn:microsoft.com/office/officeart/2008/layout/LinedList"/>
    <dgm:cxn modelId="{44A1B7B7-A094-4390-84C6-A3F9FD51EB5D}" type="presParOf" srcId="{8B13E3CF-D27F-4B61-9DC6-A5C0B82A2DF6}" destId="{0FA3B71C-94AC-4293-B410-C5B5581D7B83}" srcOrd="0" destOrd="0" presId="urn:microsoft.com/office/officeart/2008/layout/LinedList"/>
    <dgm:cxn modelId="{C47F426E-44F3-4E46-B2AE-3904BD261DDF}" type="presParOf" srcId="{8B13E3CF-D27F-4B61-9DC6-A5C0B82A2DF6}" destId="{57C06CFA-8539-4F3A-9A6D-854C55E4E69D}" srcOrd="1" destOrd="0" presId="urn:microsoft.com/office/officeart/2008/layout/LinedList"/>
    <dgm:cxn modelId="{42B72664-70CA-4D47-85F9-743D0AC4445E}" type="presParOf" srcId="{57C06CFA-8539-4F3A-9A6D-854C55E4E69D}" destId="{1DB90E30-22F8-498F-AFBC-9CBD71BFA710}" srcOrd="0" destOrd="0" presId="urn:microsoft.com/office/officeart/2008/layout/LinedList"/>
    <dgm:cxn modelId="{422471D1-951E-4BB2-B220-0A9182309496}" type="presParOf" srcId="{57C06CFA-8539-4F3A-9A6D-854C55E4E69D}" destId="{1EE8F4A9-DAD6-4C9D-81D8-FC1EC6DEE623}" srcOrd="1" destOrd="0" presId="urn:microsoft.com/office/officeart/2008/layout/LinedList"/>
    <dgm:cxn modelId="{0D135690-0B9A-42C2-9868-A4B74E4DEBA4}" type="presParOf" srcId="{1EE8F4A9-DAD6-4C9D-81D8-FC1EC6DEE623}" destId="{918EA296-8710-4966-B81F-ECFB19C12084}" srcOrd="0" destOrd="0" presId="urn:microsoft.com/office/officeart/2008/layout/LinedList"/>
    <dgm:cxn modelId="{3DF74FE7-37E9-4923-BCE8-DF0C50AD2725}" type="presParOf" srcId="{1EE8F4A9-DAD6-4C9D-81D8-FC1EC6DEE623}" destId="{DAA8784A-99AC-4BA0-BA9F-977FD12BD73A}" srcOrd="1" destOrd="0" presId="urn:microsoft.com/office/officeart/2008/layout/LinedList"/>
    <dgm:cxn modelId="{51CDB23D-E67C-4877-BDC1-BC5FD4C5B8B1}" type="presParOf" srcId="{1EE8F4A9-DAD6-4C9D-81D8-FC1EC6DEE623}" destId="{91E47EF4-E8E4-4556-92F8-DC8B7529D283}" srcOrd="2" destOrd="0" presId="urn:microsoft.com/office/officeart/2008/layout/LinedList"/>
    <dgm:cxn modelId="{B3C4B21C-1054-4ADA-9D86-4E63F2D0FD30}" type="presParOf" srcId="{57C06CFA-8539-4F3A-9A6D-854C55E4E69D}" destId="{DBCC6DB4-7283-4D4C-B834-FA6E2A67003C}" srcOrd="2" destOrd="0" presId="urn:microsoft.com/office/officeart/2008/layout/LinedList"/>
    <dgm:cxn modelId="{90E814DC-008F-4AE6-A053-6EC17B4B69BC}" type="presParOf" srcId="{57C06CFA-8539-4F3A-9A6D-854C55E4E69D}" destId="{1BF77201-D9EB-4711-9670-08A7A843AE05}" srcOrd="3" destOrd="0" presId="urn:microsoft.com/office/officeart/2008/layout/LinedList"/>
    <dgm:cxn modelId="{852EB5E5-6EA8-4C02-B06E-CB89294D3FDF}" type="presParOf" srcId="{57C06CFA-8539-4F3A-9A6D-854C55E4E69D}" destId="{B8BC1BAF-049E-42EC-ADDE-B0BC634BF47D}" srcOrd="4" destOrd="0" presId="urn:microsoft.com/office/officeart/2008/layout/LinedList"/>
    <dgm:cxn modelId="{9C1ED5F0-E1BF-4222-9E22-DB6D80288A23}" type="presParOf" srcId="{B8BC1BAF-049E-42EC-ADDE-B0BC634BF47D}" destId="{42401A9D-6F8F-42BF-8F88-CCD28D6D2334}" srcOrd="0" destOrd="0" presId="urn:microsoft.com/office/officeart/2008/layout/LinedList"/>
    <dgm:cxn modelId="{3FA58F11-34ED-4527-A2C1-C90797579882}" type="presParOf" srcId="{B8BC1BAF-049E-42EC-ADDE-B0BC634BF47D}" destId="{772AFCCB-5337-43E4-851D-27CE80D846CB}" srcOrd="1" destOrd="0" presId="urn:microsoft.com/office/officeart/2008/layout/LinedList"/>
    <dgm:cxn modelId="{C98FAEDE-E415-4759-89BC-43040BBAEB4C}" type="presParOf" srcId="{B8BC1BAF-049E-42EC-ADDE-B0BC634BF47D}" destId="{12B5DF2F-1DFF-49A6-896A-E2CBCE7FAF3B}" srcOrd="2" destOrd="0" presId="urn:microsoft.com/office/officeart/2008/layout/LinedList"/>
    <dgm:cxn modelId="{31CD51B5-7562-4E5D-B08B-888B6A5A091D}" type="presParOf" srcId="{57C06CFA-8539-4F3A-9A6D-854C55E4E69D}" destId="{316CEF36-9EF2-4E32-97C1-B661CC2F771A}" srcOrd="5" destOrd="0" presId="urn:microsoft.com/office/officeart/2008/layout/LinedList"/>
    <dgm:cxn modelId="{D27EDC5C-08C2-46FF-B59C-AF2764EB9185}" type="presParOf" srcId="{57C06CFA-8539-4F3A-9A6D-854C55E4E69D}" destId="{B72BFE87-530F-4609-9674-3C00D9B98A22}" srcOrd="6" destOrd="0" presId="urn:microsoft.com/office/officeart/2008/layout/LinedList"/>
    <dgm:cxn modelId="{26C42348-1825-49AC-96B2-1D6EB8191F2D}" type="presParOf" srcId="{57C06CFA-8539-4F3A-9A6D-854C55E4E69D}" destId="{2ECC5828-B65F-4689-9C0F-9CB26C80F3FA}" srcOrd="7" destOrd="0" presId="urn:microsoft.com/office/officeart/2008/layout/LinedList"/>
    <dgm:cxn modelId="{CB1AD344-106B-4584-8E3D-37680AD5F6E2}" type="presParOf" srcId="{2ECC5828-B65F-4689-9C0F-9CB26C80F3FA}" destId="{8C2CD5EB-A2E1-4D37-8B21-2C668DE59BC0}" srcOrd="0" destOrd="0" presId="urn:microsoft.com/office/officeart/2008/layout/LinedList"/>
    <dgm:cxn modelId="{E524A025-A4D6-4C34-9DD4-62F5C38A9749}" type="presParOf" srcId="{2ECC5828-B65F-4689-9C0F-9CB26C80F3FA}" destId="{9752330C-460B-44B6-A659-8F4DFC52BB36}" srcOrd="1" destOrd="0" presId="urn:microsoft.com/office/officeart/2008/layout/LinedList"/>
    <dgm:cxn modelId="{70E1456D-F1C9-4706-917D-BD5DB87B58CF}" type="presParOf" srcId="{2ECC5828-B65F-4689-9C0F-9CB26C80F3FA}" destId="{B4BDEBED-20D2-43B8-9653-DB12A0E8DC17}" srcOrd="2" destOrd="0" presId="urn:microsoft.com/office/officeart/2008/layout/LinedList"/>
    <dgm:cxn modelId="{9DD7902E-10A6-4067-9DF9-A7FE7C659575}" type="presParOf" srcId="{57C06CFA-8539-4F3A-9A6D-854C55E4E69D}" destId="{33C8D047-E2FA-46B9-A3B0-0CB2776B2814}" srcOrd="8" destOrd="0" presId="urn:microsoft.com/office/officeart/2008/layout/LinedList"/>
    <dgm:cxn modelId="{3BD7AAA8-63D3-447F-96EB-CF499BA0A0AA}" type="presParOf" srcId="{57C06CFA-8539-4F3A-9A6D-854C55E4E69D}" destId="{76A48352-1A30-4D64-B2A5-832606021DD3}" srcOrd="9" destOrd="0" presId="urn:microsoft.com/office/officeart/2008/layout/LinedList"/>
    <dgm:cxn modelId="{FE7126E9-4230-408D-ABB7-C0EDAB4D6771}" type="presParOf" srcId="{57C06CFA-8539-4F3A-9A6D-854C55E4E69D}" destId="{2E5CA992-9EE7-4879-BA99-19D347052ED1}" srcOrd="10" destOrd="0" presId="urn:microsoft.com/office/officeart/2008/layout/LinedList"/>
    <dgm:cxn modelId="{8E9ED7A4-C741-4FE5-9E8C-466F907F11BD}" type="presParOf" srcId="{2E5CA992-9EE7-4879-BA99-19D347052ED1}" destId="{A5ECB6A1-5968-4990-8E61-29B964D72894}" srcOrd="0" destOrd="0" presId="urn:microsoft.com/office/officeart/2008/layout/LinedList"/>
    <dgm:cxn modelId="{C27FE60F-ED71-4B37-A76C-D367DA091293}" type="presParOf" srcId="{2E5CA992-9EE7-4879-BA99-19D347052ED1}" destId="{7B998E8C-1D59-4AB4-89C9-BB29F6BC08C4}" srcOrd="1" destOrd="0" presId="urn:microsoft.com/office/officeart/2008/layout/LinedList"/>
    <dgm:cxn modelId="{505246CC-CB62-49DF-8F54-9A18D66DF01B}" type="presParOf" srcId="{2E5CA992-9EE7-4879-BA99-19D347052ED1}" destId="{CC8600E6-088E-41FC-A289-E8EB1DFA1981}" srcOrd="2" destOrd="0" presId="urn:microsoft.com/office/officeart/2008/layout/LinedList"/>
    <dgm:cxn modelId="{8D1269EE-5FCD-4299-9355-9437214D072E}" type="presParOf" srcId="{57C06CFA-8539-4F3A-9A6D-854C55E4E69D}" destId="{387A36E4-3D99-4210-B289-676197B02657}" srcOrd="11" destOrd="0" presId="urn:microsoft.com/office/officeart/2008/layout/LinedList"/>
    <dgm:cxn modelId="{B2E86275-2A8B-4765-A629-12CF22592281}" type="presParOf" srcId="{57C06CFA-8539-4F3A-9A6D-854C55E4E69D}" destId="{A0152902-93B6-4B7C-9E79-2A0A05874F97}" srcOrd="12" destOrd="0" presId="urn:microsoft.com/office/officeart/2008/layout/LinedList"/>
    <dgm:cxn modelId="{F292EAB7-5B95-436A-B855-FFAF4C71B4F0}" type="presParOf" srcId="{57C06CFA-8539-4F3A-9A6D-854C55E4E69D}" destId="{4509267E-D8E5-4FAE-8B57-F9754691A829}" srcOrd="13" destOrd="0" presId="urn:microsoft.com/office/officeart/2008/layout/LinedList"/>
    <dgm:cxn modelId="{EDECC60B-64E1-4B86-A7D4-89070A7E317F}" type="presParOf" srcId="{4509267E-D8E5-4FAE-8B57-F9754691A829}" destId="{17A19503-0FFF-456E-94D2-D546735000A7}" srcOrd="0" destOrd="0" presId="urn:microsoft.com/office/officeart/2008/layout/LinedList"/>
    <dgm:cxn modelId="{05CDACBE-E0BE-418F-BA14-BB71E5DDF236}" type="presParOf" srcId="{4509267E-D8E5-4FAE-8B57-F9754691A829}" destId="{AF2A594F-4EE5-4E25-A16C-E4D3D6F68646}" srcOrd="1" destOrd="0" presId="urn:microsoft.com/office/officeart/2008/layout/LinedList"/>
    <dgm:cxn modelId="{776D9D7D-7E9D-43B0-8FEA-64A25AF0D3DB}" type="presParOf" srcId="{4509267E-D8E5-4FAE-8B57-F9754691A829}" destId="{55F1B99F-CF03-469B-82FC-76E4D504EF09}" srcOrd="2" destOrd="0" presId="urn:microsoft.com/office/officeart/2008/layout/LinedList"/>
    <dgm:cxn modelId="{FEBC5A19-8C6F-454C-8260-81E3DB0E2A25}" type="presParOf" srcId="{57C06CFA-8539-4F3A-9A6D-854C55E4E69D}" destId="{2F1ACC30-DEE1-4310-8C8A-4B205C14E893}" srcOrd="14" destOrd="0" presId="urn:microsoft.com/office/officeart/2008/layout/LinedList"/>
    <dgm:cxn modelId="{2CD5B7A9-1C08-4E92-A004-0662A46AA810}" type="presParOf" srcId="{57C06CFA-8539-4F3A-9A6D-854C55E4E69D}" destId="{3DDC0D24-A51A-4479-B4E8-FF0CE79031C7}" srcOrd="15" destOrd="0" presId="urn:microsoft.com/office/officeart/2008/layout/LinedList"/>
  </dgm:cxnLst>
  <dgm:bg/>
  <dgm:whole>
    <a:ln>
      <a:solidFill>
        <a:schemeClr val="tx1"/>
      </a:solidFill>
    </a:ln>
  </dgm:whole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F46AA05-F563-41C2-AB43-AB6BC1469E45}">
      <dsp:nvSpPr>
        <dsp:cNvPr id="0" name=""/>
        <dsp:cNvSpPr/>
      </dsp:nvSpPr>
      <dsp:spPr>
        <a:xfrm>
          <a:off x="0" y="0"/>
          <a:ext cx="6098174" cy="94465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b="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Социально-экономический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Рализация экономичсеких интересов всех носителей, достижение результатов, способствующих повышению показателей и возможностей предприятия в рыночной среде. Эффективное социальное инвестированием в развитие социальной инфраструктуры, охрану окружающей среды; затраты, направленные на внешнюю социальную среду</a:t>
          </a:r>
        </a:p>
      </dsp:txBody>
      <dsp:txXfrm>
        <a:off x="27668" y="27668"/>
        <a:ext cx="6042838" cy="889314"/>
      </dsp:txXfrm>
    </dsp:sp>
    <dsp:sp modelId="{8288DDA4-0A25-42F1-BC1A-2719144F75A6}">
      <dsp:nvSpPr>
        <dsp:cNvPr id="0" name=""/>
        <dsp:cNvSpPr/>
      </dsp:nvSpPr>
      <dsp:spPr>
        <a:xfrm rot="5400000">
          <a:off x="2866252" y="994979"/>
          <a:ext cx="288773" cy="269135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400" kern="1200"/>
        </a:p>
      </dsp:txBody>
      <dsp:txXfrm rot="-5400000">
        <a:off x="2929898" y="985160"/>
        <a:ext cx="161481" cy="208033"/>
      </dsp:txXfrm>
    </dsp:sp>
    <dsp:sp modelId="{03E41D7A-DBE7-41AC-A2FC-24114803E9ED}">
      <dsp:nvSpPr>
        <dsp:cNvPr id="0" name=""/>
        <dsp:cNvSpPr/>
      </dsp:nvSpPr>
      <dsp:spPr>
        <a:xfrm>
          <a:off x="0" y="1281799"/>
          <a:ext cx="6098174" cy="1066400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Организационно-управленческий 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Формирование рациональной организационного строения компании с четко опредленными на основании анализа структуры рабочих мест и управления, а также эффективных коммуникаций. Обозначение принципов и методов управления организацией, стилей, целей, задач и миссии. Адаптация включает в себя: процесс качественных изменений в организации, зависящих от срока ее сущестования, рост компании, диверсификация производства и увеличение численности в зависимости от внедряемых изменений</a:t>
          </a:r>
        </a:p>
      </dsp:txBody>
      <dsp:txXfrm>
        <a:off x="31234" y="1313033"/>
        <a:ext cx="6035706" cy="1003932"/>
      </dsp:txXfrm>
    </dsp:sp>
    <dsp:sp modelId="{57B7B3A4-894B-4F65-8E0D-789285183765}">
      <dsp:nvSpPr>
        <dsp:cNvPr id="0" name=""/>
        <dsp:cNvSpPr/>
      </dsp:nvSpPr>
      <dsp:spPr>
        <a:xfrm rot="16226354" flipH="1">
          <a:off x="2883010" y="2421359"/>
          <a:ext cx="244211" cy="267933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200" kern="1200"/>
        </a:p>
      </dsp:txBody>
      <dsp:txXfrm rot="-5400000">
        <a:off x="2925016" y="2433222"/>
        <a:ext cx="160759" cy="170948"/>
      </dsp:txXfrm>
    </dsp:sp>
    <dsp:sp modelId="{80D76709-08E7-46FC-9B47-5855E8D24E5C}">
      <dsp:nvSpPr>
        <dsp:cNvPr id="0" name=""/>
        <dsp:cNvSpPr/>
      </dsp:nvSpPr>
      <dsp:spPr>
        <a:xfrm>
          <a:off x="0" y="2695891"/>
          <a:ext cx="6098174" cy="891263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Стратегический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Развитие и адаптация организации - сложноструктурированная стратегия, рассчитанная на изменение внутренней среды с целью повышения качества функционирования и адаптации к требованиям рынка. Компания акцентирует внимание на изменениях во внешней среде, которые позволяют развиваться и повышать свою эффектвиность</a:t>
          </a:r>
        </a:p>
      </dsp:txBody>
      <dsp:txXfrm>
        <a:off x="26104" y="2721995"/>
        <a:ext cx="6045966" cy="839055"/>
      </dsp:txXfrm>
    </dsp:sp>
    <dsp:sp modelId="{5FA8338C-DB7E-4E10-B6FE-EBBD83B4CC1E}">
      <dsp:nvSpPr>
        <dsp:cNvPr id="0" name=""/>
        <dsp:cNvSpPr/>
      </dsp:nvSpPr>
      <dsp:spPr>
        <a:xfrm rot="5400000">
          <a:off x="2860647" y="3637285"/>
          <a:ext cx="264210" cy="268530"/>
        </a:xfrm>
        <a:prstGeom prst="rightArrow">
          <a:avLst>
            <a:gd name="adj1" fmla="val 60000"/>
            <a:gd name="adj2" fmla="val 50000"/>
          </a:avLst>
        </a:prstGeom>
        <a:solidFill>
          <a:schemeClr val="dk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300" kern="1200"/>
        </a:p>
      </dsp:txBody>
      <dsp:txXfrm rot="-5400000">
        <a:off x="2912193" y="3639446"/>
        <a:ext cx="161118" cy="184947"/>
      </dsp:txXfrm>
    </dsp:sp>
    <dsp:sp modelId="{80220572-AD86-4302-826E-19440F484EF3}">
      <dsp:nvSpPr>
        <dsp:cNvPr id="0" name=""/>
        <dsp:cNvSpPr/>
      </dsp:nvSpPr>
      <dsp:spPr>
        <a:xfrm>
          <a:off x="0" y="3924329"/>
          <a:ext cx="6098174" cy="1106921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Инновационно-технологический </a:t>
          </a:r>
        </a:p>
        <a:p>
          <a:pPr lvl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i="0" kern="1200">
              <a:latin typeface="Times New Roman" panose="02020603050405020304" pitchFamily="18" charset="0"/>
              <a:cs typeface="Times New Roman" panose="02020603050405020304" pitchFamily="18" charset="0"/>
            </a:rPr>
            <a:t>Организация активно внедряет технологии, которые оказывают положительное влияние на ее деятельность, требуют значительных инвестиций, а также продиктованы внешними условиями, тенденциями и потребностями самой компании. Изменения в деятельности компании связаны с углублением дифференциации потребительского спроса, высокой технологичностью и высокой степень динамики технологий, предполагающей быстрый моральный износ товара или услуги </a:t>
          </a:r>
        </a:p>
      </dsp:txBody>
      <dsp:txXfrm>
        <a:off x="32421" y="3956750"/>
        <a:ext cx="6033332" cy="1042079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1A9B11D-61A6-4AD0-AB3D-83831E0E9DAA}">
      <dsp:nvSpPr>
        <dsp:cNvPr id="0" name=""/>
        <dsp:cNvSpPr/>
      </dsp:nvSpPr>
      <dsp:spPr>
        <a:xfrm>
          <a:off x="0" y="1562"/>
          <a:ext cx="6048375" cy="0"/>
        </a:xfrm>
        <a:prstGeom prst="line">
          <a:avLst/>
        </a:prstGeom>
        <a:solidFill>
          <a:schemeClr val="l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FA3B71C-94AC-4293-B410-C5B5581D7B83}">
      <dsp:nvSpPr>
        <dsp:cNvPr id="0" name=""/>
        <dsp:cNvSpPr/>
      </dsp:nvSpPr>
      <dsp:spPr>
        <a:xfrm>
          <a:off x="0" y="1562"/>
          <a:ext cx="1402825" cy="3197274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b="0" kern="1200">
              <a:latin typeface="Times New Roman" panose="02020603050405020304" pitchFamily="18" charset="0"/>
              <a:cs typeface="Times New Roman" panose="02020603050405020304" pitchFamily="18" charset="0"/>
            </a:rPr>
            <a:t>Трансформационно-адаптационный потенциал</a:t>
          </a:r>
        </a:p>
      </dsp:txBody>
      <dsp:txXfrm>
        <a:off x="0" y="1562"/>
        <a:ext cx="1402825" cy="3197274"/>
      </dsp:txXfrm>
    </dsp:sp>
    <dsp:sp modelId="{DAA8784A-99AC-4BA0-BA9F-977FD12BD73A}">
      <dsp:nvSpPr>
        <dsp:cNvPr id="0" name=""/>
        <dsp:cNvSpPr/>
      </dsp:nvSpPr>
      <dsp:spPr>
        <a:xfrm>
          <a:off x="1489829" y="31693"/>
          <a:ext cx="4553233" cy="60261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Оптимизация рабочих процессов: продвижения информационных платформ с целью демократизации данных внутри организации, усовершенствования процессов анализа и обработки данных</a:t>
          </a:r>
        </a:p>
      </dsp:txBody>
      <dsp:txXfrm>
        <a:off x="1489829" y="31693"/>
        <a:ext cx="4553233" cy="602611"/>
      </dsp:txXfrm>
    </dsp:sp>
    <dsp:sp modelId="{DBCC6DB4-7283-4D4C-B834-FA6E2A67003C}">
      <dsp:nvSpPr>
        <dsp:cNvPr id="0" name=""/>
        <dsp:cNvSpPr/>
      </dsp:nvSpPr>
      <dsp:spPr>
        <a:xfrm>
          <a:off x="1402825" y="634304"/>
          <a:ext cx="4640237" cy="0"/>
        </a:xfrm>
        <a:prstGeom prst="line">
          <a:avLst/>
        </a:prstGeom>
        <a:solidFill>
          <a:schemeClr val="dk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72AFCCB-5337-43E4-851D-27CE80D846CB}">
      <dsp:nvSpPr>
        <dsp:cNvPr id="0" name=""/>
        <dsp:cNvSpPr/>
      </dsp:nvSpPr>
      <dsp:spPr>
        <a:xfrm>
          <a:off x="1482453" y="616666"/>
          <a:ext cx="4553233" cy="60261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Реструктуризация структуры персонала, акцентирование внимание на специалистов, а области инноваций и цифровых технологий. Формирование корпоративной культуры, направленной на прогрессивное отношение к инновациям</a:t>
          </a:r>
        </a:p>
      </dsp:txBody>
      <dsp:txXfrm>
        <a:off x="1482453" y="616666"/>
        <a:ext cx="4553233" cy="602611"/>
      </dsp:txXfrm>
    </dsp:sp>
    <dsp:sp modelId="{316CEF36-9EF2-4E32-97C1-B661CC2F771A}">
      <dsp:nvSpPr>
        <dsp:cNvPr id="0" name=""/>
        <dsp:cNvSpPr/>
      </dsp:nvSpPr>
      <dsp:spPr>
        <a:xfrm>
          <a:off x="1402825" y="1267046"/>
          <a:ext cx="4640237" cy="0"/>
        </a:xfrm>
        <a:prstGeom prst="line">
          <a:avLst/>
        </a:prstGeom>
        <a:solidFill>
          <a:schemeClr val="dk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9752330C-460B-44B6-A659-8F4DFC52BB36}">
      <dsp:nvSpPr>
        <dsp:cNvPr id="0" name=""/>
        <dsp:cNvSpPr/>
      </dsp:nvSpPr>
      <dsp:spPr>
        <a:xfrm>
          <a:off x="1489829" y="1297177"/>
          <a:ext cx="4553233" cy="60261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Поэтапное внедрение технологий в процессы функционирования предприятий. Отлаженная схема взаимодействия между используемыми и внедряемыми технологиями</a:t>
          </a:r>
        </a:p>
      </dsp:txBody>
      <dsp:txXfrm>
        <a:off x="1489829" y="1297177"/>
        <a:ext cx="4553233" cy="602611"/>
      </dsp:txXfrm>
    </dsp:sp>
    <dsp:sp modelId="{33C8D047-E2FA-46B9-A3B0-0CB2776B2814}">
      <dsp:nvSpPr>
        <dsp:cNvPr id="0" name=""/>
        <dsp:cNvSpPr/>
      </dsp:nvSpPr>
      <dsp:spPr>
        <a:xfrm>
          <a:off x="1402825" y="1899788"/>
          <a:ext cx="4640237" cy="0"/>
        </a:xfrm>
        <a:prstGeom prst="line">
          <a:avLst/>
        </a:prstGeom>
        <a:solidFill>
          <a:schemeClr val="dk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7B998E8C-1D59-4AB4-89C9-BB29F6BC08C4}">
      <dsp:nvSpPr>
        <dsp:cNvPr id="0" name=""/>
        <dsp:cNvSpPr/>
      </dsp:nvSpPr>
      <dsp:spPr>
        <a:xfrm>
          <a:off x="1492971" y="1882149"/>
          <a:ext cx="4553233" cy="60261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Анализ практики внедрения стратегий и технологий других предприятий промышленности, применения их опыта, интеграция опыта других компаний и его трансформация под критерий конкретных предприятий</a:t>
          </a:r>
        </a:p>
      </dsp:txBody>
      <dsp:txXfrm>
        <a:off x="1492971" y="1882149"/>
        <a:ext cx="4553233" cy="602611"/>
      </dsp:txXfrm>
    </dsp:sp>
    <dsp:sp modelId="{387A36E4-3D99-4210-B289-676197B02657}">
      <dsp:nvSpPr>
        <dsp:cNvPr id="0" name=""/>
        <dsp:cNvSpPr/>
      </dsp:nvSpPr>
      <dsp:spPr>
        <a:xfrm>
          <a:off x="1402825" y="2532530"/>
          <a:ext cx="4640237" cy="0"/>
        </a:xfrm>
        <a:prstGeom prst="line">
          <a:avLst/>
        </a:prstGeom>
        <a:solidFill>
          <a:schemeClr val="dk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  <dsp:sp modelId="{AF2A594F-4EE5-4E25-A16C-E4D3D6F68646}">
      <dsp:nvSpPr>
        <dsp:cNvPr id="0" name=""/>
        <dsp:cNvSpPr/>
      </dsp:nvSpPr>
      <dsp:spPr>
        <a:xfrm>
          <a:off x="1482453" y="2508070"/>
          <a:ext cx="4553233" cy="602611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1910" tIns="41910" rIns="41910" bIns="41910" numCol="1" spcCol="1270" anchor="t" anchorCtr="0">
          <a:noAutofit/>
        </a:bodyPr>
        <a:lstStyle/>
        <a:p>
          <a:pPr lvl="0" algn="l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100" kern="1200">
              <a:latin typeface="Times New Roman" panose="02020603050405020304" pitchFamily="18" charset="0"/>
              <a:cs typeface="Times New Roman" panose="02020603050405020304" pitchFamily="18" charset="0"/>
            </a:rPr>
            <a:t>Актуализация инновационной стратегии, ее адаптация стратегии развития компании. Инновации – это не только средство снижения расходов, это формирования новой траектории развития предприятия с высоким уровнем цифровой зрелости</a:t>
          </a:r>
        </a:p>
      </dsp:txBody>
      <dsp:txXfrm>
        <a:off x="1482453" y="2508070"/>
        <a:ext cx="4553233" cy="602611"/>
      </dsp:txXfrm>
    </dsp:sp>
    <dsp:sp modelId="{2F1ACC30-DEE1-4310-8C8A-4B205C14E893}">
      <dsp:nvSpPr>
        <dsp:cNvPr id="0" name=""/>
        <dsp:cNvSpPr/>
      </dsp:nvSpPr>
      <dsp:spPr>
        <a:xfrm>
          <a:off x="1402825" y="3165272"/>
          <a:ext cx="4640237" cy="0"/>
        </a:xfrm>
        <a:prstGeom prst="line">
          <a:avLst/>
        </a:prstGeom>
        <a:solidFill>
          <a:schemeClr val="dk1">
            <a:hueOff val="0"/>
            <a:satOff val="0"/>
            <a:lumOff val="0"/>
            <a:alphaOff val="0"/>
          </a:schemeClr>
        </a:solidFill>
        <a:ln w="12700" cap="flat" cmpd="sng" algn="ctr">
          <a:noFill/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678</TotalTime>
  <Pages>1</Pages>
  <Words>2611</Words>
  <Characters>14888</Characters>
  <Application>Microsoft Office Word</Application>
  <DocSecurity>0</DocSecurity>
  <Lines>124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20</cp:revision>
  <dcterms:created xsi:type="dcterms:W3CDTF">2021-06-13T18:58:00Z</dcterms:created>
  <dcterms:modified xsi:type="dcterms:W3CDTF">2023-06-18T14:28:00Z</dcterms:modified>
</cp:coreProperties>
</file>