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355" w:rsidRPr="00136AF2" w:rsidRDefault="00986355" w:rsidP="00D575D0">
      <w:pPr>
        <w:spacing w:after="0" w:line="240" w:lineRule="auto"/>
        <w:rPr>
          <w:rFonts w:ascii="Times New Roman" w:eastAsia="Courier New" w:hAnsi="Times New Roman" w:cs="Courier New"/>
          <w:b/>
          <w:color w:val="000000"/>
          <w:sz w:val="24"/>
        </w:rPr>
      </w:pPr>
      <w:r w:rsidRPr="00136AF2">
        <w:rPr>
          <w:rFonts w:ascii="Times New Roman" w:eastAsia="Courier New" w:hAnsi="Times New Roman" w:cs="Courier New"/>
          <w:b/>
          <w:color w:val="000000"/>
          <w:sz w:val="24"/>
        </w:rPr>
        <w:t xml:space="preserve">Индекс </w:t>
      </w:r>
      <w:r w:rsidR="00C37489">
        <w:rPr>
          <w:rFonts w:ascii="Times New Roman" w:eastAsia="Courier New" w:hAnsi="Times New Roman" w:cs="Courier New"/>
          <w:b/>
          <w:color w:val="000000"/>
          <w:sz w:val="24"/>
        </w:rPr>
        <w:t>338</w:t>
      </w:r>
      <w:r w:rsidRPr="00136AF2">
        <w:rPr>
          <w:rFonts w:ascii="Times New Roman" w:eastAsia="Courier New" w:hAnsi="Times New Roman" w:cs="Courier New"/>
          <w:b/>
          <w:color w:val="000000"/>
          <w:sz w:val="24"/>
        </w:rPr>
        <w:t>/</w:t>
      </w:r>
      <w:r w:rsidR="00C37489">
        <w:rPr>
          <w:rFonts w:ascii="Times New Roman" w:eastAsia="Courier New" w:hAnsi="Times New Roman" w:cs="Courier New"/>
          <w:b/>
          <w:color w:val="000000"/>
          <w:sz w:val="24"/>
        </w:rPr>
        <w:t>65.05</w:t>
      </w:r>
    </w:p>
    <w:p w:rsidR="00F115BB" w:rsidRPr="00136AF2" w:rsidRDefault="00986355" w:rsidP="004856F4">
      <w:pPr>
        <w:spacing w:after="0" w:line="240" w:lineRule="auto"/>
        <w:jc w:val="right"/>
        <w:rPr>
          <w:rFonts w:ascii="Times New Roman" w:eastAsia="Courier New" w:hAnsi="Times New Roman" w:cs="Courier New"/>
          <w:b/>
          <w:color w:val="000000"/>
          <w:sz w:val="24"/>
        </w:rPr>
      </w:pPr>
      <w:r>
        <w:rPr>
          <w:rFonts w:ascii="Times New Roman" w:eastAsia="Courier New" w:hAnsi="Times New Roman" w:cs="Courier New"/>
          <w:b/>
          <w:color w:val="000000"/>
          <w:sz w:val="24"/>
        </w:rPr>
        <w:t>Имамвердиева М.И.</w:t>
      </w:r>
    </w:p>
    <w:p w:rsidR="00986355" w:rsidRPr="00E8015D" w:rsidRDefault="00F115BB" w:rsidP="00E8015D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ТРАНСФОРМАЦИОННО-АДАПТАЦИОННЫЙ ПОТЕНЦИАЛ</w:t>
      </w:r>
      <w:r w:rsidR="00E8015D">
        <w:rPr>
          <w:rFonts w:ascii="Times New Roman" w:hAnsi="Times New Roman" w:cs="Times New Roman"/>
          <w:b/>
          <w:sz w:val="24"/>
          <w:szCs w:val="24"/>
        </w:rPr>
        <w:t xml:space="preserve"> КАК КЛЮЧЕВОЙ ЭЛЕМЕНТ РЕАЛИЗАЦИИ УСТОЙЧИВОГО РАЗВИТИЯ ПРЕДПРИЯТИЙ</w:t>
      </w:r>
    </w:p>
    <w:p w:rsidR="00121A37" w:rsidRDefault="00121A37" w:rsidP="00986355">
      <w:pPr>
        <w:spacing w:after="0" w:line="240" w:lineRule="auto"/>
        <w:ind w:firstLine="709"/>
        <w:jc w:val="both"/>
        <w:rPr>
          <w:rFonts w:ascii="Times New Roman" w:eastAsia="Courier New" w:hAnsi="Times New Roman" w:cs="Courier New"/>
          <w:color w:val="000000"/>
          <w:sz w:val="24"/>
          <w:u w:val="single"/>
        </w:rPr>
      </w:pPr>
    </w:p>
    <w:p w:rsidR="00986355" w:rsidRPr="00136AF2" w:rsidRDefault="00986355" w:rsidP="00986355">
      <w:pPr>
        <w:spacing w:after="0" w:line="240" w:lineRule="auto"/>
        <w:ind w:firstLine="709"/>
        <w:jc w:val="both"/>
        <w:rPr>
          <w:rFonts w:ascii="Times New Roman" w:eastAsia="Courier New" w:hAnsi="Times New Roman" w:cs="Courier New"/>
          <w:i/>
          <w:color w:val="000000"/>
          <w:sz w:val="24"/>
        </w:rPr>
      </w:pPr>
      <w:r w:rsidRPr="004B56C1">
        <w:rPr>
          <w:rFonts w:ascii="Times New Roman" w:eastAsia="Courier New" w:hAnsi="Times New Roman" w:cs="Courier New"/>
          <w:b/>
          <w:i/>
          <w:color w:val="000000"/>
          <w:sz w:val="24"/>
        </w:rPr>
        <w:t>Аннотация</w:t>
      </w:r>
      <w:r w:rsidR="004B56C1" w:rsidRPr="004B56C1">
        <w:rPr>
          <w:rFonts w:ascii="Times New Roman" w:eastAsia="Courier New" w:hAnsi="Times New Roman" w:cs="Courier New"/>
          <w:b/>
          <w:i/>
          <w:color w:val="000000"/>
          <w:sz w:val="24"/>
        </w:rPr>
        <w:t>.</w:t>
      </w:r>
      <w:r w:rsidR="004B56C1">
        <w:rPr>
          <w:rFonts w:ascii="Times New Roman" w:eastAsia="Courier New" w:hAnsi="Times New Roman" w:cs="Courier New"/>
          <w:b/>
          <w:color w:val="000000"/>
          <w:sz w:val="24"/>
        </w:rPr>
        <w:t xml:space="preserve"> </w:t>
      </w:r>
      <w:r w:rsidR="000D5BC8">
        <w:rPr>
          <w:rFonts w:ascii="Times New Roman" w:eastAsia="Courier New" w:hAnsi="Times New Roman" w:cs="Courier New"/>
          <w:i/>
          <w:color w:val="000000"/>
          <w:sz w:val="24"/>
        </w:rPr>
        <w:t>В статье рассмотрены теоретические аспекты становления категории «Устойчивое развитие» и ключевой элемент концепции –</w:t>
      </w:r>
      <w:r w:rsidR="007C59F1">
        <w:rPr>
          <w:rFonts w:ascii="Times New Roman" w:eastAsia="Courier New" w:hAnsi="Times New Roman" w:cs="Courier New"/>
          <w:i/>
          <w:color w:val="000000"/>
          <w:sz w:val="24"/>
        </w:rPr>
        <w:t xml:space="preserve"> транс</w:t>
      </w:r>
      <w:r w:rsidR="000D5BC8">
        <w:rPr>
          <w:rFonts w:ascii="Times New Roman" w:eastAsia="Courier New" w:hAnsi="Times New Roman" w:cs="Courier New"/>
          <w:i/>
          <w:color w:val="000000"/>
          <w:sz w:val="24"/>
        </w:rPr>
        <w:t xml:space="preserve">формационно-адаптационный потенциал. Классифицированы основные подходы к </w:t>
      </w:r>
      <w:r w:rsidR="00EB69DB">
        <w:rPr>
          <w:rFonts w:ascii="Times New Roman" w:eastAsia="Courier New" w:hAnsi="Times New Roman" w:cs="Courier New"/>
          <w:i/>
          <w:color w:val="000000"/>
          <w:sz w:val="24"/>
        </w:rPr>
        <w:t>трансформационно-адаптационному потенциалу</w:t>
      </w:r>
      <w:r w:rsidR="000D5BC8">
        <w:rPr>
          <w:rFonts w:ascii="Times New Roman" w:eastAsia="Courier New" w:hAnsi="Times New Roman" w:cs="Courier New"/>
          <w:i/>
          <w:color w:val="000000"/>
          <w:sz w:val="24"/>
        </w:rPr>
        <w:t xml:space="preserve">, что позволяет идентифицировать </w:t>
      </w:r>
      <w:r w:rsidR="00EB69DB">
        <w:rPr>
          <w:rFonts w:ascii="Times New Roman" w:eastAsia="Courier New" w:hAnsi="Times New Roman" w:cs="Courier New"/>
          <w:i/>
          <w:color w:val="000000"/>
          <w:sz w:val="24"/>
        </w:rPr>
        <w:t>его содержательную часть.</w:t>
      </w:r>
    </w:p>
    <w:p w:rsidR="00986355" w:rsidRPr="004B56C1" w:rsidRDefault="00986355" w:rsidP="00986355">
      <w:pPr>
        <w:spacing w:after="0" w:line="240" w:lineRule="auto"/>
        <w:ind w:firstLine="709"/>
        <w:jc w:val="both"/>
        <w:rPr>
          <w:rFonts w:ascii="Times New Roman" w:eastAsia="Courier New" w:hAnsi="Times New Roman" w:cs="Courier New"/>
          <w:i/>
          <w:color w:val="000000"/>
          <w:sz w:val="24"/>
        </w:rPr>
      </w:pPr>
      <w:r w:rsidRPr="004B56C1">
        <w:rPr>
          <w:rFonts w:ascii="Times New Roman" w:eastAsia="Courier New" w:hAnsi="Times New Roman" w:cs="Courier New"/>
          <w:b/>
          <w:i/>
          <w:color w:val="000000"/>
          <w:sz w:val="24"/>
        </w:rPr>
        <w:t>Ключевые слова</w:t>
      </w:r>
      <w:r w:rsidR="004B56C1" w:rsidRPr="004B56C1">
        <w:rPr>
          <w:rFonts w:ascii="Times New Roman" w:eastAsia="Courier New" w:hAnsi="Times New Roman" w:cs="Courier New"/>
          <w:b/>
          <w:i/>
          <w:color w:val="000000"/>
          <w:sz w:val="24"/>
        </w:rPr>
        <w:t>:</w:t>
      </w:r>
      <w:r w:rsidR="004B56C1">
        <w:rPr>
          <w:rFonts w:ascii="Times New Roman" w:eastAsia="Courier New" w:hAnsi="Times New Roman" w:cs="Courier New"/>
          <w:b/>
          <w:color w:val="000000"/>
          <w:sz w:val="24"/>
        </w:rPr>
        <w:t xml:space="preserve"> </w:t>
      </w:r>
      <w:r w:rsidR="00121A37" w:rsidRPr="004B56C1">
        <w:rPr>
          <w:rFonts w:ascii="Times New Roman" w:eastAsia="Courier New" w:hAnsi="Times New Roman" w:cs="Courier New"/>
          <w:i/>
          <w:color w:val="000000"/>
          <w:sz w:val="24"/>
        </w:rPr>
        <w:t xml:space="preserve">устойчивое развитие, </w:t>
      </w:r>
      <w:r w:rsidR="000D5BC8">
        <w:rPr>
          <w:rFonts w:ascii="Times New Roman" w:eastAsia="Courier New" w:hAnsi="Times New Roman" w:cs="Courier New"/>
          <w:i/>
          <w:color w:val="000000"/>
          <w:sz w:val="24"/>
        </w:rPr>
        <w:t>трансформационно-адаптационный потенциал, трансформация</w:t>
      </w:r>
      <w:r w:rsidR="00842FB2">
        <w:rPr>
          <w:rFonts w:ascii="Times New Roman" w:eastAsia="Courier New" w:hAnsi="Times New Roman" w:cs="Courier New"/>
          <w:i/>
          <w:color w:val="000000"/>
          <w:sz w:val="24"/>
        </w:rPr>
        <w:t>, тенденция</w:t>
      </w:r>
      <w:r w:rsidR="000D5BC8">
        <w:rPr>
          <w:rFonts w:ascii="Times New Roman" w:eastAsia="Courier New" w:hAnsi="Times New Roman" w:cs="Courier New"/>
          <w:i/>
          <w:color w:val="000000"/>
          <w:sz w:val="24"/>
        </w:rPr>
        <w:t>.</w:t>
      </w:r>
    </w:p>
    <w:p w:rsidR="002F376C" w:rsidRPr="008E596E" w:rsidRDefault="002F376C" w:rsidP="002F376C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9E1F7E" w:rsidRPr="00C30DE8" w:rsidRDefault="009E1F7E" w:rsidP="009E1F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0DE8">
        <w:rPr>
          <w:rFonts w:ascii="Times New Roman" w:hAnsi="Times New Roman"/>
          <w:color w:val="000000" w:themeColor="text1"/>
          <w:sz w:val="24"/>
          <w:szCs w:val="24"/>
        </w:rPr>
        <w:t>В 1987 году в докладе комиссии ООН прозвучало понятие «Устойчивое развитие» и его определение, акцентирующее внимание на экологическую составляющую, а также сформулированы задачи устойчивого развития. В данном докладе категория, только входящая в нормативный и научно-популярный оборот, была определена как «развитие, при котором нынешние поколения удовлетворяют свои потребности, не ставя под угрозу возможность будущих поколений удовлетворить свои потребности»</w:t>
      </w:r>
      <w:r w:rsidR="000B23B4" w:rsidRPr="00C30DE8">
        <w:rPr>
          <w:rFonts w:ascii="Times New Roman" w:hAnsi="Times New Roman"/>
          <w:color w:val="000000" w:themeColor="text1"/>
          <w:sz w:val="24"/>
          <w:szCs w:val="24"/>
        </w:rPr>
        <w:t xml:space="preserve"> [</w:t>
      </w:r>
      <w:r w:rsidR="00842FB2">
        <w:rPr>
          <w:rFonts w:ascii="Times New Roman" w:hAnsi="Times New Roman"/>
          <w:color w:val="000000" w:themeColor="text1"/>
          <w:sz w:val="24"/>
          <w:szCs w:val="24"/>
        </w:rPr>
        <w:t>15</w:t>
      </w:r>
      <w:r w:rsidR="000B23B4" w:rsidRPr="00C30DE8">
        <w:rPr>
          <w:rFonts w:ascii="Times New Roman" w:hAnsi="Times New Roman"/>
          <w:color w:val="000000" w:themeColor="text1"/>
          <w:sz w:val="24"/>
          <w:szCs w:val="24"/>
        </w:rPr>
        <w:t>]</w:t>
      </w:r>
      <w:r w:rsidRPr="00C30DE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E1F7E" w:rsidRPr="00C30DE8" w:rsidRDefault="009E1F7E" w:rsidP="009E1F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0DE8">
        <w:rPr>
          <w:rFonts w:ascii="Times New Roman" w:hAnsi="Times New Roman"/>
          <w:color w:val="000000" w:themeColor="text1"/>
          <w:sz w:val="24"/>
          <w:szCs w:val="24"/>
        </w:rPr>
        <w:t xml:space="preserve">Популяризация классического триединого (комплексного) подхода к устойчивому развитию, который актуален и в настоящее время, обусловлена результатами Конференции по окружающей среде и развитию в Рио-де-Жанейро в 1992 г. Согласно основному документы Конференции «Повестке дня на </w:t>
      </w:r>
      <w:r w:rsidRPr="00C30DE8">
        <w:rPr>
          <w:rFonts w:ascii="Times New Roman" w:hAnsi="Times New Roman"/>
          <w:color w:val="000000" w:themeColor="text1"/>
          <w:sz w:val="24"/>
          <w:szCs w:val="24"/>
          <w:lang w:val="en-US"/>
        </w:rPr>
        <w:t>XXI</w:t>
      </w:r>
      <w:r w:rsidRPr="00C30DE8">
        <w:rPr>
          <w:rFonts w:ascii="Times New Roman" w:hAnsi="Times New Roman"/>
          <w:color w:val="000000" w:themeColor="text1"/>
          <w:sz w:val="24"/>
          <w:szCs w:val="24"/>
        </w:rPr>
        <w:t xml:space="preserve"> век» экологические проблемы рассматриваются в совокупности с проблемами социума и экономики</w:t>
      </w:r>
      <w:r w:rsidR="000B23B4" w:rsidRPr="00C30DE8">
        <w:rPr>
          <w:rFonts w:ascii="Times New Roman" w:hAnsi="Times New Roman"/>
          <w:color w:val="000000" w:themeColor="text1"/>
          <w:sz w:val="24"/>
          <w:szCs w:val="24"/>
        </w:rPr>
        <w:t xml:space="preserve"> [</w:t>
      </w:r>
      <w:r w:rsidR="00842FB2">
        <w:rPr>
          <w:rFonts w:ascii="Times New Roman" w:hAnsi="Times New Roman"/>
          <w:color w:val="000000" w:themeColor="text1"/>
          <w:sz w:val="24"/>
          <w:szCs w:val="24"/>
        </w:rPr>
        <w:t>14</w:t>
      </w:r>
      <w:r w:rsidR="000B23B4" w:rsidRPr="00C30DE8">
        <w:rPr>
          <w:rFonts w:ascii="Times New Roman" w:hAnsi="Times New Roman"/>
          <w:color w:val="000000" w:themeColor="text1"/>
          <w:sz w:val="24"/>
          <w:szCs w:val="24"/>
        </w:rPr>
        <w:t>]</w:t>
      </w:r>
      <w:r w:rsidRPr="00C30DE8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9E1F7E" w:rsidRPr="00C30DE8" w:rsidRDefault="009E1F7E" w:rsidP="009E1F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0DE8">
        <w:rPr>
          <w:rFonts w:ascii="Times New Roman" w:hAnsi="Times New Roman"/>
          <w:color w:val="000000" w:themeColor="text1"/>
          <w:sz w:val="24"/>
          <w:szCs w:val="24"/>
        </w:rPr>
        <w:t>В Декларации тысячелетия ООН</w:t>
      </w:r>
      <w:r w:rsidR="000B23B4" w:rsidRPr="00C30DE8">
        <w:rPr>
          <w:rFonts w:ascii="Times New Roman" w:hAnsi="Times New Roman"/>
          <w:color w:val="000000" w:themeColor="text1"/>
          <w:sz w:val="24"/>
          <w:szCs w:val="24"/>
        </w:rPr>
        <w:t xml:space="preserve"> [</w:t>
      </w:r>
      <w:r w:rsidR="00842FB2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0B23B4" w:rsidRPr="00C30DE8">
        <w:rPr>
          <w:rFonts w:ascii="Times New Roman" w:hAnsi="Times New Roman"/>
          <w:color w:val="000000" w:themeColor="text1"/>
          <w:sz w:val="24"/>
          <w:szCs w:val="24"/>
        </w:rPr>
        <w:t>]</w:t>
      </w:r>
      <w:r w:rsidRPr="00C30DE8">
        <w:rPr>
          <w:rFonts w:ascii="Times New Roman" w:hAnsi="Times New Roman"/>
          <w:color w:val="000000" w:themeColor="text1"/>
          <w:sz w:val="24"/>
          <w:szCs w:val="24"/>
        </w:rPr>
        <w:t xml:space="preserve"> устойчивое развитие носит триединый характер, проявляющейся в стремлении решать не только проблемы экологии, но и глобальные задачи. В 2002 г. на саммите в г. Йоханнесбурге была принята Декларация</w:t>
      </w:r>
      <w:r w:rsidR="000B23B4" w:rsidRPr="00C30DE8">
        <w:rPr>
          <w:rFonts w:ascii="Times New Roman" w:hAnsi="Times New Roman"/>
          <w:color w:val="000000" w:themeColor="text1"/>
          <w:sz w:val="24"/>
          <w:szCs w:val="24"/>
        </w:rPr>
        <w:t xml:space="preserve"> [</w:t>
      </w:r>
      <w:r w:rsidR="00842FB2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0B23B4" w:rsidRPr="00C30DE8">
        <w:rPr>
          <w:rFonts w:ascii="Times New Roman" w:hAnsi="Times New Roman"/>
          <w:color w:val="000000" w:themeColor="text1"/>
          <w:sz w:val="24"/>
          <w:szCs w:val="24"/>
        </w:rPr>
        <w:t>]</w:t>
      </w:r>
      <w:r w:rsidRPr="00C30DE8">
        <w:rPr>
          <w:rFonts w:ascii="Times New Roman" w:hAnsi="Times New Roman"/>
          <w:color w:val="000000" w:themeColor="text1"/>
          <w:sz w:val="24"/>
          <w:szCs w:val="24"/>
        </w:rPr>
        <w:t>, определяющим фактором которой является принятие мировым сообществом основных принципов устойчивого развития. В 2012 г. на Конференции ООН рассматривались вопросы «зеленой экономики» и координации устойчивого развития на международном уровне. Ключевым фактором популяризации концепции в современных условиях стало принятие Целей устойчивого развития на Конференции ООН в 2015 г.</w:t>
      </w:r>
    </w:p>
    <w:p w:rsidR="009E1F7E" w:rsidRPr="00C30DE8" w:rsidRDefault="009E1F7E" w:rsidP="009E1F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C30DE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Логическим следствие акцентирования внимания в Декларациях ООН на устойчивом развитии является постепенное распространение категории в научно-популярной и экономической литературе.</w:t>
      </w:r>
    </w:p>
    <w:p w:rsidR="008E596E" w:rsidRPr="00C30DE8" w:rsidRDefault="008E596E" w:rsidP="008E596E">
      <w:pPr>
        <w:pStyle w:val="Default"/>
        <w:ind w:firstLine="709"/>
        <w:contextualSpacing/>
        <w:jc w:val="both"/>
        <w:rPr>
          <w:color w:val="auto"/>
          <w:shd w:val="clear" w:color="auto" w:fill="FFFFFF"/>
        </w:rPr>
      </w:pPr>
      <w:r w:rsidRPr="00C30DE8">
        <w:rPr>
          <w:color w:val="auto"/>
        </w:rPr>
        <w:t>Пролонгация принципов устойчивого развития пом</w:t>
      </w:r>
      <w:r w:rsidR="00003AC2">
        <w:rPr>
          <w:color w:val="auto"/>
        </w:rPr>
        <w:t>имо экологической составляющей</w:t>
      </w:r>
      <w:r w:rsidRPr="00C30DE8">
        <w:rPr>
          <w:color w:val="auto"/>
        </w:rPr>
        <w:t xml:space="preserve">, в том числе </w:t>
      </w:r>
      <w:r w:rsidR="00003AC2">
        <w:rPr>
          <w:color w:val="auto"/>
        </w:rPr>
        <w:t>эко-инновационного направления</w:t>
      </w:r>
      <w:r w:rsidRPr="00C30DE8">
        <w:rPr>
          <w:color w:val="auto"/>
        </w:rPr>
        <w:t>, и вопросов формирования экономи</w:t>
      </w:r>
      <w:r w:rsidR="00003AC2">
        <w:rPr>
          <w:color w:val="auto"/>
        </w:rPr>
        <w:t>ки замкнутого цикла</w:t>
      </w:r>
      <w:r w:rsidRPr="00C30DE8">
        <w:rPr>
          <w:color w:val="auto"/>
        </w:rPr>
        <w:t>, в различные сферы обусловлена достаточно широким спектром траекторий развития данной категории. В современных реалиях исследуемая концепция рассматривается по следующим направлениям: устойчивость институциональных соглашений и институциональной среды [</w:t>
      </w:r>
      <w:r w:rsidR="00842FB2" w:rsidRPr="00842FB2">
        <w:rPr>
          <w:color w:val="auto"/>
        </w:rPr>
        <w:t>12</w:t>
      </w:r>
      <w:r w:rsidRPr="00C30DE8">
        <w:rPr>
          <w:color w:val="auto"/>
        </w:rPr>
        <w:t>], устойчивое развитие территорий и  городов (новаторский подход к строительству зданий, повышение ур</w:t>
      </w:r>
      <w:r w:rsidR="00003AC2">
        <w:rPr>
          <w:color w:val="auto"/>
        </w:rPr>
        <w:t xml:space="preserve">овня эффективности агломераций), </w:t>
      </w:r>
      <w:r w:rsidRPr="00C30DE8">
        <w:rPr>
          <w:color w:val="auto"/>
        </w:rPr>
        <w:t xml:space="preserve">качественно новый подход к туристическому сектору в аспекте </w:t>
      </w:r>
      <w:r w:rsidRPr="00C30DE8">
        <w:rPr>
          <w:color w:val="auto"/>
          <w:lang w:val="en-US"/>
        </w:rPr>
        <w:t>ESG</w:t>
      </w:r>
      <w:r w:rsidRPr="00C30DE8">
        <w:rPr>
          <w:color w:val="auto"/>
        </w:rPr>
        <w:t xml:space="preserve">-принципов (устойчивый </w:t>
      </w:r>
      <w:r w:rsidR="00003AC2">
        <w:rPr>
          <w:color w:val="auto"/>
        </w:rPr>
        <w:t>туризм)</w:t>
      </w:r>
      <w:r w:rsidRPr="00C30DE8">
        <w:rPr>
          <w:color w:val="auto"/>
          <w:shd w:val="clear" w:color="auto" w:fill="FFFFFF"/>
        </w:rPr>
        <w:t>, строительство, основой которого является экологически и социально-ориентированный подход (устойчивое строительство, у</w:t>
      </w:r>
      <w:r w:rsidR="00003AC2">
        <w:rPr>
          <w:color w:val="auto"/>
          <w:shd w:val="clear" w:color="auto" w:fill="FFFFFF"/>
        </w:rPr>
        <w:t>стойчивые блочные конструкции</w:t>
      </w:r>
      <w:r w:rsidRPr="00C30DE8">
        <w:rPr>
          <w:color w:val="auto"/>
          <w:shd w:val="clear" w:color="auto" w:fill="FFFFFF"/>
        </w:rPr>
        <w:t>, вопросы с</w:t>
      </w:r>
      <w:r w:rsidR="00003AC2">
        <w:rPr>
          <w:color w:val="auto"/>
          <w:shd w:val="clear" w:color="auto" w:fill="FFFFFF"/>
        </w:rPr>
        <w:t>оциальной устойчивости</w:t>
      </w:r>
      <w:r w:rsidRPr="00C30DE8">
        <w:rPr>
          <w:color w:val="auto"/>
          <w:shd w:val="clear" w:color="auto" w:fill="FFFFFF"/>
        </w:rPr>
        <w:t>, кластерный подход, устойчивое развитии в управлении человеческими ресурсами т.д.</w:t>
      </w:r>
    </w:p>
    <w:p w:rsidR="00F115BB" w:rsidRDefault="00572921" w:rsidP="008E59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Сложность реализации концепции обусловлена не только масштабностью категории, включающей в себя экономику, экологию и социум, но и возможностями адаптации устойчивого развития к деятельности предприятий с учетом специфики функционирования. </w:t>
      </w:r>
    </w:p>
    <w:p w:rsidR="00572921" w:rsidRPr="00F115BB" w:rsidRDefault="00572921" w:rsidP="008E59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Раскрывая дефиницию «адаптация», следует обратить внимание на ее сопряженность с трансформацией предприятий, деятельность которых преобразуется с учетом внедрения концепции и проявлять свойства адаптивно</w:t>
      </w:r>
      <w:r w:rsidR="00143AD2">
        <w:rPr>
          <w:rFonts w:ascii="Times New Roman" w:hAnsi="Times New Roman" w:cs="Times New Roman"/>
          <w:color w:val="000000" w:themeColor="text1"/>
          <w:sz w:val="24"/>
          <w:szCs w:val="24"/>
        </w:rPr>
        <w:t>сти к внешней и внутренней среде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 к тенденциям, вызванными рядом воздействующих факторов.</w:t>
      </w:r>
    </w:p>
    <w:p w:rsidR="00F115BB" w:rsidRPr="00F115BB" w:rsidRDefault="00F115BB" w:rsidP="00F115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5B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Трансформационно-адаптационный потенциал, как один из сложнейших элементов системы устойчивого развития, представляет собой возможности предприятия быть адаптированным под условия постоянных изменений внешней среды, оказывающей непосредственное влияние на среду внутреннюю.</w:t>
      </w:r>
    </w:p>
    <w:p w:rsidR="00F115BB" w:rsidRPr="00F115BB" w:rsidRDefault="00F115BB" w:rsidP="00F115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5BB">
        <w:rPr>
          <w:rFonts w:ascii="Times New Roman" w:hAnsi="Times New Roman" w:cs="Times New Roman"/>
          <w:color w:val="000000" w:themeColor="text1"/>
          <w:sz w:val="24"/>
          <w:szCs w:val="24"/>
        </w:rPr>
        <w:t>В экономической литературе категория «адаптационный потенциал» была популяризирована в 1970–1980 годах.</w:t>
      </w:r>
    </w:p>
    <w:p w:rsidR="00F115BB" w:rsidRPr="00F115BB" w:rsidRDefault="00F115BB" w:rsidP="00F115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5BB">
        <w:rPr>
          <w:rFonts w:ascii="Times New Roman" w:hAnsi="Times New Roman" w:cs="Times New Roman"/>
          <w:color w:val="000000" w:themeColor="text1"/>
          <w:sz w:val="24"/>
          <w:szCs w:val="24"/>
        </w:rPr>
        <w:t>Как отмечают В. С. Лосев и К. Д. Михайленко «адаптация сопряжена с постоянными изменениями в природе самого объекта – его внутренней среды, сформированной за счет продолжительного воздействия внешней, не зависящей от результатов деятельности предприятия»</w:t>
      </w:r>
      <w:r w:rsidR="00267C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7C3D" w:rsidRPr="00267C3D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842FB2" w:rsidRPr="00842FB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267C3D" w:rsidRPr="00267C3D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Pr="00F115B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115BB" w:rsidRPr="00F115BB" w:rsidRDefault="00F115BB" w:rsidP="00F115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5BB">
        <w:rPr>
          <w:rFonts w:ascii="Times New Roman" w:hAnsi="Times New Roman" w:cs="Times New Roman"/>
          <w:color w:val="000000" w:themeColor="text1"/>
          <w:sz w:val="24"/>
          <w:szCs w:val="24"/>
        </w:rPr>
        <w:t>Н. В. Зяблицкая под адаптационным потенциалом понимает «совокупные возможности организации по поводу оптимального использования имеющихся в наличии ресурсов с целью обеспечения ее конкурентоспособности и экономического роста (развития системы) в современных экономических условиях»</w:t>
      </w:r>
      <w:r w:rsidR="00267C3D" w:rsidRPr="00267C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r w:rsidR="00842FB2" w:rsidRPr="00842FB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267C3D" w:rsidRPr="00267C3D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Pr="00F115B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115BB" w:rsidRPr="00003AC2" w:rsidRDefault="00F115BB" w:rsidP="00F115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Представители теории непредвиденных обстоятельств </w:t>
      </w:r>
      <w:bookmarkStart w:id="0" w:name="_Hlk115713008"/>
      <w:r w:rsidRPr="00F115BB">
        <w:rPr>
          <w:rFonts w:ascii="Times New Roman" w:eastAsia="MinionPro-Regular" w:hAnsi="Times New Roman" w:cs="Times New Roman"/>
          <w:color w:val="000000" w:themeColor="text1"/>
          <w:sz w:val="24"/>
          <w:szCs w:val="24"/>
          <w:lang w:val="en-US"/>
        </w:rPr>
        <w:t>R</w:t>
      </w:r>
      <w:r w:rsidRPr="00F115BB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. </w:t>
      </w:r>
      <w:r w:rsidRPr="00F115BB">
        <w:rPr>
          <w:rFonts w:ascii="Times New Roman" w:eastAsia="MinionPro-Regular" w:hAnsi="Times New Roman" w:cs="Times New Roman"/>
          <w:color w:val="000000" w:themeColor="text1"/>
          <w:sz w:val="24"/>
          <w:szCs w:val="24"/>
          <w:lang w:val="en-US"/>
        </w:rPr>
        <w:t>Miles</w:t>
      </w:r>
      <w:r w:rsidRPr="00F115BB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, </w:t>
      </w:r>
      <w:r w:rsidRPr="00F115BB">
        <w:rPr>
          <w:rFonts w:ascii="Times New Roman" w:eastAsia="MinionPro-Regular" w:hAnsi="Times New Roman" w:cs="Times New Roman"/>
          <w:color w:val="000000" w:themeColor="text1"/>
          <w:sz w:val="24"/>
          <w:szCs w:val="24"/>
          <w:lang w:val="en-US"/>
        </w:rPr>
        <w:t>C</w:t>
      </w:r>
      <w:r w:rsidRPr="00F115BB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. </w:t>
      </w:r>
      <w:r w:rsidRPr="00F115BB">
        <w:rPr>
          <w:rFonts w:ascii="Times New Roman" w:eastAsia="MinionPro-Regular" w:hAnsi="Times New Roman" w:cs="Times New Roman"/>
          <w:color w:val="000000" w:themeColor="text1"/>
          <w:sz w:val="24"/>
          <w:szCs w:val="24"/>
          <w:lang w:val="en-US"/>
        </w:rPr>
        <w:t>Snow</w:t>
      </w:r>
      <w:r w:rsidRPr="00F115BB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 </w:t>
      </w:r>
      <w:bookmarkEnd w:id="0"/>
      <w:r w:rsidRPr="00F115BB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>определяли</w:t>
      </w:r>
      <w:r w:rsidRPr="00F11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успешность компании ее возможностью и своевременностью органично адаптироваться к условиям окружающей среды</w:t>
      </w:r>
      <w:r w:rsidR="00267C3D" w:rsidRPr="00267C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r w:rsidR="00842FB2" w:rsidRPr="00842FB2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="00003AC2" w:rsidRPr="00003AC2">
        <w:rPr>
          <w:rFonts w:ascii="Times New Roman" w:hAnsi="Times New Roman" w:cs="Times New Roman"/>
          <w:color w:val="000000" w:themeColor="text1"/>
          <w:sz w:val="24"/>
          <w:szCs w:val="24"/>
        </w:rPr>
        <w:t>].</w:t>
      </w:r>
    </w:p>
    <w:p w:rsidR="00F115BB" w:rsidRPr="00F115BB" w:rsidRDefault="00F115BB" w:rsidP="00F115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5BB">
        <w:rPr>
          <w:rFonts w:ascii="Times New Roman" w:hAnsi="Times New Roman" w:cs="Times New Roman"/>
          <w:color w:val="000000" w:themeColor="text1"/>
          <w:sz w:val="24"/>
          <w:szCs w:val="24"/>
        </w:rPr>
        <w:t>Экспансивная адаптация, характеризующаяся максимизацией результатов деятельности компаний, прослеживается в трудах представителей неоклассической теории адаптации (А. Маршалл, Р. Пиндайк, Д. Рубинфельд</w:t>
      </w:r>
      <w:r w:rsidR="00267C3D" w:rsidRPr="00267C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r w:rsidR="00842FB2">
        <w:rPr>
          <w:rFonts w:ascii="Times New Roman" w:hAnsi="Times New Roman" w:cs="Times New Roman"/>
          <w:color w:val="000000" w:themeColor="text1"/>
          <w:sz w:val="24"/>
          <w:szCs w:val="24"/>
        </w:rPr>
        <w:t>9, 13</w:t>
      </w:r>
      <w:r w:rsidR="00267C3D" w:rsidRPr="00267C3D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Pr="00F115BB">
        <w:rPr>
          <w:rFonts w:ascii="Times New Roman" w:hAnsi="Times New Roman" w:cs="Times New Roman"/>
          <w:color w:val="000000" w:themeColor="text1"/>
          <w:sz w:val="24"/>
          <w:szCs w:val="24"/>
        </w:rPr>
        <w:t>), которая подразумевает ограничение деятельности предприятия ресурсными, конъюнктурными и технологическими барьерами. По мнению Е. Е. Иродовой и С. П. Кручининой, «адаптационный потенциал реализуется в способности предприятия находить такие соотношения в объемах ресурсов, производства и продаж, которые бы позволили установить цену, максимизирующую прибыль, т. е. органично вписаться в рыночный механизм распределения и перераспределения ресурсов»</w:t>
      </w:r>
      <w:r w:rsidR="00267C3D" w:rsidRPr="00267C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r w:rsidR="00842FB2" w:rsidRPr="00842FB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267C3D" w:rsidRPr="00267C3D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Pr="00F115B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115BB" w:rsidRPr="00F115BB" w:rsidRDefault="00F115BB" w:rsidP="00F115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5BB">
        <w:rPr>
          <w:rFonts w:ascii="Times New Roman" w:hAnsi="Times New Roman" w:cs="Times New Roman"/>
          <w:color w:val="000000" w:themeColor="text1"/>
          <w:sz w:val="24"/>
          <w:szCs w:val="24"/>
        </w:rPr>
        <w:t>Эволюционная теория адаптации (Р. Нельсон, С. Уинтер, Й. Шумпетер</w:t>
      </w:r>
      <w:r w:rsidR="00267C3D" w:rsidRPr="00267C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r w:rsidR="00842FB2" w:rsidRPr="00842FB2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267C3D" w:rsidRPr="00267C3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42FB2" w:rsidRPr="00842F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</w:t>
      </w:r>
      <w:r w:rsidR="00267C3D" w:rsidRPr="00267C3D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Pr="00F115B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67C3D" w:rsidRPr="00F11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11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основана на проявлении адаптационных свойств предприятия случайным образом исходя из проявлений внутренней и внешней среды компании, а также конкуренции на конкретном сегменте рынка. </w:t>
      </w:r>
    </w:p>
    <w:p w:rsidR="00F115BB" w:rsidRPr="00F115BB" w:rsidRDefault="00F115BB" w:rsidP="00F115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Р. Коузом </w:t>
      </w:r>
      <w:r w:rsidR="00267C3D" w:rsidRPr="00267C3D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842FB2" w:rsidRPr="00842FB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267C3D" w:rsidRPr="00267C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</w:t>
      </w:r>
      <w:r w:rsidRPr="00F115BB">
        <w:rPr>
          <w:rFonts w:ascii="Times New Roman" w:hAnsi="Times New Roman" w:cs="Times New Roman"/>
          <w:color w:val="000000" w:themeColor="text1"/>
          <w:sz w:val="24"/>
          <w:szCs w:val="24"/>
        </w:rPr>
        <w:t>и Д. Нортом</w:t>
      </w:r>
      <w:r w:rsidR="004856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7C3D" w:rsidRPr="00267C3D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842FB2" w:rsidRPr="00842FB2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267C3D" w:rsidRPr="00267C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</w:t>
      </w:r>
      <w:r w:rsidRPr="00F115BB">
        <w:rPr>
          <w:rFonts w:ascii="Times New Roman" w:hAnsi="Times New Roman" w:cs="Times New Roman"/>
          <w:color w:val="000000" w:themeColor="text1"/>
          <w:sz w:val="24"/>
          <w:szCs w:val="24"/>
        </w:rPr>
        <w:t>в рамках институциональной теории адаптации отмечается подчиненность минимизации факторов, которые могут отрицательно повлиять на деятельность компании или спровоцировать состояние неопределенности. «Институциональные аспекты адаптации предприятия сводятся здесь к максимально четкой прорисовке правомочий участников, правил и процедур принятия решений, согласованию их целей и интересов, минимизации трансакционных и сопряженных с ними издержек</w:t>
      </w:r>
      <w:r w:rsidR="00123506" w:rsidRPr="00123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r w:rsidR="00842FB2" w:rsidRPr="00842FB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123506" w:rsidRPr="00123506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Pr="00F115B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23506" w:rsidRPr="00F115BB" w:rsidRDefault="00F115BB" w:rsidP="00123506">
      <w:pPr>
        <w:tabs>
          <w:tab w:val="left" w:pos="2268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Понятие «трансформационно-адаптационный потенциал» рассматривается также в рамках «теории стратегической адаптации». Данная теория и идентификации стратегического подхода к деятельности предприятия рассмотрена в работах И. Ансоффа </w:t>
      </w:r>
      <w:r w:rsidR="00267C3D" w:rsidRPr="00267C3D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842FB2" w:rsidRPr="00842FB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67C3D" w:rsidRPr="00267C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</w:t>
      </w:r>
      <w:r w:rsidRPr="00F115BB">
        <w:rPr>
          <w:rFonts w:ascii="Times New Roman" w:hAnsi="Times New Roman" w:cs="Times New Roman"/>
          <w:color w:val="000000" w:themeColor="text1"/>
          <w:sz w:val="24"/>
          <w:szCs w:val="24"/>
        </w:rPr>
        <w:t>и Р. Акоффа</w:t>
      </w:r>
      <w:r w:rsidR="00267C3D" w:rsidRPr="00267C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r w:rsidR="00842FB2" w:rsidRPr="00842FB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67C3D" w:rsidRPr="00267C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</w:t>
      </w:r>
      <w:r w:rsidRPr="00F115BB">
        <w:rPr>
          <w:rFonts w:ascii="Times New Roman" w:hAnsi="Times New Roman" w:cs="Times New Roman"/>
          <w:color w:val="000000" w:themeColor="text1"/>
          <w:sz w:val="24"/>
          <w:szCs w:val="24"/>
        </w:rPr>
        <w:t>о важности адаптации сильных сторон деятельности организации к условиям внешней среды, а также необходимости нивелирования слабых сторон и их постепенной трансформации в преимущества. Окружающая среда рассматривается как фактор становления и развития компании и в закономерном проявлении ее во внутренних факторах, адаптирующихся к внешним вызовам и тенденциям.</w:t>
      </w:r>
    </w:p>
    <w:p w:rsidR="00123506" w:rsidRDefault="00F115BB" w:rsidP="001235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5BB">
        <w:rPr>
          <w:rFonts w:ascii="Times New Roman" w:hAnsi="Times New Roman" w:cs="Times New Roman"/>
          <w:color w:val="000000" w:themeColor="text1"/>
          <w:sz w:val="24"/>
          <w:szCs w:val="24"/>
        </w:rPr>
        <w:t>На основании анализа представленных теорий можно заключить, что понятие «трансформационно-адаптационный потенциал» по отношению к деятельности предприятия</w:t>
      </w:r>
      <w:r w:rsidR="00123506" w:rsidRPr="00123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3506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F115BB">
        <w:rPr>
          <w:rFonts w:ascii="Times New Roman" w:hAnsi="Times New Roman" w:cs="Times New Roman"/>
          <w:color w:val="000000" w:themeColor="text1"/>
          <w:sz w:val="24"/>
          <w:szCs w:val="24"/>
        </w:rPr>
        <w:t>ожет включать в себя четыре подхода: социально-экономический, организационно-управленческий, стратегический, инно</w:t>
      </w:r>
      <w:r w:rsidR="007F38E9">
        <w:rPr>
          <w:rFonts w:ascii="Times New Roman" w:hAnsi="Times New Roman" w:cs="Times New Roman"/>
          <w:color w:val="000000" w:themeColor="text1"/>
          <w:sz w:val="24"/>
          <w:szCs w:val="24"/>
        </w:rPr>
        <w:t>вационно-технологический (рис. 1</w:t>
      </w:r>
      <w:r w:rsidRPr="00F115BB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C30DE8" w:rsidRDefault="00C30DE8" w:rsidP="0012350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30DE8" w:rsidRDefault="00C30DE8" w:rsidP="0012350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30DE8" w:rsidRDefault="00C30DE8" w:rsidP="0012350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30DE8" w:rsidRPr="00F115BB" w:rsidRDefault="00C30DE8" w:rsidP="00C30DE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5B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97645A6" wp14:editId="295ADF3A">
            <wp:simplePos x="0" y="0"/>
            <wp:positionH relativeFrom="page">
              <wp:posOffset>914400</wp:posOffset>
            </wp:positionH>
            <wp:positionV relativeFrom="paragraph">
              <wp:posOffset>0</wp:posOffset>
            </wp:positionV>
            <wp:extent cx="6119495" cy="5191125"/>
            <wp:effectExtent l="19050" t="0" r="33655" b="0"/>
            <wp:wrapTopAndBottom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Рисунок 1</w:t>
      </w:r>
      <w:r w:rsidRPr="00F115BB">
        <w:rPr>
          <w:rFonts w:ascii="Times New Roman" w:hAnsi="Times New Roman" w:cs="Times New Roman"/>
          <w:color w:val="000000" w:themeColor="text1"/>
          <w:sz w:val="24"/>
          <w:szCs w:val="24"/>
        </w:rPr>
        <w:t>. Подходы к определению трансформационно-адаптациционного потенциала</w:t>
      </w:r>
    </w:p>
    <w:p w:rsidR="00C30DE8" w:rsidRPr="00842FB2" w:rsidRDefault="00C30DE8" w:rsidP="00C30DE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5BB">
        <w:rPr>
          <w:rFonts w:ascii="Times New Roman" w:hAnsi="Times New Roman" w:cs="Times New Roman"/>
          <w:color w:val="000000" w:themeColor="text1"/>
          <w:sz w:val="24"/>
          <w:szCs w:val="24"/>
        </w:rPr>
        <w:t>Источник: составлено автором на основании данных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r w:rsidR="00842FB2" w:rsidRPr="00842FB2">
        <w:rPr>
          <w:rFonts w:ascii="Times New Roman" w:hAnsi="Times New Roman" w:cs="Times New Roman"/>
          <w:color w:val="000000" w:themeColor="text1"/>
          <w:sz w:val="24"/>
          <w:szCs w:val="24"/>
        </w:rPr>
        <w:t>1, 2, 5, 8, 10, 11, 13, 16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</w:p>
    <w:p w:rsidR="00C30DE8" w:rsidRPr="00F115BB" w:rsidRDefault="00C30DE8" w:rsidP="00C30DE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30DE8" w:rsidRPr="00F115BB" w:rsidRDefault="00C30DE8" w:rsidP="00C30DE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5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аспекте социально-экономического подхода трансформационно-адаптационный потенциал рассматривается как категория, способствующая реализация экономических интересов субъектов и выстраиванию взаимосвязей между ними. Реализация экономических интересов – естественный процесс функционирования предприятия. Каждый субъект является </w:t>
      </w:r>
      <w:r w:rsidR="00123506" w:rsidRPr="00F115BB">
        <w:rPr>
          <w:rFonts w:ascii="Times New Roman" w:hAnsi="Times New Roman" w:cs="Times New Roman"/>
          <w:color w:val="000000" w:themeColor="text1"/>
          <w:sz w:val="24"/>
          <w:szCs w:val="24"/>
        </w:rPr>
        <w:t>носителем экономических интересов, которые определяются целеполаганием и причинами повышения эффективности деятельности. При реализации экономических интересов интересы разных субъектов вступают в противоречие, обоснованной разной природой отношений и целей. В данном случае должны быть созданы условия для согласованной реализации интересов всех субъектов, которые положительно сказываются на росте эффективности каждого. При социально-экономическом подходе в равной степени важна адаптация категорий финансового и социального характера, то есть большое внимание уделяется инвестициям в сохранение окружающей среды и социально-значимые категории, так как в долгосрочной перспективе благодаря такому подходу к вложению денежных средств компания адаптирована к вызовам, трендам, а также к изменениям нормативного и лицензионного регулирования.</w:t>
      </w:r>
    </w:p>
    <w:p w:rsidR="00F115BB" w:rsidRPr="00F115BB" w:rsidRDefault="00123506" w:rsidP="00C30DE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5BB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Организационно-управленческий подход подразумевает своевременную и эффективную адаптацию предприятия посредством принимаемых управленческих решений и выстраивание логичной и иерархически упорядоченной структуры взаимоотношений на предприятии. В данном аспекте высокую степень важности имеет руководство предприятия, которое на основании достоверно проведенного анализа и методов прогнозирования принимает решения, способствующие своевременной адаптации всех его ресурсов.</w:t>
      </w:r>
    </w:p>
    <w:p w:rsidR="00F115BB" w:rsidRPr="00F115BB" w:rsidRDefault="00F115BB" w:rsidP="00F115BB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F115B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Стратегический подход к трансформационно-адаптационному потенциалу представляет собой выстраивание стратегической развития предприятия с учетом всех изменений и оценки их влияния на его деятельность. </w:t>
      </w:r>
      <w:r w:rsidRPr="00F115BB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Эффективная стратегия предприятия должна включать «точки роста» (перспективные направления) как основы ее эффективного развития. Определение «точек роста» позволяет предприятию реализовывать и адаптировать новые направления деятельности при эффективном функционировании консервативных направлений.</w:t>
      </w:r>
    </w:p>
    <w:p w:rsidR="00F115BB" w:rsidRPr="00F115BB" w:rsidRDefault="00F115BB" w:rsidP="00F115BB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5BB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Стратегия развития предприятия должна быть разработана не только с учетом ресурсных и геополитических особенностей страны, функционирования отрасли, предприятия, но и с учетом инновационных, актуальных направлений развития, которые могут скорректировать и снизить отрицательное влияние кризиса и способствовать эффективной адаптации предприятия </w:t>
      </w:r>
      <w:r w:rsidRPr="00F115BB">
        <w:rPr>
          <w:rFonts w:ascii="Times New Roman" w:hAnsi="Times New Roman" w:cs="Times New Roman"/>
          <w:color w:val="000000" w:themeColor="text1"/>
          <w:sz w:val="24"/>
          <w:szCs w:val="24"/>
        </w:rPr>
        <w:t>и выявлению приоритетного вектора развития.</w:t>
      </w:r>
    </w:p>
    <w:p w:rsidR="00F115BB" w:rsidRPr="00F115BB" w:rsidRDefault="00F115BB" w:rsidP="00F115BB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F115BB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Инновационно-технологический подход проявляется в адаптации предприятия к технологиям, способствующим повышению качества управления и конечной продукции, увеличению инвестиционных вложений в новые разработки, целесообразность и экономическую эффективность которых не всегда возможно определить на первоначальном этапе. Предприятие адаптируется к запросам внешней среды, определяет важность этих требований для среды внутренней и принимает решения о целесообразности инвестирования и внедрения инновационных технологий в свою деятельность. Трансформационно-адаптационный потенциал в данном случае способствует внедрению изменений и их практической применимости.</w:t>
      </w:r>
    </w:p>
    <w:p w:rsidR="000D5BC8" w:rsidRDefault="00ED6D70" w:rsidP="000D5BC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6D70">
        <w:rPr>
          <w:rFonts w:ascii="Times New Roman" w:hAnsi="Times New Roman" w:cs="Times New Roman"/>
          <w:color w:val="000000" w:themeColor="text1"/>
          <w:sz w:val="24"/>
          <w:szCs w:val="24"/>
        </w:rPr>
        <w:t>Ключевые</w:t>
      </w:r>
      <w:r w:rsidR="000D5B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направления</w:t>
      </w:r>
      <w:r w:rsidRPr="00ED6D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трансформационно-адаптационного потенциала отражены на рисунке 2.</w:t>
      </w:r>
    </w:p>
    <w:p w:rsidR="004856F4" w:rsidRPr="000D5BC8" w:rsidRDefault="004856F4" w:rsidP="000D5BC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6D70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0B8E4CB6" wp14:editId="6D21AB78">
            <wp:simplePos x="0" y="0"/>
            <wp:positionH relativeFrom="column">
              <wp:posOffset>-24130</wp:posOffset>
            </wp:positionH>
            <wp:positionV relativeFrom="paragraph">
              <wp:posOffset>228600</wp:posOffset>
            </wp:positionV>
            <wp:extent cx="6048375" cy="3200400"/>
            <wp:effectExtent l="38100" t="0" r="66675" b="19050"/>
            <wp:wrapTopAndBottom/>
            <wp:docPr id="114" name="Схема 1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6D70" w:rsidRPr="00ED6D70" w:rsidRDefault="00ED6D70" w:rsidP="00ED6D7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6D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2. </w:t>
      </w:r>
      <w:r w:rsidR="000D5BC8" w:rsidRPr="00ED6D70">
        <w:rPr>
          <w:rFonts w:ascii="Times New Roman" w:hAnsi="Times New Roman" w:cs="Times New Roman"/>
          <w:color w:val="000000" w:themeColor="text1"/>
          <w:sz w:val="24"/>
          <w:szCs w:val="24"/>
        </w:rPr>
        <w:t>Ключевые</w:t>
      </w:r>
      <w:r w:rsidR="000D5B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направления</w:t>
      </w:r>
      <w:r w:rsidR="000D5BC8" w:rsidRPr="00ED6D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трансформационно-адаптационного потенциала </w:t>
      </w:r>
      <w:r w:rsidRPr="00ED6D70">
        <w:rPr>
          <w:rFonts w:ascii="Times New Roman" w:hAnsi="Times New Roman" w:cs="Times New Roman"/>
          <w:color w:val="000000" w:themeColor="text1"/>
          <w:sz w:val="24"/>
          <w:szCs w:val="24"/>
        </w:rPr>
        <w:t>Источник: составлено автором.</w:t>
      </w:r>
    </w:p>
    <w:p w:rsidR="00ED6D70" w:rsidRPr="00F115BB" w:rsidRDefault="00ED6D70" w:rsidP="007F38E9">
      <w:pPr>
        <w:spacing w:after="0" w:line="240" w:lineRule="auto"/>
        <w:ind w:firstLine="709"/>
        <w:contextualSpacing/>
        <w:jc w:val="both"/>
        <w:rPr>
          <w:color w:val="000000" w:themeColor="text1"/>
          <w:sz w:val="24"/>
        </w:rPr>
      </w:pPr>
    </w:p>
    <w:p w:rsidR="002A296D" w:rsidRPr="007206E6" w:rsidRDefault="00F115BB" w:rsidP="00F115BB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</w:rPr>
      </w:pPr>
      <w:r w:rsidRPr="00F115BB">
        <w:rPr>
          <w:rFonts w:ascii="Times New Roman" w:hAnsi="Times New Roman" w:cs="Times New Roman"/>
          <w:color w:val="000000" w:themeColor="text1"/>
          <w:sz w:val="24"/>
          <w:szCs w:val="24"/>
        </w:rPr>
        <w:t>Сложность реализации транформационно-адаптационного потенциала состоит в идентификации элементов внешней среды, наиболее практически применимых и способствующих наращению качества функционирования организации по разным направлениям и, как следствие, успешной реализации концепции устойчивого развития.</w:t>
      </w:r>
    </w:p>
    <w:p w:rsidR="00986355" w:rsidRDefault="00986355" w:rsidP="0003685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86355" w:rsidRPr="00267C3D" w:rsidRDefault="00986355" w:rsidP="00267C3D">
      <w:pPr>
        <w:pStyle w:val="2"/>
        <w:jc w:val="center"/>
        <w:rPr>
          <w:rFonts w:ascii="Times New Roman" w:eastAsia="Courier New" w:hAnsi="Times New Roman" w:cs="Times New Roman"/>
          <w:b/>
          <w:color w:val="auto"/>
          <w:sz w:val="24"/>
          <w:szCs w:val="24"/>
        </w:rPr>
      </w:pPr>
      <w:r w:rsidRPr="00267C3D">
        <w:rPr>
          <w:rFonts w:ascii="Times New Roman" w:eastAsia="Courier New" w:hAnsi="Times New Roman" w:cs="Times New Roman"/>
          <w:b/>
          <w:color w:val="auto"/>
          <w:sz w:val="24"/>
          <w:szCs w:val="24"/>
        </w:rPr>
        <w:t>Библиографический список</w:t>
      </w:r>
    </w:p>
    <w:p w:rsidR="00143AD2" w:rsidRPr="00842FB2" w:rsidRDefault="00143AD2" w:rsidP="00842FB2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993"/>
        </w:tabs>
        <w:contextualSpacing/>
        <w:jc w:val="both"/>
        <w:rPr>
          <w:rFonts w:eastAsiaTheme="minorHAnsi"/>
        </w:rPr>
      </w:pPr>
      <w:bookmarkStart w:id="1" w:name="_Ref137234042"/>
      <w:r w:rsidRPr="00842FB2">
        <w:rPr>
          <w:bCs/>
          <w:color w:val="000000" w:themeColor="text1"/>
          <w:shd w:val="clear" w:color="auto" w:fill="FFFFFF"/>
        </w:rPr>
        <w:t>Акофф </w:t>
      </w:r>
      <w:r w:rsidRPr="00842FB2">
        <w:rPr>
          <w:color w:val="000000" w:themeColor="text1"/>
          <w:shd w:val="clear" w:color="auto" w:fill="FFFFFF"/>
        </w:rPr>
        <w:t xml:space="preserve">Р.Л. </w:t>
      </w:r>
      <w:r w:rsidRPr="00842FB2">
        <w:rPr>
          <w:bCs/>
          <w:color w:val="000000" w:themeColor="text1"/>
          <w:shd w:val="clear" w:color="auto" w:fill="FFFFFF"/>
        </w:rPr>
        <w:t>Планирование будущего корпорации. М.: Прогресс, 1985. 327 с.</w:t>
      </w:r>
      <w:bookmarkEnd w:id="1"/>
    </w:p>
    <w:p w:rsidR="00143AD2" w:rsidRPr="005B15BF" w:rsidRDefault="00143AD2" w:rsidP="00842FB2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993"/>
        </w:tabs>
        <w:contextualSpacing/>
        <w:jc w:val="both"/>
        <w:rPr>
          <w:rFonts w:eastAsiaTheme="minorHAnsi"/>
        </w:rPr>
      </w:pPr>
      <w:bookmarkStart w:id="2" w:name="_Ref137234031"/>
      <w:r w:rsidRPr="005B15BF">
        <w:rPr>
          <w:color w:val="000000" w:themeColor="text1"/>
          <w:shd w:val="clear" w:color="auto" w:fill="FFFFFF"/>
        </w:rPr>
        <w:t>Ансофф И. Стратегическое управление. М.: Экономика, 1989. 519 с.</w:t>
      </w:r>
      <w:bookmarkEnd w:id="2"/>
    </w:p>
    <w:p w:rsidR="00143AD2" w:rsidRPr="00842FB2" w:rsidRDefault="00143AD2" w:rsidP="00842FB2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993"/>
        </w:tabs>
        <w:contextualSpacing/>
        <w:jc w:val="both"/>
        <w:rPr>
          <w:rFonts w:eastAsiaTheme="minorHAnsi"/>
        </w:rPr>
      </w:pPr>
      <w:bookmarkStart w:id="3" w:name="_Ref137923637"/>
      <w:r w:rsidRPr="005B15BF">
        <w:lastRenderedPageBreak/>
        <w:t xml:space="preserve">Декларация тысячелетия ООН: принята 8 сентября 2000 г., Нью-Йорк. – Текст: электронный. – </w:t>
      </w:r>
      <w:r w:rsidRPr="00842FB2">
        <w:rPr>
          <w:lang w:val="en-US"/>
        </w:rPr>
        <w:t>URL</w:t>
      </w:r>
      <w:r w:rsidRPr="005B15BF">
        <w:t xml:space="preserve">: </w:t>
      </w:r>
      <w:hyperlink r:id="rId17" w:history="1">
        <w:r w:rsidRPr="005B15BF">
          <w:rPr>
            <w:rStyle w:val="a7"/>
          </w:rPr>
          <w:t>https://www.un.org/ru/documents/decl_conv/declarations/summitdecl.shtml</w:t>
        </w:r>
      </w:hyperlink>
      <w:bookmarkEnd w:id="3"/>
    </w:p>
    <w:p w:rsidR="00143AD2" w:rsidRPr="00842FB2" w:rsidRDefault="00143AD2" w:rsidP="00842FB2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993"/>
        </w:tabs>
        <w:contextualSpacing/>
        <w:jc w:val="both"/>
        <w:rPr>
          <w:rFonts w:eastAsiaTheme="minorHAnsi"/>
        </w:rPr>
      </w:pPr>
      <w:bookmarkStart w:id="4" w:name="_Ref137233883"/>
      <w:r w:rsidRPr="00842FB2">
        <w:rPr>
          <w:color w:val="000000" w:themeColor="text1"/>
          <w:shd w:val="clear" w:color="auto" w:fill="FFFFFF"/>
        </w:rPr>
        <w:t>Зяблицкая Н.В. Адаптационный потенциал как экономическая категория [Электронный ресурс] // Научный журнал НИУ ИТМО. Сер. Экономика и экологический менеджмент. 2012. №</w:t>
      </w:r>
      <w:r w:rsidRPr="00842FB2">
        <w:rPr>
          <w:color w:val="000000" w:themeColor="text1"/>
          <w:shd w:val="clear" w:color="auto" w:fill="FFFFFF"/>
          <w:lang w:val="en-US"/>
        </w:rPr>
        <w:t> </w:t>
      </w:r>
      <w:r w:rsidRPr="00842FB2">
        <w:rPr>
          <w:color w:val="000000" w:themeColor="text1"/>
          <w:shd w:val="clear" w:color="auto" w:fill="FFFFFF"/>
        </w:rPr>
        <w:t xml:space="preserve">1. </w:t>
      </w:r>
      <w:r w:rsidRPr="00842FB2">
        <w:rPr>
          <w:color w:val="000000" w:themeColor="text1"/>
          <w:shd w:val="clear" w:color="auto" w:fill="FFFFFF"/>
          <w:lang w:val="en-US"/>
        </w:rPr>
        <w:t>URL</w:t>
      </w:r>
      <w:r w:rsidRPr="00842FB2">
        <w:rPr>
          <w:color w:val="000000" w:themeColor="text1"/>
          <w:shd w:val="clear" w:color="auto" w:fill="FFFFFF"/>
        </w:rPr>
        <w:t xml:space="preserve">: </w:t>
      </w:r>
      <w:r w:rsidRPr="00842FB2">
        <w:rPr>
          <w:color w:val="000000" w:themeColor="text1"/>
          <w:shd w:val="clear" w:color="auto" w:fill="FFFFFF"/>
          <w:lang w:val="en-US"/>
        </w:rPr>
        <w:t>http</w:t>
      </w:r>
      <w:r w:rsidRPr="00842FB2">
        <w:rPr>
          <w:color w:val="000000" w:themeColor="text1"/>
          <w:shd w:val="clear" w:color="auto" w:fill="FFFFFF"/>
        </w:rPr>
        <w:t>://</w:t>
      </w:r>
      <w:r w:rsidRPr="00842FB2">
        <w:rPr>
          <w:color w:val="000000" w:themeColor="text1"/>
          <w:shd w:val="clear" w:color="auto" w:fill="FFFFFF"/>
          <w:lang w:val="en-US"/>
        </w:rPr>
        <w:t>economics</w:t>
      </w:r>
      <w:r w:rsidRPr="00842FB2">
        <w:rPr>
          <w:color w:val="000000" w:themeColor="text1"/>
          <w:shd w:val="clear" w:color="auto" w:fill="FFFFFF"/>
        </w:rPr>
        <w:t>.</w:t>
      </w:r>
      <w:r w:rsidRPr="00842FB2">
        <w:rPr>
          <w:color w:val="000000" w:themeColor="text1"/>
          <w:shd w:val="clear" w:color="auto" w:fill="FFFFFF"/>
          <w:lang w:val="en-US"/>
        </w:rPr>
        <w:t>itmo</w:t>
      </w:r>
      <w:r w:rsidRPr="00842FB2">
        <w:rPr>
          <w:color w:val="000000" w:themeColor="text1"/>
          <w:shd w:val="clear" w:color="auto" w:fill="FFFFFF"/>
        </w:rPr>
        <w:t>.</w:t>
      </w:r>
      <w:r w:rsidRPr="00842FB2">
        <w:rPr>
          <w:color w:val="000000" w:themeColor="text1"/>
          <w:shd w:val="clear" w:color="auto" w:fill="FFFFFF"/>
          <w:lang w:val="en-US"/>
        </w:rPr>
        <w:t>info</w:t>
      </w:r>
      <w:r w:rsidRPr="00842FB2">
        <w:rPr>
          <w:color w:val="000000" w:themeColor="text1"/>
          <w:shd w:val="clear" w:color="auto" w:fill="FFFFFF"/>
        </w:rPr>
        <w:t>/</w:t>
      </w:r>
      <w:r w:rsidRPr="00842FB2">
        <w:rPr>
          <w:color w:val="000000" w:themeColor="text1"/>
          <w:shd w:val="clear" w:color="auto" w:fill="FFFFFF"/>
          <w:lang w:val="en-US"/>
        </w:rPr>
        <w:t>file</w:t>
      </w:r>
      <w:r w:rsidRPr="00842FB2">
        <w:rPr>
          <w:color w:val="000000" w:themeColor="text1"/>
          <w:shd w:val="clear" w:color="auto" w:fill="FFFFFF"/>
        </w:rPr>
        <w:t>/</w:t>
      </w:r>
      <w:r w:rsidRPr="00842FB2">
        <w:rPr>
          <w:color w:val="000000" w:themeColor="text1"/>
          <w:shd w:val="clear" w:color="auto" w:fill="FFFFFF"/>
          <w:lang w:val="en-US"/>
        </w:rPr>
        <w:t>article</w:t>
      </w:r>
      <w:r w:rsidRPr="00842FB2">
        <w:rPr>
          <w:color w:val="000000" w:themeColor="text1"/>
          <w:shd w:val="clear" w:color="auto" w:fill="FFFFFF"/>
        </w:rPr>
        <w:t>/6773.</w:t>
      </w:r>
      <w:r w:rsidRPr="00842FB2">
        <w:rPr>
          <w:color w:val="000000" w:themeColor="text1"/>
          <w:shd w:val="clear" w:color="auto" w:fill="FFFFFF"/>
          <w:lang w:val="en-US"/>
        </w:rPr>
        <w:t>pdf</w:t>
      </w:r>
      <w:bookmarkEnd w:id="4"/>
      <w:r w:rsidRPr="00842FB2">
        <w:rPr>
          <w:color w:val="000000" w:themeColor="text1"/>
          <w:shd w:val="clear" w:color="auto" w:fill="FFFFFF"/>
        </w:rPr>
        <w:t>.</w:t>
      </w:r>
    </w:p>
    <w:p w:rsidR="00143AD2" w:rsidRPr="00842FB2" w:rsidRDefault="00143AD2" w:rsidP="00842FB2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993"/>
        </w:tabs>
        <w:contextualSpacing/>
        <w:jc w:val="both"/>
        <w:rPr>
          <w:rFonts w:eastAsiaTheme="minorHAnsi"/>
        </w:rPr>
      </w:pPr>
      <w:bookmarkStart w:id="5" w:name="_Ref137234156"/>
      <w:r w:rsidRPr="00842FB2">
        <w:rPr>
          <w:color w:val="000000" w:themeColor="text1"/>
        </w:rPr>
        <w:t>Иродова Е.Е., Кручинина С.П. Адаптационный потенциал экономической организации: обзор точек зрения // Экономика образования. 2009. № 3-2. С. 269–274.</w:t>
      </w:r>
      <w:bookmarkEnd w:id="5"/>
    </w:p>
    <w:p w:rsidR="00143AD2" w:rsidRPr="00842FB2" w:rsidRDefault="00143AD2" w:rsidP="00842FB2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993"/>
        </w:tabs>
        <w:contextualSpacing/>
        <w:jc w:val="both"/>
        <w:rPr>
          <w:rStyle w:val="a7"/>
          <w:rFonts w:eastAsiaTheme="minorHAnsi"/>
          <w:color w:val="auto"/>
          <w:u w:val="none"/>
        </w:rPr>
      </w:pPr>
      <w:bookmarkStart w:id="6" w:name="_Ref137923677"/>
      <w:r w:rsidRPr="00842FB2">
        <w:rPr>
          <w:shd w:val="clear" w:color="auto" w:fill="FFFFFF"/>
        </w:rPr>
        <w:t>Йоханнесбургская декларация по устойчивому развитию: принята 4 сентября 2002 г., Йоханнесбург</w:t>
      </w:r>
      <w:r w:rsidRPr="005B15BF">
        <w:t xml:space="preserve">. – Текст: электронный. – </w:t>
      </w:r>
      <w:r w:rsidRPr="00842FB2">
        <w:rPr>
          <w:lang w:val="en-US"/>
        </w:rPr>
        <w:t>URL</w:t>
      </w:r>
      <w:r w:rsidRPr="005B15BF">
        <w:t xml:space="preserve">: </w:t>
      </w:r>
      <w:hyperlink r:id="rId18" w:history="1">
        <w:r w:rsidRPr="005B15BF">
          <w:rPr>
            <w:rStyle w:val="a7"/>
          </w:rPr>
          <w:t>https://www.un.org/ru/documents/decl_conv/declarations/pdf/decl_wssd.pdf</w:t>
        </w:r>
      </w:hyperlink>
      <w:bookmarkEnd w:id="6"/>
    </w:p>
    <w:p w:rsidR="00143AD2" w:rsidRPr="005B15BF" w:rsidRDefault="00143AD2" w:rsidP="00842FB2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993"/>
        </w:tabs>
        <w:contextualSpacing/>
        <w:jc w:val="both"/>
        <w:rPr>
          <w:rFonts w:eastAsiaTheme="minorHAnsi"/>
        </w:rPr>
      </w:pPr>
      <w:bookmarkStart w:id="7" w:name="_Ref137233982"/>
      <w:r w:rsidRPr="005B15BF">
        <w:rPr>
          <w:color w:val="000000" w:themeColor="text1"/>
        </w:rPr>
        <w:t>Коуз Р. Фирма, рынок и право. М.: Новое изд-во, 2007. 224 с.</w:t>
      </w:r>
      <w:bookmarkEnd w:id="7"/>
    </w:p>
    <w:p w:rsidR="00143AD2" w:rsidRPr="005B15BF" w:rsidRDefault="00143AD2" w:rsidP="00842FB2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993"/>
        </w:tabs>
        <w:contextualSpacing/>
        <w:jc w:val="both"/>
      </w:pPr>
      <w:bookmarkStart w:id="8" w:name="_Ref137233871"/>
      <w:r w:rsidRPr="005B15BF">
        <w:rPr>
          <w:color w:val="000000" w:themeColor="text1"/>
        </w:rPr>
        <w:t>Лосев В.С., Михайленко К.Д. Эволюционная природа устойчивого развития промышленного предприятия: теоретический аспект // Вестник Тихоокеан. гос. ун-та. 2012. № 2. С. 155–164.</w:t>
      </w:r>
      <w:bookmarkEnd w:id="8"/>
    </w:p>
    <w:p w:rsidR="00143AD2" w:rsidRPr="005B15BF" w:rsidRDefault="00143AD2" w:rsidP="00842FB2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993"/>
          <w:tab w:val="left" w:pos="1134"/>
        </w:tabs>
        <w:contextualSpacing/>
        <w:jc w:val="both"/>
        <w:rPr>
          <w:rFonts w:eastAsiaTheme="minorHAnsi"/>
        </w:rPr>
      </w:pPr>
      <w:bookmarkStart w:id="9" w:name="_Ref137233922"/>
      <w:r w:rsidRPr="005B15BF">
        <w:rPr>
          <w:color w:val="000000" w:themeColor="text1"/>
        </w:rPr>
        <w:t>Маршалл А. Принципы экономической науки. М.: Прогресс, 1993. Т. 2. 310 с.</w:t>
      </w:r>
      <w:bookmarkEnd w:id="9"/>
    </w:p>
    <w:p w:rsidR="00143AD2" w:rsidRPr="005B15BF" w:rsidRDefault="00143AD2" w:rsidP="00842FB2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993"/>
          <w:tab w:val="left" w:pos="1134"/>
        </w:tabs>
        <w:contextualSpacing/>
        <w:jc w:val="both"/>
        <w:rPr>
          <w:rFonts w:eastAsiaTheme="minorHAnsi"/>
        </w:rPr>
      </w:pPr>
      <w:bookmarkStart w:id="10" w:name="_Ref137233951"/>
      <w:r w:rsidRPr="005B15BF">
        <w:rPr>
          <w:color w:val="000000" w:themeColor="text1"/>
        </w:rPr>
        <w:t>Нельсон Р., Уинтер С. Дж. Эволюционная теория экономических изменений. М.: Дело, 2002. 535 с.</w:t>
      </w:r>
      <w:bookmarkEnd w:id="10"/>
    </w:p>
    <w:p w:rsidR="00143AD2" w:rsidRPr="00842FB2" w:rsidRDefault="00143AD2" w:rsidP="00842FB2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993"/>
          <w:tab w:val="left" w:pos="1134"/>
        </w:tabs>
        <w:contextualSpacing/>
        <w:jc w:val="both"/>
        <w:rPr>
          <w:rFonts w:eastAsiaTheme="minorHAnsi"/>
        </w:rPr>
      </w:pPr>
      <w:bookmarkStart w:id="11" w:name="_Ref137233986"/>
      <w:r w:rsidRPr="00842FB2">
        <w:rPr>
          <w:color w:val="000000" w:themeColor="text1"/>
        </w:rPr>
        <w:t>Норт Д. Институты, институциональные изменения и функционирование экономики. М.: Начала, 1997. 180 с.</w:t>
      </w:r>
      <w:bookmarkEnd w:id="11"/>
    </w:p>
    <w:p w:rsidR="00143AD2" w:rsidRPr="00003AC2" w:rsidRDefault="00143AD2" w:rsidP="00842FB2">
      <w:pPr>
        <w:pStyle w:val="a3"/>
        <w:numPr>
          <w:ilvl w:val="0"/>
          <w:numId w:val="12"/>
        </w:numPr>
        <w:shd w:val="clear" w:color="auto" w:fill="FFFFFF"/>
        <w:tabs>
          <w:tab w:val="left" w:pos="426"/>
          <w:tab w:val="left" w:pos="993"/>
          <w:tab w:val="left" w:pos="1134"/>
        </w:tabs>
        <w:contextualSpacing/>
        <w:jc w:val="both"/>
        <w:rPr>
          <w:rFonts w:eastAsia="MinionPro-Regular"/>
        </w:rPr>
      </w:pPr>
      <w:bookmarkStart w:id="12" w:name="_Ref137924428"/>
      <w:r w:rsidRPr="00003AC2">
        <w:t>Орехова, С. В</w:t>
      </w:r>
      <w:r w:rsidR="005B15BF" w:rsidRPr="00003AC2">
        <w:t xml:space="preserve">. </w:t>
      </w:r>
      <w:r w:rsidRPr="00003AC2">
        <w:t xml:space="preserve">Эмпирическое конструирование институциональной карты российского металлургического комплекса / С. В. Орехова // Вестник Московского университета. </w:t>
      </w:r>
      <w:r w:rsidR="005B15BF" w:rsidRPr="00003AC2">
        <w:t xml:space="preserve">2017. </w:t>
      </w:r>
      <w:r w:rsidRPr="00003AC2">
        <w:t>Серия 6: Экономика. № 4. С. 73-99.</w:t>
      </w:r>
      <w:bookmarkEnd w:id="12"/>
    </w:p>
    <w:p w:rsidR="00143AD2" w:rsidRPr="00842FB2" w:rsidRDefault="00143AD2" w:rsidP="00842FB2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993"/>
          <w:tab w:val="left" w:pos="1134"/>
        </w:tabs>
        <w:contextualSpacing/>
        <w:jc w:val="both"/>
        <w:rPr>
          <w:rFonts w:eastAsiaTheme="minorHAnsi"/>
        </w:rPr>
      </w:pPr>
      <w:bookmarkStart w:id="13" w:name="_Ref137233930"/>
      <w:r w:rsidRPr="00842FB2">
        <w:rPr>
          <w:color w:val="000000" w:themeColor="text1"/>
        </w:rPr>
        <w:t>Пиндайк Р., Рубинфельд Д. Микроэкономика. М.: Экономика: Дело, 1992. 510 с.</w:t>
      </w:r>
      <w:bookmarkEnd w:id="13"/>
    </w:p>
    <w:p w:rsidR="00143AD2" w:rsidRPr="00842FB2" w:rsidRDefault="00143AD2" w:rsidP="00842FB2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993"/>
          <w:tab w:val="left" w:pos="1134"/>
        </w:tabs>
        <w:contextualSpacing/>
        <w:jc w:val="both"/>
        <w:rPr>
          <w:rFonts w:eastAsiaTheme="minorHAnsi"/>
        </w:rPr>
      </w:pPr>
      <w:bookmarkStart w:id="14" w:name="_Ref137923596"/>
      <w:r w:rsidRPr="005B15BF">
        <w:t xml:space="preserve">Программа ООН «Повестка дня на </w:t>
      </w:r>
      <w:r w:rsidRPr="00842FB2">
        <w:rPr>
          <w:lang w:val="en-US"/>
        </w:rPr>
        <w:t>XXI</w:t>
      </w:r>
      <w:r w:rsidRPr="005B15BF">
        <w:t xml:space="preserve"> век»</w:t>
      </w:r>
      <w:r w:rsidRPr="00842FB2">
        <w:rPr>
          <w:color w:val="000000" w:themeColor="text1"/>
        </w:rPr>
        <w:t xml:space="preserve">. – Текст: электронный. – </w:t>
      </w:r>
      <w:r w:rsidRPr="00842FB2">
        <w:rPr>
          <w:color w:val="000000" w:themeColor="text1"/>
          <w:lang w:val="en-US"/>
        </w:rPr>
        <w:t>URL</w:t>
      </w:r>
      <w:r w:rsidRPr="00842FB2">
        <w:rPr>
          <w:color w:val="000000" w:themeColor="text1"/>
        </w:rPr>
        <w:t xml:space="preserve">: </w:t>
      </w:r>
      <w:hyperlink r:id="rId19" w:history="1">
        <w:r w:rsidRPr="005B15BF">
          <w:rPr>
            <w:rStyle w:val="a7"/>
          </w:rPr>
          <w:t>https://biosafety.igc.by/wp-content/uploads/2021/02/18XXI-Centuary.pdf</w:t>
        </w:r>
      </w:hyperlink>
      <w:bookmarkEnd w:id="14"/>
    </w:p>
    <w:p w:rsidR="00143AD2" w:rsidRPr="00842FB2" w:rsidRDefault="00143AD2" w:rsidP="00842FB2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993"/>
          <w:tab w:val="left" w:pos="1134"/>
        </w:tabs>
        <w:contextualSpacing/>
        <w:jc w:val="both"/>
        <w:rPr>
          <w:rFonts w:eastAsiaTheme="minorHAnsi"/>
        </w:rPr>
      </w:pPr>
      <w:bookmarkStart w:id="15" w:name="_Ref137923577"/>
      <w:r w:rsidRPr="005B15BF">
        <w:t>Устойчивое развитие — глобальная программа изменений или крупномасштабная манипуляция?</w:t>
      </w:r>
      <w:r w:rsidRPr="00842FB2">
        <w:rPr>
          <w:color w:val="000000" w:themeColor="text1"/>
        </w:rPr>
        <w:t xml:space="preserve">  – Текст: электронный. – </w:t>
      </w:r>
      <w:r w:rsidRPr="00842FB2">
        <w:rPr>
          <w:color w:val="000000" w:themeColor="text1"/>
          <w:lang w:val="en-US"/>
        </w:rPr>
        <w:t>URL</w:t>
      </w:r>
      <w:r w:rsidRPr="00842FB2">
        <w:rPr>
          <w:color w:val="000000" w:themeColor="text1"/>
        </w:rPr>
        <w:t xml:space="preserve">: </w:t>
      </w:r>
      <w:hyperlink r:id="rId20" w:history="1">
        <w:r w:rsidRPr="005B15BF">
          <w:rPr>
            <w:rStyle w:val="a7"/>
          </w:rPr>
          <w:t>https://russiancouncil.ru/analytics-and-comments/analytics/ustoychivoe-razvitie-globalnaya-programma-izmeneniy-ili-krupnomasshtabnaya-manipulyatsiya/</w:t>
        </w:r>
      </w:hyperlink>
      <w:bookmarkEnd w:id="15"/>
    </w:p>
    <w:p w:rsidR="00143AD2" w:rsidRPr="00842FB2" w:rsidRDefault="00143AD2" w:rsidP="00842FB2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993"/>
          <w:tab w:val="left" w:pos="1134"/>
        </w:tabs>
        <w:contextualSpacing/>
        <w:jc w:val="both"/>
        <w:rPr>
          <w:rFonts w:eastAsiaTheme="minorHAnsi"/>
        </w:rPr>
      </w:pPr>
      <w:bookmarkStart w:id="16" w:name="_Ref137233961"/>
      <w:r w:rsidRPr="00842FB2">
        <w:rPr>
          <w:color w:val="000000" w:themeColor="text1"/>
        </w:rPr>
        <w:t>Шумпетер Й. Теория экономического развития (исследование предпринимательской прибыли, капитала, кредита, процента и цикла конъюнктуры). М.: Прогресс, 1982. 455 с.</w:t>
      </w:r>
      <w:bookmarkEnd w:id="16"/>
    </w:p>
    <w:p w:rsidR="00143AD2" w:rsidRPr="00EB69DB" w:rsidRDefault="00003AC2" w:rsidP="00EB69DB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993"/>
          <w:tab w:val="left" w:pos="1134"/>
        </w:tabs>
        <w:contextualSpacing/>
        <w:jc w:val="both"/>
        <w:rPr>
          <w:rFonts w:eastAsiaTheme="minorHAnsi"/>
          <w:lang w:val="en-US"/>
        </w:rPr>
      </w:pPr>
      <w:bookmarkStart w:id="17" w:name="_Ref138007025"/>
      <w:r w:rsidRPr="00842FB2">
        <w:rPr>
          <w:lang w:val="en-US"/>
        </w:rPr>
        <w:t>Miles R., Snow C. Fit, failure, and the hall of fame: How companies succeed or fail. New York: Free Press, 1994. 234 r.</w:t>
      </w:r>
      <w:bookmarkStart w:id="18" w:name="_GoBack"/>
      <w:bookmarkEnd w:id="17"/>
      <w:bookmarkEnd w:id="18"/>
    </w:p>
    <w:p w:rsidR="00E8015D" w:rsidRPr="00003AC2" w:rsidRDefault="00E8015D" w:rsidP="00E8015D">
      <w:pPr>
        <w:pStyle w:val="a3"/>
        <w:ind w:left="1069"/>
        <w:contextualSpacing/>
        <w:jc w:val="both"/>
        <w:rPr>
          <w:rFonts w:eastAsiaTheme="minorHAnsi"/>
          <w:lang w:val="en-US"/>
        </w:rPr>
      </w:pPr>
    </w:p>
    <w:p w:rsidR="00986355" w:rsidRPr="00136AF2" w:rsidRDefault="00986355" w:rsidP="00036858">
      <w:pPr>
        <w:spacing w:line="240" w:lineRule="auto"/>
        <w:contextualSpacing/>
        <w:jc w:val="center"/>
        <w:rPr>
          <w:rFonts w:ascii="Times New Roman" w:eastAsia="Calibri" w:hAnsi="Times New Roman" w:cs="Courier New"/>
          <w:b/>
          <w:color w:val="000000"/>
          <w:sz w:val="24"/>
        </w:rPr>
      </w:pPr>
      <w:r w:rsidRPr="00136AF2">
        <w:rPr>
          <w:rFonts w:ascii="Times New Roman" w:eastAsia="Calibri" w:hAnsi="Times New Roman" w:cs="Courier New"/>
          <w:b/>
          <w:color w:val="000000"/>
          <w:sz w:val="24"/>
        </w:rPr>
        <w:t xml:space="preserve">Информация об авторе </w:t>
      </w:r>
    </w:p>
    <w:p w:rsidR="00986355" w:rsidRPr="00F115BB" w:rsidRDefault="00986355" w:rsidP="0003685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355">
        <w:rPr>
          <w:rFonts w:ascii="Times New Roman" w:hAnsi="Times New Roman" w:cs="Times New Roman"/>
          <w:sz w:val="24"/>
          <w:szCs w:val="24"/>
        </w:rPr>
        <w:t xml:space="preserve">Имамвердиева Марина Ивановна (Россия, Сургут) – </w:t>
      </w:r>
      <w:r w:rsidR="00F67064">
        <w:rPr>
          <w:rFonts w:ascii="Times New Roman" w:hAnsi="Times New Roman" w:cs="Times New Roman"/>
          <w:sz w:val="24"/>
          <w:szCs w:val="24"/>
        </w:rPr>
        <w:t xml:space="preserve">старший </w:t>
      </w:r>
      <w:r w:rsidRPr="00986355">
        <w:rPr>
          <w:rFonts w:ascii="Times New Roman" w:hAnsi="Times New Roman" w:cs="Times New Roman"/>
          <w:sz w:val="24"/>
          <w:szCs w:val="24"/>
        </w:rPr>
        <w:t xml:space="preserve">преподаватель, </w:t>
      </w:r>
      <w:r w:rsidR="00F67064">
        <w:rPr>
          <w:rFonts w:ascii="Times New Roman" w:hAnsi="Times New Roman" w:cs="Times New Roman"/>
          <w:sz w:val="24"/>
          <w:szCs w:val="24"/>
        </w:rPr>
        <w:t xml:space="preserve">кандидат экономических наук, </w:t>
      </w:r>
      <w:r w:rsidRPr="00986355">
        <w:rPr>
          <w:rFonts w:ascii="Times New Roman" w:hAnsi="Times New Roman" w:cs="Times New Roman"/>
          <w:sz w:val="24"/>
          <w:szCs w:val="24"/>
        </w:rPr>
        <w:t>Бюджетное учреждение высшего образования Ханты-Мансийского автономного округа – Югры «Сургутский государственный университет» (</w:t>
      </w:r>
      <w:r>
        <w:rPr>
          <w:rFonts w:ascii="Times New Roman" w:hAnsi="Times New Roman" w:cs="Times New Roman"/>
          <w:sz w:val="24"/>
          <w:szCs w:val="24"/>
        </w:rPr>
        <w:t xml:space="preserve">Россия, 628412, </w:t>
      </w:r>
      <w:r w:rsidRPr="00986355">
        <w:rPr>
          <w:rFonts w:ascii="Times New Roman" w:hAnsi="Times New Roman" w:cs="Times New Roman"/>
          <w:sz w:val="24"/>
          <w:szCs w:val="24"/>
        </w:rPr>
        <w:t>Ханты-Мансийский автономный округ – Югра, г. Сургут, пр. Ленина</w:t>
      </w:r>
      <w:r w:rsidRPr="00F115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86355">
        <w:rPr>
          <w:rFonts w:ascii="Times New Roman" w:hAnsi="Times New Roman" w:cs="Times New Roman"/>
          <w:sz w:val="24"/>
          <w:szCs w:val="24"/>
        </w:rPr>
        <w:t>д</w:t>
      </w:r>
      <w:r w:rsidRPr="00F115BB">
        <w:rPr>
          <w:rFonts w:ascii="Times New Roman" w:hAnsi="Times New Roman" w:cs="Times New Roman"/>
          <w:sz w:val="24"/>
          <w:szCs w:val="24"/>
          <w:lang w:val="en-US"/>
        </w:rPr>
        <w:t xml:space="preserve">. 1, </w:t>
      </w:r>
      <w:r w:rsidRPr="00D575D0">
        <w:rPr>
          <w:rFonts w:ascii="Times New Roman" w:hAnsi="Times New Roman" w:cs="Times New Roman"/>
          <w:sz w:val="24"/>
          <w:szCs w:val="24"/>
          <w:lang w:val="en-US"/>
        </w:rPr>
        <w:t>imamverdieva</w:t>
      </w:r>
      <w:r w:rsidR="00F115BB">
        <w:rPr>
          <w:rFonts w:ascii="Times New Roman" w:hAnsi="Times New Roman" w:cs="Times New Roman"/>
          <w:sz w:val="24"/>
          <w:szCs w:val="24"/>
        </w:rPr>
        <w:t>.</w:t>
      </w:r>
      <w:r w:rsidRPr="00D575D0">
        <w:rPr>
          <w:rFonts w:ascii="Times New Roman" w:hAnsi="Times New Roman" w:cs="Times New Roman"/>
          <w:sz w:val="24"/>
          <w:szCs w:val="24"/>
          <w:lang w:val="en-US"/>
        </w:rPr>
        <w:t>mi</w:t>
      </w:r>
      <w:r w:rsidRPr="00F115BB">
        <w:rPr>
          <w:rFonts w:ascii="Times New Roman" w:hAnsi="Times New Roman" w:cs="Times New Roman"/>
          <w:sz w:val="24"/>
          <w:szCs w:val="24"/>
          <w:lang w:val="en-US"/>
        </w:rPr>
        <w:t>@</w:t>
      </w:r>
      <w:r w:rsidR="00F115BB">
        <w:rPr>
          <w:rFonts w:ascii="Times New Roman" w:hAnsi="Times New Roman" w:cs="Times New Roman"/>
          <w:sz w:val="24"/>
          <w:szCs w:val="24"/>
          <w:lang w:val="en-US"/>
        </w:rPr>
        <w:t>gmail.com</w:t>
      </w:r>
      <w:r w:rsidRPr="00F115B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E633FE" w:rsidRPr="00F115BB" w:rsidRDefault="00E633FE" w:rsidP="00F115BB">
      <w:pPr>
        <w:spacing w:line="288" w:lineRule="auto"/>
        <w:rPr>
          <w:rFonts w:ascii="Times New Roman" w:eastAsia="Calibri" w:hAnsi="Times New Roman" w:cs="Courier New"/>
          <w:b/>
          <w:sz w:val="24"/>
          <w:lang w:val="en-US"/>
        </w:rPr>
      </w:pPr>
    </w:p>
    <w:p w:rsidR="00D575D0" w:rsidRPr="00C401AF" w:rsidRDefault="007206E6" w:rsidP="00D575D0">
      <w:pPr>
        <w:spacing w:after="0" w:line="240" w:lineRule="auto"/>
        <w:jc w:val="right"/>
        <w:rPr>
          <w:rFonts w:ascii="Times New Roman" w:eastAsia="Calibri" w:hAnsi="Times New Roman" w:cs="Courier New"/>
          <w:b/>
          <w:sz w:val="24"/>
          <w:lang w:val="en-US"/>
        </w:rPr>
      </w:pPr>
      <w:r w:rsidRPr="00C401AF">
        <w:rPr>
          <w:rFonts w:ascii="Times New Roman" w:eastAsia="Calibri" w:hAnsi="Times New Roman" w:cs="Courier New"/>
          <w:b/>
          <w:sz w:val="24"/>
          <w:lang w:val="en-US"/>
        </w:rPr>
        <w:t>Imamverdieva M.I.</w:t>
      </w:r>
    </w:p>
    <w:p w:rsidR="00E633FE" w:rsidRDefault="005B15BF" w:rsidP="00E633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B15BF">
        <w:rPr>
          <w:rFonts w:ascii="Times New Roman" w:hAnsi="Times New Roman" w:cs="Times New Roman"/>
          <w:b/>
          <w:sz w:val="24"/>
          <w:szCs w:val="24"/>
          <w:lang w:val="en-US"/>
        </w:rPr>
        <w:t>TRANSFORMATION AND ADAPTATION POTENTIAL AS A KEY ELEMENT OF THE IMPLEMENTATION OF SUSTAINABLE DEVELOPMENT OF ENTERPRISES</w:t>
      </w:r>
    </w:p>
    <w:p w:rsidR="005B15BF" w:rsidRPr="00842FB2" w:rsidRDefault="005B15BF" w:rsidP="00E633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</w:p>
    <w:p w:rsidR="00EB69DB" w:rsidRDefault="00842FB2" w:rsidP="00842FB2">
      <w:pPr>
        <w:spacing w:line="240" w:lineRule="auto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842FB2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Annotation.</w:t>
      </w:r>
      <w:r w:rsidRPr="00842FB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="00EB69DB" w:rsidRPr="00EB69D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The article discusses the theoretical aspects of</w:t>
      </w:r>
      <w:r w:rsidR="00EB69D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the formation of the category Sustainable development</w:t>
      </w:r>
      <w:r w:rsidR="00EB69DB" w:rsidRPr="00EB69D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and the key element - transformational and adaptive potential. The main approaches to the transformation and adaptation potential are classified, which ma</w:t>
      </w:r>
      <w:r w:rsidR="00EB69D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kes it possible to identify </w:t>
      </w:r>
      <w:r w:rsidR="00EB69DB" w:rsidRPr="00EB69D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content part.</w:t>
      </w:r>
    </w:p>
    <w:p w:rsidR="00C401AF" w:rsidRPr="00842FB2" w:rsidRDefault="00842FB2" w:rsidP="00842FB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42FB2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lastRenderedPageBreak/>
        <w:t xml:space="preserve">Keywords: </w:t>
      </w:r>
      <w:r w:rsidRPr="00842FB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sustainable development, transformation and adaptation potential, transformation, trends.</w:t>
      </w:r>
    </w:p>
    <w:p w:rsidR="00C37489" w:rsidRPr="0031589E" w:rsidRDefault="00C37489" w:rsidP="00C3748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val="en-US"/>
        </w:rPr>
      </w:pPr>
      <w:r w:rsidRPr="0031589E">
        <w:rPr>
          <w:rFonts w:ascii="Times New Roman" w:eastAsia="Times New Roman" w:hAnsi="Times New Roman"/>
          <w:b/>
          <w:sz w:val="24"/>
          <w:lang w:val="en-US"/>
        </w:rPr>
        <w:t>Information about the author</w:t>
      </w:r>
    </w:p>
    <w:p w:rsidR="00C37489" w:rsidRPr="00D575D0" w:rsidRDefault="00C37489" w:rsidP="00C374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lang w:val="en-US"/>
        </w:rPr>
      </w:pPr>
      <w:r w:rsidRPr="00C37489">
        <w:rPr>
          <w:rFonts w:ascii="Times New Roman" w:eastAsia="Calibri" w:hAnsi="Times New Roman"/>
          <w:sz w:val="24"/>
          <w:lang w:val="en-US"/>
        </w:rPr>
        <w:t xml:space="preserve">Imamverdieva Marina Ivanovna (Russia, Surgut) - </w:t>
      </w:r>
      <w:r w:rsidR="00F67064" w:rsidRPr="00F67064">
        <w:rPr>
          <w:rFonts w:ascii="Times New Roman" w:eastAsia="Calibri" w:hAnsi="Times New Roman"/>
          <w:sz w:val="24"/>
          <w:lang w:val="en-US"/>
        </w:rPr>
        <w:t>Senior Lecturer, PhD in Economics</w:t>
      </w:r>
      <w:r w:rsidRPr="00C37489">
        <w:rPr>
          <w:rFonts w:ascii="Times New Roman" w:eastAsia="Calibri" w:hAnsi="Times New Roman"/>
          <w:sz w:val="24"/>
          <w:lang w:val="en-US"/>
        </w:rPr>
        <w:t xml:space="preserve">, Surgut State University (Russia, 628412, Khanty-Mansiysk Autonomous Okrug - Yugra, Surgut, Lenin Ave., d. 1, </w:t>
      </w:r>
      <w:hyperlink r:id="rId21" w:history="1">
        <w:r w:rsidR="00D575D0" w:rsidRPr="00C15269">
          <w:rPr>
            <w:rStyle w:val="a7"/>
            <w:rFonts w:ascii="Times New Roman" w:eastAsia="Calibri" w:hAnsi="Times New Roman"/>
            <w:sz w:val="24"/>
            <w:lang w:val="en-US"/>
          </w:rPr>
          <w:t>imamverdieva_mi@surgu.ru</w:t>
        </w:r>
      </w:hyperlink>
      <w:r w:rsidRPr="00C37489">
        <w:rPr>
          <w:rFonts w:ascii="Times New Roman" w:eastAsia="Calibri" w:hAnsi="Times New Roman"/>
          <w:sz w:val="24"/>
          <w:lang w:val="en-US"/>
        </w:rPr>
        <w:t>)</w:t>
      </w:r>
      <w:r w:rsidR="00D575D0" w:rsidRPr="00D575D0">
        <w:rPr>
          <w:rFonts w:ascii="Times New Roman" w:eastAsia="Calibri" w:hAnsi="Times New Roman"/>
          <w:sz w:val="24"/>
          <w:lang w:val="en-US"/>
        </w:rPr>
        <w:t>.</w:t>
      </w:r>
    </w:p>
    <w:p w:rsidR="00D575D0" w:rsidRPr="00D575D0" w:rsidRDefault="00D575D0" w:rsidP="00C3748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lang w:val="en-US"/>
        </w:rPr>
      </w:pPr>
    </w:p>
    <w:p w:rsidR="00C37489" w:rsidRPr="00C401AF" w:rsidRDefault="00C37489" w:rsidP="00D575D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val="en-US"/>
        </w:rPr>
      </w:pPr>
      <w:r w:rsidRPr="00C401AF">
        <w:rPr>
          <w:rFonts w:ascii="Times New Roman" w:eastAsia="Times New Roman" w:hAnsi="Times New Roman"/>
          <w:b/>
          <w:sz w:val="24"/>
          <w:lang w:val="en-US"/>
        </w:rPr>
        <w:t>References</w:t>
      </w:r>
    </w:p>
    <w:p w:rsidR="00003AC2" w:rsidRPr="00003AC2" w:rsidRDefault="00C401AF" w:rsidP="00003AC2">
      <w:pPr>
        <w:tabs>
          <w:tab w:val="left" w:pos="284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401AF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C401A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03AC2" w:rsidRPr="00003AC2">
        <w:rPr>
          <w:rFonts w:ascii="Times New Roman" w:hAnsi="Times New Roman" w:cs="Times New Roman"/>
          <w:sz w:val="24"/>
          <w:szCs w:val="24"/>
          <w:lang w:val="en-US"/>
        </w:rPr>
        <w:t>Akoff R.L. Planirovanie budushhego korporacii. M.: Progress, 1985. 327 s.</w:t>
      </w:r>
    </w:p>
    <w:p w:rsidR="00003AC2" w:rsidRPr="00003AC2" w:rsidRDefault="00003AC2" w:rsidP="00003AC2">
      <w:pPr>
        <w:tabs>
          <w:tab w:val="left" w:pos="284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3AC2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003AC2">
        <w:rPr>
          <w:rFonts w:ascii="Times New Roman" w:hAnsi="Times New Roman" w:cs="Times New Roman"/>
          <w:sz w:val="24"/>
          <w:szCs w:val="24"/>
          <w:lang w:val="en-US"/>
        </w:rPr>
        <w:tab/>
        <w:t>Ansoff I. Strategicheskoe upravlenie. M.: E`konomika, 1989. 519 s.</w:t>
      </w:r>
    </w:p>
    <w:p w:rsidR="00003AC2" w:rsidRPr="00003AC2" w:rsidRDefault="00003AC2" w:rsidP="00003AC2">
      <w:pPr>
        <w:tabs>
          <w:tab w:val="left" w:pos="284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3AC2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003AC2">
        <w:rPr>
          <w:rFonts w:ascii="Times New Roman" w:hAnsi="Times New Roman" w:cs="Times New Roman"/>
          <w:sz w:val="24"/>
          <w:szCs w:val="24"/>
          <w:lang w:val="en-US"/>
        </w:rPr>
        <w:tab/>
        <w:t>Deklaraciya ty`syacheletiya OON: prinyata 8 sentyabrya 2000 g., N`yu-Jork. – Tekst: e`lektronny`j. – URL: https://www.un.org/ru/documents/decl_conv/declarations/summitdecl.shtml</w:t>
      </w:r>
    </w:p>
    <w:p w:rsidR="00003AC2" w:rsidRPr="00003AC2" w:rsidRDefault="00003AC2" w:rsidP="00003AC2">
      <w:pPr>
        <w:tabs>
          <w:tab w:val="left" w:pos="284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3AC2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003AC2">
        <w:rPr>
          <w:rFonts w:ascii="Times New Roman" w:hAnsi="Times New Roman" w:cs="Times New Roman"/>
          <w:sz w:val="24"/>
          <w:szCs w:val="24"/>
          <w:lang w:val="en-US"/>
        </w:rPr>
        <w:tab/>
        <w:t>Zyabliczkaya N.V. Adaptacionny`j potencial kak e`konomicheskaya kategoriya [E`lektronny`j resurs] // Nauchny`j zhurnal NIU ITMO. Ser. E`konomika i e`kologicheskij menedzhment. 2012. № 1. URL: http://economics.itmo.info/file/article/6773.pdf.</w:t>
      </w:r>
    </w:p>
    <w:p w:rsidR="00003AC2" w:rsidRPr="00003AC2" w:rsidRDefault="00003AC2" w:rsidP="00003AC2">
      <w:pPr>
        <w:tabs>
          <w:tab w:val="left" w:pos="284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3AC2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003AC2">
        <w:rPr>
          <w:rFonts w:ascii="Times New Roman" w:hAnsi="Times New Roman" w:cs="Times New Roman"/>
          <w:sz w:val="24"/>
          <w:szCs w:val="24"/>
          <w:lang w:val="en-US"/>
        </w:rPr>
        <w:tab/>
        <w:t>Irodova E.E., Kruchinina S.P. Adaptacionny`j potencial e`konomicheskoj organizacii: obzor tochek zreniya // E`konomika obrazovaniya. 2009. № 3-2. S. 269–274.</w:t>
      </w:r>
    </w:p>
    <w:p w:rsidR="00003AC2" w:rsidRPr="00003AC2" w:rsidRDefault="00003AC2" w:rsidP="00003AC2">
      <w:pPr>
        <w:tabs>
          <w:tab w:val="left" w:pos="284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3AC2">
        <w:rPr>
          <w:rFonts w:ascii="Times New Roman" w:hAnsi="Times New Roman" w:cs="Times New Roman"/>
          <w:sz w:val="24"/>
          <w:szCs w:val="24"/>
          <w:lang w:val="en-US"/>
        </w:rPr>
        <w:t>6.</w:t>
      </w:r>
      <w:r w:rsidRPr="00003AC2">
        <w:rPr>
          <w:rFonts w:ascii="Times New Roman" w:hAnsi="Times New Roman" w:cs="Times New Roman"/>
          <w:sz w:val="24"/>
          <w:szCs w:val="24"/>
          <w:lang w:val="en-US"/>
        </w:rPr>
        <w:tab/>
        <w:t>Joxannesburgskaya deklaraciya po ustojchivomu razvitiyu: prinyata 4 sentyabrya 2002 g., Joxannesburg. – Tekst: e`lektronny`j. – URL: https://www.un.org/ru/documents/decl_conv/declarations/pdf/decl_wssd.pdf</w:t>
      </w:r>
    </w:p>
    <w:p w:rsidR="00003AC2" w:rsidRPr="00003AC2" w:rsidRDefault="00003AC2" w:rsidP="00003AC2">
      <w:pPr>
        <w:tabs>
          <w:tab w:val="left" w:pos="284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3AC2">
        <w:rPr>
          <w:rFonts w:ascii="Times New Roman" w:hAnsi="Times New Roman" w:cs="Times New Roman"/>
          <w:sz w:val="24"/>
          <w:szCs w:val="24"/>
          <w:lang w:val="en-US"/>
        </w:rPr>
        <w:t>7.</w:t>
      </w:r>
      <w:r w:rsidRPr="00003AC2">
        <w:rPr>
          <w:rFonts w:ascii="Times New Roman" w:hAnsi="Times New Roman" w:cs="Times New Roman"/>
          <w:sz w:val="24"/>
          <w:szCs w:val="24"/>
          <w:lang w:val="en-US"/>
        </w:rPr>
        <w:tab/>
        <w:t>Kouz R. Firma, ry`nok i pravo. M.: Novoe izd-vo, 2007. 224 s.</w:t>
      </w:r>
    </w:p>
    <w:p w:rsidR="00003AC2" w:rsidRPr="00003AC2" w:rsidRDefault="00003AC2" w:rsidP="00003AC2">
      <w:pPr>
        <w:tabs>
          <w:tab w:val="left" w:pos="284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3AC2">
        <w:rPr>
          <w:rFonts w:ascii="Times New Roman" w:hAnsi="Times New Roman" w:cs="Times New Roman"/>
          <w:sz w:val="24"/>
          <w:szCs w:val="24"/>
          <w:lang w:val="en-US"/>
        </w:rPr>
        <w:t>8.</w:t>
      </w:r>
      <w:r w:rsidRPr="00003AC2">
        <w:rPr>
          <w:rFonts w:ascii="Times New Roman" w:hAnsi="Times New Roman" w:cs="Times New Roman"/>
          <w:sz w:val="24"/>
          <w:szCs w:val="24"/>
          <w:lang w:val="en-US"/>
        </w:rPr>
        <w:tab/>
        <w:t>Losev V.S., Mixajlenko K.D. E`volyucionnaya priroda ustojchivogo razvitiya promy`shlennogo predpriyatiya: teoreticheskij aspekt // Vestnik Tixookean. gos. un-ta. 2012. № 2. S. 155–164.</w:t>
      </w:r>
    </w:p>
    <w:p w:rsidR="00003AC2" w:rsidRPr="00003AC2" w:rsidRDefault="00003AC2" w:rsidP="00003AC2">
      <w:pPr>
        <w:tabs>
          <w:tab w:val="left" w:pos="284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3AC2">
        <w:rPr>
          <w:rFonts w:ascii="Times New Roman" w:hAnsi="Times New Roman" w:cs="Times New Roman"/>
          <w:sz w:val="24"/>
          <w:szCs w:val="24"/>
          <w:lang w:val="en-US"/>
        </w:rPr>
        <w:t>9.</w:t>
      </w:r>
      <w:r w:rsidRPr="00003AC2">
        <w:rPr>
          <w:rFonts w:ascii="Times New Roman" w:hAnsi="Times New Roman" w:cs="Times New Roman"/>
          <w:sz w:val="24"/>
          <w:szCs w:val="24"/>
          <w:lang w:val="en-US"/>
        </w:rPr>
        <w:tab/>
        <w:t>Marshall A. Principy` e`konomicheskoj nauki. M.: Progress, 1993. T. 2. 310 s.</w:t>
      </w:r>
    </w:p>
    <w:p w:rsidR="00003AC2" w:rsidRPr="00003AC2" w:rsidRDefault="00003AC2" w:rsidP="00003AC2">
      <w:pPr>
        <w:tabs>
          <w:tab w:val="left" w:pos="284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3AC2">
        <w:rPr>
          <w:rFonts w:ascii="Times New Roman" w:hAnsi="Times New Roman" w:cs="Times New Roman"/>
          <w:sz w:val="24"/>
          <w:szCs w:val="24"/>
          <w:lang w:val="en-US"/>
        </w:rPr>
        <w:t>10.</w:t>
      </w:r>
      <w:r w:rsidRPr="00003AC2">
        <w:rPr>
          <w:rFonts w:ascii="Times New Roman" w:hAnsi="Times New Roman" w:cs="Times New Roman"/>
          <w:sz w:val="24"/>
          <w:szCs w:val="24"/>
          <w:lang w:val="en-US"/>
        </w:rPr>
        <w:tab/>
        <w:t>Nel`son R., Uinter S. Dzh. E`volyucionnaya teoriya e`konomicheskix izmenenij. M.: Delo, 2002. 535 s.</w:t>
      </w:r>
    </w:p>
    <w:p w:rsidR="00003AC2" w:rsidRPr="00003AC2" w:rsidRDefault="00003AC2" w:rsidP="00003AC2">
      <w:pPr>
        <w:tabs>
          <w:tab w:val="left" w:pos="284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3AC2">
        <w:rPr>
          <w:rFonts w:ascii="Times New Roman" w:hAnsi="Times New Roman" w:cs="Times New Roman"/>
          <w:sz w:val="24"/>
          <w:szCs w:val="24"/>
          <w:lang w:val="en-US"/>
        </w:rPr>
        <w:t>11.</w:t>
      </w:r>
      <w:r w:rsidRPr="00003AC2">
        <w:rPr>
          <w:rFonts w:ascii="Times New Roman" w:hAnsi="Times New Roman" w:cs="Times New Roman"/>
          <w:sz w:val="24"/>
          <w:szCs w:val="24"/>
          <w:lang w:val="en-US"/>
        </w:rPr>
        <w:tab/>
        <w:t>Nort D. Instituty`, institucional`ny`e izmeneniya i funkcionirovanie e`konomiki. M.: Nachala, 1997. 180 s.</w:t>
      </w:r>
    </w:p>
    <w:p w:rsidR="00003AC2" w:rsidRPr="00003AC2" w:rsidRDefault="00003AC2" w:rsidP="00003AC2">
      <w:pPr>
        <w:tabs>
          <w:tab w:val="left" w:pos="284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3AC2">
        <w:rPr>
          <w:rFonts w:ascii="Times New Roman" w:hAnsi="Times New Roman" w:cs="Times New Roman"/>
          <w:sz w:val="24"/>
          <w:szCs w:val="24"/>
          <w:lang w:val="en-US"/>
        </w:rPr>
        <w:t>12.</w:t>
      </w:r>
      <w:r w:rsidRPr="00003AC2">
        <w:rPr>
          <w:rFonts w:ascii="Times New Roman" w:hAnsi="Times New Roman" w:cs="Times New Roman"/>
          <w:sz w:val="24"/>
          <w:szCs w:val="24"/>
          <w:lang w:val="en-US"/>
        </w:rPr>
        <w:tab/>
        <w:t>Orexova, S. V. E`mpiricheskoe konstruirovanie institucional`noj karty` rossijskogo metallurgicheskogo kompleksa / S. V. Orexova // Vestnik Moskovskogo universiteta. 2017. Seriya 6: E`konomika. № 4. S. 73-99.</w:t>
      </w:r>
    </w:p>
    <w:p w:rsidR="00003AC2" w:rsidRPr="00003AC2" w:rsidRDefault="00003AC2" w:rsidP="00003AC2">
      <w:pPr>
        <w:tabs>
          <w:tab w:val="left" w:pos="284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3AC2">
        <w:rPr>
          <w:rFonts w:ascii="Times New Roman" w:hAnsi="Times New Roman" w:cs="Times New Roman"/>
          <w:sz w:val="24"/>
          <w:szCs w:val="24"/>
          <w:lang w:val="en-US"/>
        </w:rPr>
        <w:t>13.</w:t>
      </w:r>
      <w:r w:rsidRPr="00003AC2">
        <w:rPr>
          <w:rFonts w:ascii="Times New Roman" w:hAnsi="Times New Roman" w:cs="Times New Roman"/>
          <w:sz w:val="24"/>
          <w:szCs w:val="24"/>
          <w:lang w:val="en-US"/>
        </w:rPr>
        <w:tab/>
        <w:t>Pindajk R., Rubinfel`d D. Mikroe`konomika. M.: E`konomika: Delo, 1992. 510 s.</w:t>
      </w:r>
    </w:p>
    <w:p w:rsidR="00003AC2" w:rsidRPr="00003AC2" w:rsidRDefault="00003AC2" w:rsidP="00003AC2">
      <w:pPr>
        <w:tabs>
          <w:tab w:val="left" w:pos="284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3AC2">
        <w:rPr>
          <w:rFonts w:ascii="Times New Roman" w:hAnsi="Times New Roman" w:cs="Times New Roman"/>
          <w:sz w:val="24"/>
          <w:szCs w:val="24"/>
          <w:lang w:val="en-US"/>
        </w:rPr>
        <w:t>14.</w:t>
      </w:r>
      <w:r w:rsidRPr="00003AC2">
        <w:rPr>
          <w:rFonts w:ascii="Times New Roman" w:hAnsi="Times New Roman" w:cs="Times New Roman"/>
          <w:sz w:val="24"/>
          <w:szCs w:val="24"/>
          <w:lang w:val="en-US"/>
        </w:rPr>
        <w:tab/>
        <w:t>Programma OON «Povestka dnya na XXI vek». – Tekst: e`lektronny`j. – URL: https://biosafety.igc.by/wp-content/uploads/2021/02/18XXI-Centuary.pdf</w:t>
      </w:r>
    </w:p>
    <w:p w:rsidR="00003AC2" w:rsidRPr="00003AC2" w:rsidRDefault="00003AC2" w:rsidP="00003AC2">
      <w:pPr>
        <w:tabs>
          <w:tab w:val="left" w:pos="284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3AC2">
        <w:rPr>
          <w:rFonts w:ascii="Times New Roman" w:hAnsi="Times New Roman" w:cs="Times New Roman"/>
          <w:sz w:val="24"/>
          <w:szCs w:val="24"/>
          <w:lang w:val="en-US"/>
        </w:rPr>
        <w:t>15.</w:t>
      </w:r>
      <w:r w:rsidRPr="00003AC2">
        <w:rPr>
          <w:rFonts w:ascii="Times New Roman" w:hAnsi="Times New Roman" w:cs="Times New Roman"/>
          <w:sz w:val="24"/>
          <w:szCs w:val="24"/>
          <w:lang w:val="en-US"/>
        </w:rPr>
        <w:tab/>
        <w:t>Ustojchivoe razvitie — global`naya programma izmenenij ili krupnomasshtabnaya manipulyaciya?  – Tekst: e`lektronny`j. – URL: https://russiancouncil.ru/analytics-and-comments/analytics/ustoychivoe-razvitie-globalnaya-programma-izmeneniy-ili-krupnomasshtabnaya-manipulyatsiya/</w:t>
      </w:r>
    </w:p>
    <w:p w:rsidR="00003AC2" w:rsidRPr="00003AC2" w:rsidRDefault="00003AC2" w:rsidP="00003AC2">
      <w:pPr>
        <w:tabs>
          <w:tab w:val="left" w:pos="284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3AC2">
        <w:rPr>
          <w:rFonts w:ascii="Times New Roman" w:hAnsi="Times New Roman" w:cs="Times New Roman"/>
          <w:sz w:val="24"/>
          <w:szCs w:val="24"/>
          <w:lang w:val="en-US"/>
        </w:rPr>
        <w:t>16.</w:t>
      </w:r>
      <w:r w:rsidRPr="00003AC2">
        <w:rPr>
          <w:rFonts w:ascii="Times New Roman" w:hAnsi="Times New Roman" w:cs="Times New Roman"/>
          <w:sz w:val="24"/>
          <w:szCs w:val="24"/>
          <w:lang w:val="en-US"/>
        </w:rPr>
        <w:tab/>
        <w:t>Shumpeter J. Teoriya e`konomicheskogo razvitiya (issledovanie predprinimatel`skoj priby`li, kapitala, kredita, procenta i cikla kon``yunktury`). M.: Progress, 1982. 455 s.</w:t>
      </w:r>
    </w:p>
    <w:p w:rsidR="00C37489" w:rsidRPr="007206E6" w:rsidRDefault="00003AC2" w:rsidP="00003AC2">
      <w:pPr>
        <w:tabs>
          <w:tab w:val="left" w:pos="284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3AC2">
        <w:rPr>
          <w:rFonts w:ascii="Times New Roman" w:hAnsi="Times New Roman" w:cs="Times New Roman"/>
          <w:sz w:val="24"/>
          <w:szCs w:val="24"/>
          <w:lang w:val="en-US"/>
        </w:rPr>
        <w:t>17.</w:t>
      </w:r>
      <w:r w:rsidRPr="00003AC2">
        <w:rPr>
          <w:rFonts w:ascii="Times New Roman" w:hAnsi="Times New Roman" w:cs="Times New Roman"/>
          <w:sz w:val="24"/>
          <w:szCs w:val="24"/>
          <w:lang w:val="en-US"/>
        </w:rPr>
        <w:tab/>
        <w:t>Miles R., Snow C. Fit, failure, and the hall of fame: How companies succeed or fail. New York: Free Press, 1994. 234 r.</w:t>
      </w:r>
    </w:p>
    <w:sectPr w:rsidR="00C37489" w:rsidRPr="007206E6" w:rsidSect="00986355">
      <w:pgSz w:w="11909" w:h="16834" w:code="9"/>
      <w:pgMar w:top="1321" w:right="852" w:bottom="357" w:left="1418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F94" w:rsidRDefault="00394F94" w:rsidP="00F115BB">
      <w:pPr>
        <w:spacing w:after="0" w:line="240" w:lineRule="auto"/>
      </w:pPr>
      <w:r>
        <w:separator/>
      </w:r>
    </w:p>
  </w:endnote>
  <w:endnote w:type="continuationSeparator" w:id="0">
    <w:p w:rsidR="00394F94" w:rsidRDefault="00394F94" w:rsidP="00F11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F94" w:rsidRDefault="00394F94" w:rsidP="00F115BB">
      <w:pPr>
        <w:spacing w:after="0" w:line="240" w:lineRule="auto"/>
      </w:pPr>
      <w:r>
        <w:separator/>
      </w:r>
    </w:p>
  </w:footnote>
  <w:footnote w:type="continuationSeparator" w:id="0">
    <w:p w:rsidR="00394F94" w:rsidRDefault="00394F94" w:rsidP="00F115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E32F4"/>
    <w:multiLevelType w:val="hybridMultilevel"/>
    <w:tmpl w:val="E718323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A371571"/>
    <w:multiLevelType w:val="hybridMultilevel"/>
    <w:tmpl w:val="B764F9A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433DC"/>
    <w:multiLevelType w:val="hybridMultilevel"/>
    <w:tmpl w:val="5C28D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C7414"/>
    <w:multiLevelType w:val="hybridMultilevel"/>
    <w:tmpl w:val="AC361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430DC"/>
    <w:multiLevelType w:val="hybridMultilevel"/>
    <w:tmpl w:val="576E8442"/>
    <w:lvl w:ilvl="0" w:tplc="DA5815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AD20E4C"/>
    <w:multiLevelType w:val="hybridMultilevel"/>
    <w:tmpl w:val="0CC8CEEE"/>
    <w:lvl w:ilvl="0" w:tplc="F648EF9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D672B52"/>
    <w:multiLevelType w:val="hybridMultilevel"/>
    <w:tmpl w:val="5CCED35C"/>
    <w:lvl w:ilvl="0" w:tplc="D608A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02743B"/>
    <w:multiLevelType w:val="hybridMultilevel"/>
    <w:tmpl w:val="89309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03D04"/>
    <w:multiLevelType w:val="hybridMultilevel"/>
    <w:tmpl w:val="D736A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76306"/>
    <w:multiLevelType w:val="hybridMultilevel"/>
    <w:tmpl w:val="3634F494"/>
    <w:lvl w:ilvl="0" w:tplc="86281BA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B322A16"/>
    <w:multiLevelType w:val="hybridMultilevel"/>
    <w:tmpl w:val="9356E8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9B9783E"/>
    <w:multiLevelType w:val="hybridMultilevel"/>
    <w:tmpl w:val="488A5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11"/>
  </w:num>
  <w:num w:numId="9">
    <w:abstractNumId w:val="4"/>
  </w:num>
  <w:num w:numId="10">
    <w:abstractNumId w:val="9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76C"/>
    <w:rsid w:val="00003AC2"/>
    <w:rsid w:val="00036858"/>
    <w:rsid w:val="000B23B4"/>
    <w:rsid w:val="000D5BC8"/>
    <w:rsid w:val="00121A37"/>
    <w:rsid w:val="00123506"/>
    <w:rsid w:val="00143AD2"/>
    <w:rsid w:val="00267C3D"/>
    <w:rsid w:val="002A296D"/>
    <w:rsid w:val="002F376C"/>
    <w:rsid w:val="0034336E"/>
    <w:rsid w:val="00367F05"/>
    <w:rsid w:val="00394F94"/>
    <w:rsid w:val="004856F4"/>
    <w:rsid w:val="004B56C1"/>
    <w:rsid w:val="005438F4"/>
    <w:rsid w:val="00572921"/>
    <w:rsid w:val="005906CE"/>
    <w:rsid w:val="005A0B9B"/>
    <w:rsid w:val="005B15BF"/>
    <w:rsid w:val="0061751E"/>
    <w:rsid w:val="006E3E7E"/>
    <w:rsid w:val="007206E6"/>
    <w:rsid w:val="0078198F"/>
    <w:rsid w:val="00793456"/>
    <w:rsid w:val="007C59F1"/>
    <w:rsid w:val="007F38E9"/>
    <w:rsid w:val="00842FB2"/>
    <w:rsid w:val="008A3E5A"/>
    <w:rsid w:val="008E596E"/>
    <w:rsid w:val="00986355"/>
    <w:rsid w:val="009B4DD4"/>
    <w:rsid w:val="009C563B"/>
    <w:rsid w:val="009E1F7E"/>
    <w:rsid w:val="00AF176C"/>
    <w:rsid w:val="00C30DE8"/>
    <w:rsid w:val="00C37489"/>
    <w:rsid w:val="00C401AF"/>
    <w:rsid w:val="00C65887"/>
    <w:rsid w:val="00CE4FB6"/>
    <w:rsid w:val="00D04EC7"/>
    <w:rsid w:val="00D575D0"/>
    <w:rsid w:val="00D77F91"/>
    <w:rsid w:val="00E633FE"/>
    <w:rsid w:val="00E8015D"/>
    <w:rsid w:val="00EB69DB"/>
    <w:rsid w:val="00ED6D70"/>
    <w:rsid w:val="00F115BB"/>
    <w:rsid w:val="00F14515"/>
    <w:rsid w:val="00F6102C"/>
    <w:rsid w:val="00F67064"/>
    <w:rsid w:val="00F7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EB0C7"/>
  <w15:chartTrackingRefBased/>
  <w15:docId w15:val="{76B1DEFD-CED2-470B-ACFA-C82C18424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801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F376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2F37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бычный1"/>
    <w:basedOn w:val="a0"/>
    <w:rsid w:val="002F376C"/>
  </w:style>
  <w:style w:type="paragraph" w:styleId="a5">
    <w:name w:val="Normal (Web)"/>
    <w:basedOn w:val="a"/>
    <w:uiPriority w:val="99"/>
    <w:unhideWhenUsed/>
    <w:rsid w:val="0098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86355"/>
    <w:rPr>
      <w:i/>
      <w:iCs/>
    </w:rPr>
  </w:style>
  <w:style w:type="character" w:styleId="a7">
    <w:name w:val="Hyperlink"/>
    <w:basedOn w:val="a0"/>
    <w:uiPriority w:val="99"/>
    <w:unhideWhenUsed/>
    <w:rsid w:val="00121A37"/>
    <w:rPr>
      <w:color w:val="0563C1" w:themeColor="hyperlink"/>
      <w:u w:val="single"/>
    </w:rPr>
  </w:style>
  <w:style w:type="paragraph" w:customStyle="1" w:styleId="Default">
    <w:name w:val="Default"/>
    <w:rsid w:val="004B56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206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206E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206E6"/>
  </w:style>
  <w:style w:type="paragraph" w:customStyle="1" w:styleId="a8">
    <w:name w:val="Стандарт"/>
    <w:basedOn w:val="a"/>
    <w:link w:val="a9"/>
    <w:qFormat/>
    <w:rsid w:val="00F115BB"/>
    <w:pPr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Стандарт Знак"/>
    <w:basedOn w:val="a0"/>
    <w:link w:val="a8"/>
    <w:rsid w:val="00F115B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note text"/>
    <w:basedOn w:val="a"/>
    <w:link w:val="ab"/>
    <w:uiPriority w:val="99"/>
    <w:unhideWhenUsed/>
    <w:rsid w:val="00F115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F115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F115BB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E801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d">
    <w:name w:val="annotation reference"/>
    <w:basedOn w:val="a0"/>
    <w:uiPriority w:val="99"/>
    <w:semiHidden/>
    <w:unhideWhenUsed/>
    <w:rsid w:val="00267C3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67C3D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67C3D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67C3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67C3D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267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267C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hyperlink" Target="https://www.un.org/ru/documents/decl_conv/declarations/pdf/decl_wssd.pdf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imamverdieva_mi@surgu.ru" TargetMode="Externa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hyperlink" Target="https://www.un.org/ru/documents/decl_conv/declarations/summitdecl.shtml" TargetMode="Externa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20" Type="http://schemas.openxmlformats.org/officeDocument/2006/relationships/hyperlink" Target="https://russiancouncil.ru/analytics-and-comments/analytics/ustoychivoe-razvitie-globalnaya-programma-izmeneniy-ili-krupnomasshtabnaya-manipulyatsiy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23" Type="http://schemas.openxmlformats.org/officeDocument/2006/relationships/theme" Target="theme/theme1.xml"/><Relationship Id="rId10" Type="http://schemas.openxmlformats.org/officeDocument/2006/relationships/diagramColors" Target="diagrams/colors1.xml"/><Relationship Id="rId19" Type="http://schemas.openxmlformats.org/officeDocument/2006/relationships/hyperlink" Target="https://biosafety.igc.by/wp-content/uploads/2021/02/18XXI-Centuary.pdf" TargetMode="Externa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7D2204E-10EE-4467-ADDA-D1AC5D3F28E9}" type="doc">
      <dgm:prSet loTypeId="urn:microsoft.com/office/officeart/2005/8/layout/process2" loCatId="process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F96C25DE-E07D-432B-B5E1-12FED84B94CC}">
      <dgm:prSet phldrT="[Текст]" custT="1"/>
      <dgm:spPr/>
      <dgm:t>
        <a:bodyPr/>
        <a:lstStyle/>
        <a:p>
          <a:pPr algn="ctr"/>
          <a:r>
            <a:rPr lang="ru-RU" sz="1100" i="0">
              <a:latin typeface="Times New Roman" panose="02020603050405020304" pitchFamily="18" charset="0"/>
              <a:cs typeface="Times New Roman" panose="02020603050405020304" pitchFamily="18" charset="0"/>
            </a:rPr>
            <a:t>Организационно-управленческий </a:t>
          </a:r>
        </a:p>
        <a:p>
          <a:pPr algn="ctr"/>
          <a:r>
            <a:rPr lang="ru-RU" sz="1100" i="0">
              <a:latin typeface="Times New Roman" panose="02020603050405020304" pitchFamily="18" charset="0"/>
              <a:cs typeface="Times New Roman" panose="02020603050405020304" pitchFamily="18" charset="0"/>
            </a:rPr>
            <a:t>Формирование рациональной организационного строения компании с четко опредленными на основании анализа структуры рабочих мест и управления, а также эффективных коммуникаций. Обозначение принципов и методов управления организацией, стилей, целей, задач и миссии. Адаптация включает в себя: процесс качественных изменений в организации, зависящих от срока ее сущестования, рост компании, диверсификация производства и увеличение численности в зависимости от внедряемых изменений</a:t>
          </a:r>
        </a:p>
      </dgm:t>
    </dgm:pt>
    <dgm:pt modelId="{90EFECBF-842E-494A-8143-0ADBFE283FA9}" type="parTrans" cxnId="{E02D1E93-D1D9-4B27-8FB2-E7AF96812CCB}">
      <dgm:prSet/>
      <dgm:spPr/>
      <dgm:t>
        <a:bodyPr/>
        <a:lstStyle/>
        <a:p>
          <a:endParaRPr lang="ru-RU"/>
        </a:p>
      </dgm:t>
    </dgm:pt>
    <dgm:pt modelId="{71334434-3400-4742-A5E0-FED68D7DDE8A}" type="sibTrans" cxnId="{E02D1E93-D1D9-4B27-8FB2-E7AF96812CCB}">
      <dgm:prSet/>
      <dgm:spPr/>
      <dgm:t>
        <a:bodyPr/>
        <a:lstStyle/>
        <a:p>
          <a:endParaRPr lang="ru-RU"/>
        </a:p>
      </dgm:t>
    </dgm:pt>
    <dgm:pt modelId="{68B1CA41-CF21-4E57-95C1-D7C2247C1EBD}">
      <dgm:prSet phldrT="[Текст]" custT="1"/>
      <dgm:spPr/>
      <dgm:t>
        <a:bodyPr/>
        <a:lstStyle/>
        <a:p>
          <a:pPr algn="ctr"/>
          <a:r>
            <a:rPr lang="ru-RU" sz="1100" i="0">
              <a:latin typeface="Times New Roman" panose="02020603050405020304" pitchFamily="18" charset="0"/>
              <a:cs typeface="Times New Roman" panose="02020603050405020304" pitchFamily="18" charset="0"/>
            </a:rPr>
            <a:t>Стратегический</a:t>
          </a:r>
        </a:p>
        <a:p>
          <a:pPr algn="ctr"/>
          <a:r>
            <a:rPr lang="ru-RU" sz="1100" i="0">
              <a:latin typeface="Times New Roman" panose="02020603050405020304" pitchFamily="18" charset="0"/>
              <a:cs typeface="Times New Roman" panose="02020603050405020304" pitchFamily="18" charset="0"/>
            </a:rPr>
            <a:t>Развитие и адаптация организации - сложноструктурированная стратегия, рассчитанная на изменение внутренней среды с целью повышения качества функционирования и адаптации к требованиям рынка. Компания акцентирует внимание на изменениях во внешней среде, которые позволяют развиваться и повышать свою эффектвиность</a:t>
          </a:r>
        </a:p>
      </dgm:t>
    </dgm:pt>
    <dgm:pt modelId="{9583581F-5C28-4CBD-A449-50C5B7879F5B}" type="parTrans" cxnId="{1FFD85F4-1E0B-4536-A38F-CD9E05EEEA1A}">
      <dgm:prSet/>
      <dgm:spPr/>
      <dgm:t>
        <a:bodyPr/>
        <a:lstStyle/>
        <a:p>
          <a:endParaRPr lang="ru-RU"/>
        </a:p>
      </dgm:t>
    </dgm:pt>
    <dgm:pt modelId="{E311AD62-3845-4584-891A-20531C669BBD}" type="sibTrans" cxnId="{1FFD85F4-1E0B-4536-A38F-CD9E05EEEA1A}">
      <dgm:prSet/>
      <dgm:spPr/>
      <dgm:t>
        <a:bodyPr/>
        <a:lstStyle/>
        <a:p>
          <a:endParaRPr lang="ru-RU"/>
        </a:p>
      </dgm:t>
    </dgm:pt>
    <dgm:pt modelId="{113A1E25-B55C-4D37-B07E-61EEF7E482D5}">
      <dgm:prSet phldrT="[Текст]" custT="1"/>
      <dgm:spPr/>
      <dgm:t>
        <a:bodyPr/>
        <a:lstStyle/>
        <a:p>
          <a:pPr algn="ctr"/>
          <a:r>
            <a:rPr lang="ru-RU" sz="1100" i="0">
              <a:latin typeface="Times New Roman" panose="02020603050405020304" pitchFamily="18" charset="0"/>
              <a:cs typeface="Times New Roman" panose="02020603050405020304" pitchFamily="18" charset="0"/>
            </a:rPr>
            <a:t>Инновационно-технологический </a:t>
          </a:r>
        </a:p>
        <a:p>
          <a:pPr algn="ctr"/>
          <a:r>
            <a:rPr lang="ru-RU" sz="1100" i="0">
              <a:latin typeface="Times New Roman" panose="02020603050405020304" pitchFamily="18" charset="0"/>
              <a:cs typeface="Times New Roman" panose="02020603050405020304" pitchFamily="18" charset="0"/>
            </a:rPr>
            <a:t>Организация активно внедряет технологии, которые оказывают положительное влияние на ее деятельность, требуют значительных инвестиций, а также продиктованы внешними условиями, тенденциями и потребностями самой компании. Изменения в деятельности компании связаны с углублением дифференциации потребительского спроса, высокой технологичностью и высокой степень динамики технологий, предполагающей быстрый моральный износ товара или услуги </a:t>
          </a:r>
        </a:p>
      </dgm:t>
    </dgm:pt>
    <dgm:pt modelId="{1F89E7F3-8BE6-48ED-A16F-21FA9D9E760D}" type="parTrans" cxnId="{C3D917B2-833F-4151-B939-7276E4FE02CA}">
      <dgm:prSet/>
      <dgm:spPr/>
      <dgm:t>
        <a:bodyPr/>
        <a:lstStyle/>
        <a:p>
          <a:endParaRPr lang="ru-RU"/>
        </a:p>
      </dgm:t>
    </dgm:pt>
    <dgm:pt modelId="{1501DABB-9F15-4DE0-BAA1-2DB1BB93CC03}" type="sibTrans" cxnId="{C3D917B2-833F-4151-B939-7276E4FE02CA}">
      <dgm:prSet/>
      <dgm:spPr/>
      <dgm:t>
        <a:bodyPr/>
        <a:lstStyle/>
        <a:p>
          <a:endParaRPr lang="ru-RU"/>
        </a:p>
      </dgm:t>
    </dgm:pt>
    <dgm:pt modelId="{DE70973D-EE73-493D-9F13-E88627996E79}">
      <dgm:prSet phldrT="[Текст]" custT="1"/>
      <dgm:spPr/>
      <dgm:t>
        <a:bodyPr/>
        <a:lstStyle/>
        <a:p>
          <a:pPr algn="ctr"/>
          <a:r>
            <a:rPr lang="ru-RU" sz="1100" b="0" i="0">
              <a:latin typeface="Times New Roman" panose="02020603050405020304" pitchFamily="18" charset="0"/>
              <a:cs typeface="Times New Roman" panose="02020603050405020304" pitchFamily="18" charset="0"/>
            </a:rPr>
            <a:t>Социально-экономический</a:t>
          </a:r>
        </a:p>
        <a:p>
          <a:pPr algn="ctr"/>
          <a:r>
            <a:rPr lang="ru-RU" sz="1100" i="0">
              <a:latin typeface="Times New Roman" panose="02020603050405020304" pitchFamily="18" charset="0"/>
              <a:cs typeface="Times New Roman" panose="02020603050405020304" pitchFamily="18" charset="0"/>
            </a:rPr>
            <a:t>Рализация экономичсеких интересов всех носителей, достижение результатов, способствующих повышению показателей и возможностей предприятия в рыночной среде. Эффективное социальное инвестированием в развитие социальной инфраструктуры, охрану окружающей среды; затраты, направленные на внешнюю социальную среду</a:t>
          </a:r>
        </a:p>
      </dgm:t>
    </dgm:pt>
    <dgm:pt modelId="{97A49A89-084D-4027-B8EB-889578DDD470}" type="sibTrans" cxnId="{65F46AA4-7B9C-42ED-878B-10839054F8FF}">
      <dgm:prSet/>
      <dgm:spPr/>
      <dgm:t>
        <a:bodyPr/>
        <a:lstStyle/>
        <a:p>
          <a:endParaRPr lang="ru-RU"/>
        </a:p>
      </dgm:t>
    </dgm:pt>
    <dgm:pt modelId="{79E32656-F6BD-4D5E-8B4A-CF7E149724B1}" type="parTrans" cxnId="{65F46AA4-7B9C-42ED-878B-10839054F8FF}">
      <dgm:prSet/>
      <dgm:spPr/>
      <dgm:t>
        <a:bodyPr/>
        <a:lstStyle/>
        <a:p>
          <a:endParaRPr lang="ru-RU"/>
        </a:p>
      </dgm:t>
    </dgm:pt>
    <dgm:pt modelId="{2A7F28B1-EC22-4119-9EE1-0161DCFA0381}" type="pres">
      <dgm:prSet presAssocID="{77D2204E-10EE-4467-ADDA-D1AC5D3F28E9}" presName="linearFlow" presStyleCnt="0">
        <dgm:presLayoutVars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8F46AA05-F563-41C2-AB43-AB6BC1469E45}" type="pres">
      <dgm:prSet presAssocID="{DE70973D-EE73-493D-9F13-E88627996E79}" presName="node" presStyleLbl="node1" presStyleIdx="0" presStyleCnt="4" custScaleX="195154" custScaleY="120923" custLinFactNeighborX="-1722" custLinFactNeighborY="-167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288DDA4-0A25-42F1-BC1A-2719144F75A6}" type="pres">
      <dgm:prSet presAssocID="{97A49A89-084D-4027-B8EB-889578DDD470}" presName="sibTrans" presStyleLbl="sibTrans2D1" presStyleIdx="0" presStyleCnt="3" custAng="0" custScaleX="114202" custScaleY="76559" custLinFactNeighborX="-15205" custLinFactNeighborY="4643"/>
      <dgm:spPr/>
      <dgm:t>
        <a:bodyPr/>
        <a:lstStyle/>
        <a:p>
          <a:endParaRPr lang="ru-RU"/>
        </a:p>
      </dgm:t>
    </dgm:pt>
    <dgm:pt modelId="{BA13A972-B502-4FBA-9451-7076A56FF6AA}" type="pres">
      <dgm:prSet presAssocID="{97A49A89-084D-4027-B8EB-889578DDD470}" presName="connectorText" presStyleLbl="sibTrans2D1" presStyleIdx="0" presStyleCnt="3"/>
      <dgm:spPr/>
      <dgm:t>
        <a:bodyPr/>
        <a:lstStyle/>
        <a:p>
          <a:endParaRPr lang="ru-RU"/>
        </a:p>
      </dgm:t>
    </dgm:pt>
    <dgm:pt modelId="{03E41D7A-DBE7-41AC-A2FC-24114803E9ED}" type="pres">
      <dgm:prSet presAssocID="{F96C25DE-E07D-432B-B5E1-12FED84B94CC}" presName="node" presStyleLbl="node1" presStyleIdx="1" presStyleCnt="4" custScaleX="195154" custScaleY="136508" custLinFactNeighborX="-1722" custLinFactNeighborY="-1141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7B7B3A4-894B-4F65-8E0D-789285183765}" type="pres">
      <dgm:prSet presAssocID="{71334434-3400-4742-A5E0-FED68D7DDE8A}" presName="sibTrans" presStyleLbl="sibTrans2D1" presStyleIdx="1" presStyleCnt="3" custAng="21573646" custFlipHor="1" custScaleX="93651" custScaleY="76217" custLinFactNeighborX="-16862" custLinFactNeighborY="9467"/>
      <dgm:spPr/>
      <dgm:t>
        <a:bodyPr/>
        <a:lstStyle/>
        <a:p>
          <a:endParaRPr lang="ru-RU"/>
        </a:p>
      </dgm:t>
    </dgm:pt>
    <dgm:pt modelId="{01B30759-5570-4191-934B-EE8F2A23D7FA}" type="pres">
      <dgm:prSet presAssocID="{71334434-3400-4742-A5E0-FED68D7DDE8A}" presName="connectorText" presStyleLbl="sibTrans2D1" presStyleIdx="1" presStyleCnt="3"/>
      <dgm:spPr/>
      <dgm:t>
        <a:bodyPr/>
        <a:lstStyle/>
        <a:p>
          <a:endParaRPr lang="ru-RU"/>
        </a:p>
      </dgm:t>
    </dgm:pt>
    <dgm:pt modelId="{80D76709-08E7-46FC-9B47-5855E8D24E5C}" type="pres">
      <dgm:prSet presAssocID="{68B1CA41-CF21-4E57-95C1-D7C2247C1EBD}" presName="node" presStyleLbl="node1" presStyleIdx="2" presStyleCnt="4" custScaleX="195154" custScaleY="114089" custLinFactNeighborX="-1278" custLinFactNeighborY="-1983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FA8338C-DB7E-4E10-B6FE-EBBD83B4CC1E}" type="pres">
      <dgm:prSet presAssocID="{E311AD62-3845-4584-891A-20531C669BBD}" presName="sibTrans" presStyleLbl="sibTrans2D1" presStyleIdx="2" presStyleCnt="3" custScaleX="104480" custScaleY="76387" custLinFactNeighborX="-22277" custLinFactNeighborY="4497"/>
      <dgm:spPr/>
      <dgm:t>
        <a:bodyPr/>
        <a:lstStyle/>
        <a:p>
          <a:endParaRPr lang="ru-RU"/>
        </a:p>
      </dgm:t>
    </dgm:pt>
    <dgm:pt modelId="{B0FB2657-A357-4D0F-BCF9-80956D920AB0}" type="pres">
      <dgm:prSet presAssocID="{E311AD62-3845-4584-891A-20531C669BBD}" presName="connectorText" presStyleLbl="sibTrans2D1" presStyleIdx="2" presStyleCnt="3"/>
      <dgm:spPr/>
      <dgm:t>
        <a:bodyPr/>
        <a:lstStyle/>
        <a:p>
          <a:endParaRPr lang="ru-RU"/>
        </a:p>
      </dgm:t>
    </dgm:pt>
    <dgm:pt modelId="{80220572-AD86-4302-826E-19440F484EF3}" type="pres">
      <dgm:prSet presAssocID="{113A1E25-B55C-4D37-B07E-61EEF7E482D5}" presName="node" presStyleLbl="node1" presStyleIdx="3" presStyleCnt="4" custScaleX="195154" custScaleY="141695" custLinFactNeighborX="-911" custLinFactNeighborY="-3027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5CDF792-17AA-47A0-8BBF-E21D5ED83001}" type="presOf" srcId="{F96C25DE-E07D-432B-B5E1-12FED84B94CC}" destId="{03E41D7A-DBE7-41AC-A2FC-24114803E9ED}" srcOrd="0" destOrd="0" presId="urn:microsoft.com/office/officeart/2005/8/layout/process2"/>
    <dgm:cxn modelId="{51A03E5C-29B8-4C9C-96CE-A47AFD6ACB20}" type="presOf" srcId="{97A49A89-084D-4027-B8EB-889578DDD470}" destId="{8288DDA4-0A25-42F1-BC1A-2719144F75A6}" srcOrd="0" destOrd="0" presId="urn:microsoft.com/office/officeart/2005/8/layout/process2"/>
    <dgm:cxn modelId="{67988108-959F-4432-B60A-DFB465CD13EA}" type="presOf" srcId="{71334434-3400-4742-A5E0-FED68D7DDE8A}" destId="{57B7B3A4-894B-4F65-8E0D-789285183765}" srcOrd="0" destOrd="0" presId="urn:microsoft.com/office/officeart/2005/8/layout/process2"/>
    <dgm:cxn modelId="{1FFD85F4-1E0B-4536-A38F-CD9E05EEEA1A}" srcId="{77D2204E-10EE-4467-ADDA-D1AC5D3F28E9}" destId="{68B1CA41-CF21-4E57-95C1-D7C2247C1EBD}" srcOrd="2" destOrd="0" parTransId="{9583581F-5C28-4CBD-A449-50C5B7879F5B}" sibTransId="{E311AD62-3845-4584-891A-20531C669BBD}"/>
    <dgm:cxn modelId="{4C4D9BCB-ED48-4C49-86DF-E7906225FE9F}" type="presOf" srcId="{68B1CA41-CF21-4E57-95C1-D7C2247C1EBD}" destId="{80D76709-08E7-46FC-9B47-5855E8D24E5C}" srcOrd="0" destOrd="0" presId="urn:microsoft.com/office/officeart/2005/8/layout/process2"/>
    <dgm:cxn modelId="{E02D1E93-D1D9-4B27-8FB2-E7AF96812CCB}" srcId="{77D2204E-10EE-4467-ADDA-D1AC5D3F28E9}" destId="{F96C25DE-E07D-432B-B5E1-12FED84B94CC}" srcOrd="1" destOrd="0" parTransId="{90EFECBF-842E-494A-8143-0ADBFE283FA9}" sibTransId="{71334434-3400-4742-A5E0-FED68D7DDE8A}"/>
    <dgm:cxn modelId="{005BD8B2-DC0E-4381-989E-D268A74EA190}" type="presOf" srcId="{E311AD62-3845-4584-891A-20531C669BBD}" destId="{5FA8338C-DB7E-4E10-B6FE-EBBD83B4CC1E}" srcOrd="0" destOrd="0" presId="urn:microsoft.com/office/officeart/2005/8/layout/process2"/>
    <dgm:cxn modelId="{B6C95FE0-C08A-4175-9AFB-57DAE4B31673}" type="presOf" srcId="{E311AD62-3845-4584-891A-20531C669BBD}" destId="{B0FB2657-A357-4D0F-BCF9-80956D920AB0}" srcOrd="1" destOrd="0" presId="urn:microsoft.com/office/officeart/2005/8/layout/process2"/>
    <dgm:cxn modelId="{0A43EB8B-9044-4A90-BE27-4A2F03E2BC71}" type="presOf" srcId="{97A49A89-084D-4027-B8EB-889578DDD470}" destId="{BA13A972-B502-4FBA-9451-7076A56FF6AA}" srcOrd="1" destOrd="0" presId="urn:microsoft.com/office/officeart/2005/8/layout/process2"/>
    <dgm:cxn modelId="{B7534C71-D254-44BF-BC51-A571FBDE32B6}" type="presOf" srcId="{DE70973D-EE73-493D-9F13-E88627996E79}" destId="{8F46AA05-F563-41C2-AB43-AB6BC1469E45}" srcOrd="0" destOrd="0" presId="urn:microsoft.com/office/officeart/2005/8/layout/process2"/>
    <dgm:cxn modelId="{65F46AA4-7B9C-42ED-878B-10839054F8FF}" srcId="{77D2204E-10EE-4467-ADDA-D1AC5D3F28E9}" destId="{DE70973D-EE73-493D-9F13-E88627996E79}" srcOrd="0" destOrd="0" parTransId="{79E32656-F6BD-4D5E-8B4A-CF7E149724B1}" sibTransId="{97A49A89-084D-4027-B8EB-889578DDD470}"/>
    <dgm:cxn modelId="{04396EE9-525F-4C1E-A767-9D7E24538D08}" type="presOf" srcId="{77D2204E-10EE-4467-ADDA-D1AC5D3F28E9}" destId="{2A7F28B1-EC22-4119-9EE1-0161DCFA0381}" srcOrd="0" destOrd="0" presId="urn:microsoft.com/office/officeart/2005/8/layout/process2"/>
    <dgm:cxn modelId="{4C887249-21FC-450F-B3E2-D47AAC8F584D}" type="presOf" srcId="{113A1E25-B55C-4D37-B07E-61EEF7E482D5}" destId="{80220572-AD86-4302-826E-19440F484EF3}" srcOrd="0" destOrd="0" presId="urn:microsoft.com/office/officeart/2005/8/layout/process2"/>
    <dgm:cxn modelId="{B37DA8BE-F248-4DBA-97AB-B627EC2EF3E0}" type="presOf" srcId="{71334434-3400-4742-A5E0-FED68D7DDE8A}" destId="{01B30759-5570-4191-934B-EE8F2A23D7FA}" srcOrd="1" destOrd="0" presId="urn:microsoft.com/office/officeart/2005/8/layout/process2"/>
    <dgm:cxn modelId="{C3D917B2-833F-4151-B939-7276E4FE02CA}" srcId="{77D2204E-10EE-4467-ADDA-D1AC5D3F28E9}" destId="{113A1E25-B55C-4D37-B07E-61EEF7E482D5}" srcOrd="3" destOrd="0" parTransId="{1F89E7F3-8BE6-48ED-A16F-21FA9D9E760D}" sibTransId="{1501DABB-9F15-4DE0-BAA1-2DB1BB93CC03}"/>
    <dgm:cxn modelId="{379BD337-580D-4E3D-B8C5-1565B6602895}" type="presParOf" srcId="{2A7F28B1-EC22-4119-9EE1-0161DCFA0381}" destId="{8F46AA05-F563-41C2-AB43-AB6BC1469E45}" srcOrd="0" destOrd="0" presId="urn:microsoft.com/office/officeart/2005/8/layout/process2"/>
    <dgm:cxn modelId="{CECBFDFF-6E6C-4412-AC7D-D7A0865B5C1A}" type="presParOf" srcId="{2A7F28B1-EC22-4119-9EE1-0161DCFA0381}" destId="{8288DDA4-0A25-42F1-BC1A-2719144F75A6}" srcOrd="1" destOrd="0" presId="urn:microsoft.com/office/officeart/2005/8/layout/process2"/>
    <dgm:cxn modelId="{0376E819-4451-43F8-82BE-2406F7468053}" type="presParOf" srcId="{8288DDA4-0A25-42F1-BC1A-2719144F75A6}" destId="{BA13A972-B502-4FBA-9451-7076A56FF6AA}" srcOrd="0" destOrd="0" presId="urn:microsoft.com/office/officeart/2005/8/layout/process2"/>
    <dgm:cxn modelId="{DD2414FB-8EA8-47EC-A363-80BA9C9C6D02}" type="presParOf" srcId="{2A7F28B1-EC22-4119-9EE1-0161DCFA0381}" destId="{03E41D7A-DBE7-41AC-A2FC-24114803E9ED}" srcOrd="2" destOrd="0" presId="urn:microsoft.com/office/officeart/2005/8/layout/process2"/>
    <dgm:cxn modelId="{39B51744-0E9D-4792-A536-EC25B5BB7FCD}" type="presParOf" srcId="{2A7F28B1-EC22-4119-9EE1-0161DCFA0381}" destId="{57B7B3A4-894B-4F65-8E0D-789285183765}" srcOrd="3" destOrd="0" presId="urn:microsoft.com/office/officeart/2005/8/layout/process2"/>
    <dgm:cxn modelId="{467BF94D-1AB9-42B7-BC7F-0FBB1E73AF8E}" type="presParOf" srcId="{57B7B3A4-894B-4F65-8E0D-789285183765}" destId="{01B30759-5570-4191-934B-EE8F2A23D7FA}" srcOrd="0" destOrd="0" presId="urn:microsoft.com/office/officeart/2005/8/layout/process2"/>
    <dgm:cxn modelId="{64D9A528-0918-44DB-A1FF-82ED08670B1A}" type="presParOf" srcId="{2A7F28B1-EC22-4119-9EE1-0161DCFA0381}" destId="{80D76709-08E7-46FC-9B47-5855E8D24E5C}" srcOrd="4" destOrd="0" presId="urn:microsoft.com/office/officeart/2005/8/layout/process2"/>
    <dgm:cxn modelId="{18608B5D-AEBF-4D47-9E76-304E98790E9D}" type="presParOf" srcId="{2A7F28B1-EC22-4119-9EE1-0161DCFA0381}" destId="{5FA8338C-DB7E-4E10-B6FE-EBBD83B4CC1E}" srcOrd="5" destOrd="0" presId="urn:microsoft.com/office/officeart/2005/8/layout/process2"/>
    <dgm:cxn modelId="{6E1383FC-EE12-432F-9351-7A15DA9A8A75}" type="presParOf" srcId="{5FA8338C-DB7E-4E10-B6FE-EBBD83B4CC1E}" destId="{B0FB2657-A357-4D0F-BCF9-80956D920AB0}" srcOrd="0" destOrd="0" presId="urn:microsoft.com/office/officeart/2005/8/layout/process2"/>
    <dgm:cxn modelId="{5D2CCE6D-D1DF-4800-81A5-9BB841D726F2}" type="presParOf" srcId="{2A7F28B1-EC22-4119-9EE1-0161DCFA0381}" destId="{80220572-AD86-4302-826E-19440F484EF3}" srcOrd="6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D70236C-D602-4B1F-B628-106297ACFFBF}" type="doc">
      <dgm:prSet loTypeId="urn:microsoft.com/office/officeart/2008/layout/LinedList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A53ED935-869E-4364-A2E4-809AF5BDDBC5}">
      <dgm:prSet phldrT="[Текст]" custT="1"/>
      <dgm:spPr/>
      <dgm:t>
        <a:bodyPr/>
        <a:lstStyle/>
        <a:p>
          <a:r>
            <a:rPr lang="ru-RU" sz="1100" b="0">
              <a:latin typeface="Times New Roman" panose="02020603050405020304" pitchFamily="18" charset="0"/>
              <a:cs typeface="Times New Roman" panose="02020603050405020304" pitchFamily="18" charset="0"/>
            </a:rPr>
            <a:t>Трансформационно-адаптационный потенциал</a:t>
          </a:r>
        </a:p>
      </dgm:t>
    </dgm:pt>
    <dgm:pt modelId="{48854B3C-DEED-4B0F-A240-A26AADD0A848}" type="parTrans" cxnId="{4C820BC6-F6A3-48CD-9671-E21CCE9A865A}">
      <dgm:prSet/>
      <dgm:spPr/>
      <dgm:t>
        <a:bodyPr/>
        <a:lstStyle/>
        <a:p>
          <a:endParaRPr lang="ru-RU"/>
        </a:p>
      </dgm:t>
    </dgm:pt>
    <dgm:pt modelId="{4BE0203B-C883-429D-BE61-5720CE97D28D}" type="sibTrans" cxnId="{4C820BC6-F6A3-48CD-9671-E21CCE9A865A}">
      <dgm:prSet/>
      <dgm:spPr/>
      <dgm:t>
        <a:bodyPr/>
        <a:lstStyle/>
        <a:p>
          <a:endParaRPr lang="ru-RU"/>
        </a:p>
      </dgm:t>
    </dgm:pt>
    <dgm:pt modelId="{95C84DA1-0296-46A4-95F1-B4AFA3ABE35B}">
      <dgm:prSet phldrT="[Текст]" custT="1"/>
      <dgm:spPr/>
      <dgm:t>
        <a:bodyPr/>
        <a:lstStyle/>
        <a:p>
          <a:r>
            <a:rPr lang="ru-RU" sz="1100">
              <a:latin typeface="Times New Roman" panose="02020603050405020304" pitchFamily="18" charset="0"/>
              <a:cs typeface="Times New Roman" panose="02020603050405020304" pitchFamily="18" charset="0"/>
            </a:rPr>
            <a:t>Оптимизация рабочих процессов: продвижения информационных платформ с целью демократизации данных внутри организации, усовершенствования процессов анализа и обработки данных</a:t>
          </a:r>
        </a:p>
      </dgm:t>
    </dgm:pt>
    <dgm:pt modelId="{67E78F5D-979E-460A-AB34-F63E3F37A9C8}" type="parTrans" cxnId="{A11A8B25-1F10-42F9-84DC-A7D7F07941D2}">
      <dgm:prSet/>
      <dgm:spPr/>
      <dgm:t>
        <a:bodyPr/>
        <a:lstStyle/>
        <a:p>
          <a:endParaRPr lang="ru-RU"/>
        </a:p>
      </dgm:t>
    </dgm:pt>
    <dgm:pt modelId="{2D18AC37-FB0C-49CA-9673-EF807E3654AC}" type="sibTrans" cxnId="{A11A8B25-1F10-42F9-84DC-A7D7F07941D2}">
      <dgm:prSet/>
      <dgm:spPr/>
      <dgm:t>
        <a:bodyPr/>
        <a:lstStyle/>
        <a:p>
          <a:endParaRPr lang="ru-RU"/>
        </a:p>
      </dgm:t>
    </dgm:pt>
    <dgm:pt modelId="{E94FC542-ECCE-4B38-BEDC-225824B7E91F}">
      <dgm:prSet phldrT="[Текст]" custT="1"/>
      <dgm:spPr/>
      <dgm:t>
        <a:bodyPr/>
        <a:lstStyle/>
        <a:p>
          <a:r>
            <a:rPr lang="ru-RU" sz="1100">
              <a:latin typeface="Times New Roman" panose="02020603050405020304" pitchFamily="18" charset="0"/>
              <a:cs typeface="Times New Roman" panose="02020603050405020304" pitchFamily="18" charset="0"/>
            </a:rPr>
            <a:t>Реструктуризация структуры персонала, акцентирование внимание на специалистов, а области инноваций и цифровых технологий. Формирование корпоративной культуры, направленной на прогрессивное отношение к инновациям</a:t>
          </a:r>
        </a:p>
      </dgm:t>
    </dgm:pt>
    <dgm:pt modelId="{C7B9AFDA-A9B4-4B77-A7FA-4A456A10351F}" type="parTrans" cxnId="{80F21483-8F82-4178-A1F2-1FD873830548}">
      <dgm:prSet/>
      <dgm:spPr/>
      <dgm:t>
        <a:bodyPr/>
        <a:lstStyle/>
        <a:p>
          <a:endParaRPr lang="ru-RU"/>
        </a:p>
      </dgm:t>
    </dgm:pt>
    <dgm:pt modelId="{A5B3AE19-5645-4298-8E37-411674563B87}" type="sibTrans" cxnId="{80F21483-8F82-4178-A1F2-1FD873830548}">
      <dgm:prSet/>
      <dgm:spPr/>
      <dgm:t>
        <a:bodyPr/>
        <a:lstStyle/>
        <a:p>
          <a:endParaRPr lang="ru-RU"/>
        </a:p>
      </dgm:t>
    </dgm:pt>
    <dgm:pt modelId="{CF972D70-490B-49BB-AC55-A0BC9F3E4227}">
      <dgm:prSet phldrT="[Текст]" custT="1"/>
      <dgm:spPr/>
      <dgm:t>
        <a:bodyPr/>
        <a:lstStyle/>
        <a:p>
          <a:r>
            <a:rPr lang="ru-RU" sz="1100">
              <a:latin typeface="Times New Roman" panose="02020603050405020304" pitchFamily="18" charset="0"/>
              <a:cs typeface="Times New Roman" panose="02020603050405020304" pitchFamily="18" charset="0"/>
            </a:rPr>
            <a:t>Поэтапное внедрение технологий в процессы функционирования предприятий. Отлаженная схема взаимодействия между используемыми и внедряемыми технологиями</a:t>
          </a:r>
        </a:p>
      </dgm:t>
    </dgm:pt>
    <dgm:pt modelId="{B1BF72FA-D1FD-497A-9C36-3FA2395CDDA6}" type="parTrans" cxnId="{9962C6E1-DC41-454E-B94E-41C1E1489530}">
      <dgm:prSet/>
      <dgm:spPr/>
      <dgm:t>
        <a:bodyPr/>
        <a:lstStyle/>
        <a:p>
          <a:endParaRPr lang="ru-RU"/>
        </a:p>
      </dgm:t>
    </dgm:pt>
    <dgm:pt modelId="{883F9954-007A-4F68-9110-3172EA4AF3A3}" type="sibTrans" cxnId="{9962C6E1-DC41-454E-B94E-41C1E1489530}">
      <dgm:prSet/>
      <dgm:spPr/>
      <dgm:t>
        <a:bodyPr/>
        <a:lstStyle/>
        <a:p>
          <a:endParaRPr lang="ru-RU"/>
        </a:p>
      </dgm:t>
    </dgm:pt>
    <dgm:pt modelId="{C22D646C-2967-48C5-9EE4-7DB21112E0D6}">
      <dgm:prSet phldrT="[Текст]" custT="1"/>
      <dgm:spPr/>
      <dgm:t>
        <a:bodyPr/>
        <a:lstStyle/>
        <a:p>
          <a:r>
            <a:rPr lang="ru-RU" sz="1100">
              <a:latin typeface="Times New Roman" panose="02020603050405020304" pitchFamily="18" charset="0"/>
              <a:cs typeface="Times New Roman" panose="02020603050405020304" pitchFamily="18" charset="0"/>
            </a:rPr>
            <a:t>Анализ практики внедрения стратегий и технологий других предприятий промышленности, применения их опыта, интеграция опыта других компаний и его трансформация под критерий конкретных предприятий</a:t>
          </a:r>
        </a:p>
      </dgm:t>
    </dgm:pt>
    <dgm:pt modelId="{3522B1E2-8562-4C2B-816A-F7AF6E898AE3}" type="parTrans" cxnId="{1BDA0711-E888-4B02-BB3E-B32ABDF9DC79}">
      <dgm:prSet/>
      <dgm:spPr/>
      <dgm:t>
        <a:bodyPr/>
        <a:lstStyle/>
        <a:p>
          <a:endParaRPr lang="ru-RU"/>
        </a:p>
      </dgm:t>
    </dgm:pt>
    <dgm:pt modelId="{A35EF331-D47C-4C1B-8057-07511E4AD3AD}" type="sibTrans" cxnId="{1BDA0711-E888-4B02-BB3E-B32ABDF9DC79}">
      <dgm:prSet/>
      <dgm:spPr/>
      <dgm:t>
        <a:bodyPr/>
        <a:lstStyle/>
        <a:p>
          <a:endParaRPr lang="ru-RU"/>
        </a:p>
      </dgm:t>
    </dgm:pt>
    <dgm:pt modelId="{8D1C134A-0ABE-48A0-8CC8-75A6E6D3E275}">
      <dgm:prSet phldrT="[Текст]" custT="1"/>
      <dgm:spPr/>
      <dgm:t>
        <a:bodyPr/>
        <a:lstStyle/>
        <a:p>
          <a:r>
            <a:rPr lang="ru-RU" sz="1100">
              <a:latin typeface="Times New Roman" panose="02020603050405020304" pitchFamily="18" charset="0"/>
              <a:cs typeface="Times New Roman" panose="02020603050405020304" pitchFamily="18" charset="0"/>
            </a:rPr>
            <a:t>Актуализация инновационной стратегии, ее адаптация стратегии развития компании. Инновации – это не только средство снижения расходов, это формирования новой траектории развития предприятия с высоким уровнем цифровой зрелости</a:t>
          </a:r>
        </a:p>
      </dgm:t>
    </dgm:pt>
    <dgm:pt modelId="{9B5423A3-BE48-4216-806B-58D02E472ADA}" type="parTrans" cxnId="{0D48C3D4-8A37-4203-8B5C-3DFD51C11445}">
      <dgm:prSet/>
      <dgm:spPr/>
      <dgm:t>
        <a:bodyPr/>
        <a:lstStyle/>
        <a:p>
          <a:endParaRPr lang="ru-RU"/>
        </a:p>
      </dgm:t>
    </dgm:pt>
    <dgm:pt modelId="{AB93FDB0-8603-45D9-8192-52D5006E4DF0}" type="sibTrans" cxnId="{0D48C3D4-8A37-4203-8B5C-3DFD51C11445}">
      <dgm:prSet/>
      <dgm:spPr/>
      <dgm:t>
        <a:bodyPr/>
        <a:lstStyle/>
        <a:p>
          <a:endParaRPr lang="ru-RU"/>
        </a:p>
      </dgm:t>
    </dgm:pt>
    <dgm:pt modelId="{BBF9E387-BF21-4478-AF2A-69F326EDAE15}" type="pres">
      <dgm:prSet presAssocID="{1D70236C-D602-4B1F-B628-106297ACFFBF}" presName="vert0" presStyleCnt="0">
        <dgm:presLayoutVars>
          <dgm:dir/>
          <dgm:animOne val="branch"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41A9B11D-61A6-4AD0-AB3D-83831E0E9DAA}" type="pres">
      <dgm:prSet presAssocID="{A53ED935-869E-4364-A2E4-809AF5BDDBC5}" presName="thickLine" presStyleLbl="alignNode1" presStyleIdx="0" presStyleCnt="1"/>
      <dgm:spPr/>
    </dgm:pt>
    <dgm:pt modelId="{8B13E3CF-D27F-4B61-9DC6-A5C0B82A2DF6}" type="pres">
      <dgm:prSet presAssocID="{A53ED935-869E-4364-A2E4-809AF5BDDBC5}" presName="horz1" presStyleCnt="0"/>
      <dgm:spPr/>
    </dgm:pt>
    <dgm:pt modelId="{0FA3B71C-94AC-4293-B410-C5B5581D7B83}" type="pres">
      <dgm:prSet presAssocID="{A53ED935-869E-4364-A2E4-809AF5BDDBC5}" presName="tx1" presStyleLbl="revTx" presStyleIdx="0" presStyleCnt="6" custScaleX="120927"/>
      <dgm:spPr/>
      <dgm:t>
        <a:bodyPr/>
        <a:lstStyle/>
        <a:p>
          <a:endParaRPr lang="ru-RU"/>
        </a:p>
      </dgm:t>
    </dgm:pt>
    <dgm:pt modelId="{57C06CFA-8539-4F3A-9A6D-854C55E4E69D}" type="pres">
      <dgm:prSet presAssocID="{A53ED935-869E-4364-A2E4-809AF5BDDBC5}" presName="vert1" presStyleCnt="0"/>
      <dgm:spPr/>
    </dgm:pt>
    <dgm:pt modelId="{1DB90E30-22F8-498F-AFBC-9CBD71BFA710}" type="pres">
      <dgm:prSet presAssocID="{95C84DA1-0296-46A4-95F1-B4AFA3ABE35B}" presName="vertSpace2a" presStyleCnt="0"/>
      <dgm:spPr/>
    </dgm:pt>
    <dgm:pt modelId="{1EE8F4A9-DAD6-4C9D-81D8-FC1EC6DEE623}" type="pres">
      <dgm:prSet presAssocID="{95C84DA1-0296-46A4-95F1-B4AFA3ABE35B}" presName="horz2" presStyleCnt="0"/>
      <dgm:spPr/>
    </dgm:pt>
    <dgm:pt modelId="{918EA296-8710-4966-B81F-ECFB19C12084}" type="pres">
      <dgm:prSet presAssocID="{95C84DA1-0296-46A4-95F1-B4AFA3ABE35B}" presName="horzSpace2" presStyleCnt="0"/>
      <dgm:spPr/>
    </dgm:pt>
    <dgm:pt modelId="{DAA8784A-99AC-4BA0-BA9F-977FD12BD73A}" type="pres">
      <dgm:prSet presAssocID="{95C84DA1-0296-46A4-95F1-B4AFA3ABE35B}" presName="tx2" presStyleLbl="revTx" presStyleIdx="1" presStyleCnt="6"/>
      <dgm:spPr/>
      <dgm:t>
        <a:bodyPr/>
        <a:lstStyle/>
        <a:p>
          <a:endParaRPr lang="ru-RU"/>
        </a:p>
      </dgm:t>
    </dgm:pt>
    <dgm:pt modelId="{91E47EF4-E8E4-4556-92F8-DC8B7529D283}" type="pres">
      <dgm:prSet presAssocID="{95C84DA1-0296-46A4-95F1-B4AFA3ABE35B}" presName="vert2" presStyleCnt="0"/>
      <dgm:spPr/>
    </dgm:pt>
    <dgm:pt modelId="{DBCC6DB4-7283-4D4C-B834-FA6E2A67003C}" type="pres">
      <dgm:prSet presAssocID="{95C84DA1-0296-46A4-95F1-B4AFA3ABE35B}" presName="thinLine2b" presStyleLbl="callout" presStyleIdx="0" presStyleCnt="5"/>
      <dgm:spPr/>
    </dgm:pt>
    <dgm:pt modelId="{1BF77201-D9EB-4711-9670-08A7A843AE05}" type="pres">
      <dgm:prSet presAssocID="{95C84DA1-0296-46A4-95F1-B4AFA3ABE35B}" presName="vertSpace2b" presStyleCnt="0"/>
      <dgm:spPr/>
    </dgm:pt>
    <dgm:pt modelId="{B8BC1BAF-049E-42EC-ADDE-B0BC634BF47D}" type="pres">
      <dgm:prSet presAssocID="{E94FC542-ECCE-4B38-BEDC-225824B7E91F}" presName="horz2" presStyleCnt="0"/>
      <dgm:spPr/>
    </dgm:pt>
    <dgm:pt modelId="{42401A9D-6F8F-42BF-8F88-CCD28D6D2334}" type="pres">
      <dgm:prSet presAssocID="{E94FC542-ECCE-4B38-BEDC-225824B7E91F}" presName="horzSpace2" presStyleCnt="0"/>
      <dgm:spPr/>
    </dgm:pt>
    <dgm:pt modelId="{772AFCCB-5337-43E4-851D-27CE80D846CB}" type="pres">
      <dgm:prSet presAssocID="{E94FC542-ECCE-4B38-BEDC-225824B7E91F}" presName="tx2" presStyleLbl="revTx" presStyleIdx="2" presStyleCnt="6" custLinFactNeighborX="-162" custLinFactNeighborY="-7927"/>
      <dgm:spPr/>
      <dgm:t>
        <a:bodyPr/>
        <a:lstStyle/>
        <a:p>
          <a:endParaRPr lang="ru-RU"/>
        </a:p>
      </dgm:t>
    </dgm:pt>
    <dgm:pt modelId="{12B5DF2F-1DFF-49A6-896A-E2CBCE7FAF3B}" type="pres">
      <dgm:prSet presAssocID="{E94FC542-ECCE-4B38-BEDC-225824B7E91F}" presName="vert2" presStyleCnt="0"/>
      <dgm:spPr/>
    </dgm:pt>
    <dgm:pt modelId="{316CEF36-9EF2-4E32-97C1-B661CC2F771A}" type="pres">
      <dgm:prSet presAssocID="{E94FC542-ECCE-4B38-BEDC-225824B7E91F}" presName="thinLine2b" presStyleLbl="callout" presStyleIdx="1" presStyleCnt="5"/>
      <dgm:spPr/>
    </dgm:pt>
    <dgm:pt modelId="{B72BFE87-530F-4609-9674-3C00D9B98A22}" type="pres">
      <dgm:prSet presAssocID="{E94FC542-ECCE-4B38-BEDC-225824B7E91F}" presName="vertSpace2b" presStyleCnt="0"/>
      <dgm:spPr/>
    </dgm:pt>
    <dgm:pt modelId="{2ECC5828-B65F-4689-9C0F-9CB26C80F3FA}" type="pres">
      <dgm:prSet presAssocID="{CF972D70-490B-49BB-AC55-A0BC9F3E4227}" presName="horz2" presStyleCnt="0"/>
      <dgm:spPr/>
    </dgm:pt>
    <dgm:pt modelId="{8C2CD5EB-A2E1-4D37-8B21-2C668DE59BC0}" type="pres">
      <dgm:prSet presAssocID="{CF972D70-490B-49BB-AC55-A0BC9F3E4227}" presName="horzSpace2" presStyleCnt="0"/>
      <dgm:spPr/>
    </dgm:pt>
    <dgm:pt modelId="{9752330C-460B-44B6-A659-8F4DFC52BB36}" type="pres">
      <dgm:prSet presAssocID="{CF972D70-490B-49BB-AC55-A0BC9F3E4227}" presName="tx2" presStyleLbl="revTx" presStyleIdx="3" presStyleCnt="6"/>
      <dgm:spPr/>
      <dgm:t>
        <a:bodyPr/>
        <a:lstStyle/>
        <a:p>
          <a:endParaRPr lang="ru-RU"/>
        </a:p>
      </dgm:t>
    </dgm:pt>
    <dgm:pt modelId="{B4BDEBED-20D2-43B8-9653-DB12A0E8DC17}" type="pres">
      <dgm:prSet presAssocID="{CF972D70-490B-49BB-AC55-A0BC9F3E4227}" presName="vert2" presStyleCnt="0"/>
      <dgm:spPr/>
    </dgm:pt>
    <dgm:pt modelId="{33C8D047-E2FA-46B9-A3B0-0CB2776B2814}" type="pres">
      <dgm:prSet presAssocID="{CF972D70-490B-49BB-AC55-A0BC9F3E4227}" presName="thinLine2b" presStyleLbl="callout" presStyleIdx="2" presStyleCnt="5"/>
      <dgm:spPr/>
    </dgm:pt>
    <dgm:pt modelId="{76A48352-1A30-4D64-B2A5-832606021DD3}" type="pres">
      <dgm:prSet presAssocID="{CF972D70-490B-49BB-AC55-A0BC9F3E4227}" presName="vertSpace2b" presStyleCnt="0"/>
      <dgm:spPr/>
    </dgm:pt>
    <dgm:pt modelId="{2E5CA992-9EE7-4879-BA99-19D347052ED1}" type="pres">
      <dgm:prSet presAssocID="{C22D646C-2967-48C5-9EE4-7DB21112E0D6}" presName="horz2" presStyleCnt="0"/>
      <dgm:spPr/>
    </dgm:pt>
    <dgm:pt modelId="{A5ECB6A1-5968-4990-8E61-29B964D72894}" type="pres">
      <dgm:prSet presAssocID="{C22D646C-2967-48C5-9EE4-7DB21112E0D6}" presName="horzSpace2" presStyleCnt="0"/>
      <dgm:spPr/>
    </dgm:pt>
    <dgm:pt modelId="{7B998E8C-1D59-4AB4-89C9-BB29F6BC08C4}" type="pres">
      <dgm:prSet presAssocID="{C22D646C-2967-48C5-9EE4-7DB21112E0D6}" presName="tx2" presStyleLbl="revTx" presStyleIdx="4" presStyleCnt="6" custLinFactNeighborX="69" custLinFactNeighborY="-7927"/>
      <dgm:spPr/>
      <dgm:t>
        <a:bodyPr/>
        <a:lstStyle/>
        <a:p>
          <a:endParaRPr lang="ru-RU"/>
        </a:p>
      </dgm:t>
    </dgm:pt>
    <dgm:pt modelId="{CC8600E6-088E-41FC-A289-E8EB1DFA1981}" type="pres">
      <dgm:prSet presAssocID="{C22D646C-2967-48C5-9EE4-7DB21112E0D6}" presName="vert2" presStyleCnt="0"/>
      <dgm:spPr/>
    </dgm:pt>
    <dgm:pt modelId="{387A36E4-3D99-4210-B289-676197B02657}" type="pres">
      <dgm:prSet presAssocID="{C22D646C-2967-48C5-9EE4-7DB21112E0D6}" presName="thinLine2b" presStyleLbl="callout" presStyleIdx="3" presStyleCnt="5"/>
      <dgm:spPr/>
    </dgm:pt>
    <dgm:pt modelId="{A0152902-93B6-4B7C-9E79-2A0A05874F97}" type="pres">
      <dgm:prSet presAssocID="{C22D646C-2967-48C5-9EE4-7DB21112E0D6}" presName="vertSpace2b" presStyleCnt="0"/>
      <dgm:spPr/>
    </dgm:pt>
    <dgm:pt modelId="{4509267E-D8E5-4FAE-8B57-F9754691A829}" type="pres">
      <dgm:prSet presAssocID="{8D1C134A-0ABE-48A0-8CC8-75A6E6D3E275}" presName="horz2" presStyleCnt="0"/>
      <dgm:spPr/>
    </dgm:pt>
    <dgm:pt modelId="{17A19503-0FFF-456E-94D2-D546735000A7}" type="pres">
      <dgm:prSet presAssocID="{8D1C134A-0ABE-48A0-8CC8-75A6E6D3E275}" presName="horzSpace2" presStyleCnt="0"/>
      <dgm:spPr/>
    </dgm:pt>
    <dgm:pt modelId="{AF2A594F-4EE5-4E25-A16C-E4D3D6F68646}" type="pres">
      <dgm:prSet presAssocID="{8D1C134A-0ABE-48A0-8CC8-75A6E6D3E275}" presName="tx2" presStyleLbl="revTx" presStyleIdx="5" presStyleCnt="6" custLinFactNeighborX="-162" custLinFactNeighborY="-9059"/>
      <dgm:spPr/>
      <dgm:t>
        <a:bodyPr/>
        <a:lstStyle/>
        <a:p>
          <a:endParaRPr lang="ru-RU"/>
        </a:p>
      </dgm:t>
    </dgm:pt>
    <dgm:pt modelId="{55F1B99F-CF03-469B-82FC-76E4D504EF09}" type="pres">
      <dgm:prSet presAssocID="{8D1C134A-0ABE-48A0-8CC8-75A6E6D3E275}" presName="vert2" presStyleCnt="0"/>
      <dgm:spPr/>
    </dgm:pt>
    <dgm:pt modelId="{2F1ACC30-DEE1-4310-8C8A-4B205C14E893}" type="pres">
      <dgm:prSet presAssocID="{8D1C134A-0ABE-48A0-8CC8-75A6E6D3E275}" presName="thinLine2b" presStyleLbl="callout" presStyleIdx="4" presStyleCnt="5"/>
      <dgm:spPr>
        <a:ln>
          <a:noFill/>
        </a:ln>
      </dgm:spPr>
    </dgm:pt>
    <dgm:pt modelId="{3DDC0D24-A51A-4479-B4E8-FF0CE79031C7}" type="pres">
      <dgm:prSet presAssocID="{8D1C134A-0ABE-48A0-8CC8-75A6E6D3E275}" presName="vertSpace2b" presStyleCnt="0"/>
      <dgm:spPr/>
    </dgm:pt>
  </dgm:ptLst>
  <dgm:cxnLst>
    <dgm:cxn modelId="{4C820BC6-F6A3-48CD-9671-E21CCE9A865A}" srcId="{1D70236C-D602-4B1F-B628-106297ACFFBF}" destId="{A53ED935-869E-4364-A2E4-809AF5BDDBC5}" srcOrd="0" destOrd="0" parTransId="{48854B3C-DEED-4B0F-A240-A26AADD0A848}" sibTransId="{4BE0203B-C883-429D-BE61-5720CE97D28D}"/>
    <dgm:cxn modelId="{91CAA4CE-920D-4801-A001-3AB9E4E0DF56}" type="presOf" srcId="{C22D646C-2967-48C5-9EE4-7DB21112E0D6}" destId="{7B998E8C-1D59-4AB4-89C9-BB29F6BC08C4}" srcOrd="0" destOrd="0" presId="urn:microsoft.com/office/officeart/2008/layout/LinedList"/>
    <dgm:cxn modelId="{9962C6E1-DC41-454E-B94E-41C1E1489530}" srcId="{A53ED935-869E-4364-A2E4-809AF5BDDBC5}" destId="{CF972D70-490B-49BB-AC55-A0BC9F3E4227}" srcOrd="2" destOrd="0" parTransId="{B1BF72FA-D1FD-497A-9C36-3FA2395CDDA6}" sibTransId="{883F9954-007A-4F68-9110-3172EA4AF3A3}"/>
    <dgm:cxn modelId="{F5F4E244-EFE1-4F09-BF51-BD717EC81AD2}" type="presOf" srcId="{1D70236C-D602-4B1F-B628-106297ACFFBF}" destId="{BBF9E387-BF21-4478-AF2A-69F326EDAE15}" srcOrd="0" destOrd="0" presId="urn:microsoft.com/office/officeart/2008/layout/LinedList"/>
    <dgm:cxn modelId="{A11A8B25-1F10-42F9-84DC-A7D7F07941D2}" srcId="{A53ED935-869E-4364-A2E4-809AF5BDDBC5}" destId="{95C84DA1-0296-46A4-95F1-B4AFA3ABE35B}" srcOrd="0" destOrd="0" parTransId="{67E78F5D-979E-460A-AB34-F63E3F37A9C8}" sibTransId="{2D18AC37-FB0C-49CA-9673-EF807E3654AC}"/>
    <dgm:cxn modelId="{FB90B26A-FA1E-418C-9C7C-702F63C7A8CA}" type="presOf" srcId="{CF972D70-490B-49BB-AC55-A0BC9F3E4227}" destId="{9752330C-460B-44B6-A659-8F4DFC52BB36}" srcOrd="0" destOrd="0" presId="urn:microsoft.com/office/officeart/2008/layout/LinedList"/>
    <dgm:cxn modelId="{B5CFA89D-F68A-4BFA-88F0-9D352C16D2CD}" type="presOf" srcId="{A53ED935-869E-4364-A2E4-809AF5BDDBC5}" destId="{0FA3B71C-94AC-4293-B410-C5B5581D7B83}" srcOrd="0" destOrd="0" presId="urn:microsoft.com/office/officeart/2008/layout/LinedList"/>
    <dgm:cxn modelId="{501205AC-748A-4277-8379-88127179073A}" type="presOf" srcId="{E94FC542-ECCE-4B38-BEDC-225824B7E91F}" destId="{772AFCCB-5337-43E4-851D-27CE80D846CB}" srcOrd="0" destOrd="0" presId="urn:microsoft.com/office/officeart/2008/layout/LinedList"/>
    <dgm:cxn modelId="{0769134A-16E4-457A-AC1A-BC1077B94301}" type="presOf" srcId="{8D1C134A-0ABE-48A0-8CC8-75A6E6D3E275}" destId="{AF2A594F-4EE5-4E25-A16C-E4D3D6F68646}" srcOrd="0" destOrd="0" presId="urn:microsoft.com/office/officeart/2008/layout/LinedList"/>
    <dgm:cxn modelId="{0D48C3D4-8A37-4203-8B5C-3DFD51C11445}" srcId="{A53ED935-869E-4364-A2E4-809AF5BDDBC5}" destId="{8D1C134A-0ABE-48A0-8CC8-75A6E6D3E275}" srcOrd="4" destOrd="0" parTransId="{9B5423A3-BE48-4216-806B-58D02E472ADA}" sibTransId="{AB93FDB0-8603-45D9-8192-52D5006E4DF0}"/>
    <dgm:cxn modelId="{80F21483-8F82-4178-A1F2-1FD873830548}" srcId="{A53ED935-869E-4364-A2E4-809AF5BDDBC5}" destId="{E94FC542-ECCE-4B38-BEDC-225824B7E91F}" srcOrd="1" destOrd="0" parTransId="{C7B9AFDA-A9B4-4B77-A7FA-4A456A10351F}" sibTransId="{A5B3AE19-5645-4298-8E37-411674563B87}"/>
    <dgm:cxn modelId="{5C45C3B7-DCCD-41F8-8B95-3CFBDE4E70AB}" type="presOf" srcId="{95C84DA1-0296-46A4-95F1-B4AFA3ABE35B}" destId="{DAA8784A-99AC-4BA0-BA9F-977FD12BD73A}" srcOrd="0" destOrd="0" presId="urn:microsoft.com/office/officeart/2008/layout/LinedList"/>
    <dgm:cxn modelId="{1BDA0711-E888-4B02-BB3E-B32ABDF9DC79}" srcId="{A53ED935-869E-4364-A2E4-809AF5BDDBC5}" destId="{C22D646C-2967-48C5-9EE4-7DB21112E0D6}" srcOrd="3" destOrd="0" parTransId="{3522B1E2-8562-4C2B-816A-F7AF6E898AE3}" sibTransId="{A35EF331-D47C-4C1B-8057-07511E4AD3AD}"/>
    <dgm:cxn modelId="{9F8CA4C3-FA1C-426C-B56E-0C26691C01B2}" type="presParOf" srcId="{BBF9E387-BF21-4478-AF2A-69F326EDAE15}" destId="{41A9B11D-61A6-4AD0-AB3D-83831E0E9DAA}" srcOrd="0" destOrd="0" presId="urn:microsoft.com/office/officeart/2008/layout/LinedList"/>
    <dgm:cxn modelId="{523778DF-9071-447B-BA1A-E1FB36789F9C}" type="presParOf" srcId="{BBF9E387-BF21-4478-AF2A-69F326EDAE15}" destId="{8B13E3CF-D27F-4B61-9DC6-A5C0B82A2DF6}" srcOrd="1" destOrd="0" presId="urn:microsoft.com/office/officeart/2008/layout/LinedList"/>
    <dgm:cxn modelId="{44A1B7B7-A094-4390-84C6-A3F9FD51EB5D}" type="presParOf" srcId="{8B13E3CF-D27F-4B61-9DC6-A5C0B82A2DF6}" destId="{0FA3B71C-94AC-4293-B410-C5B5581D7B83}" srcOrd="0" destOrd="0" presId="urn:microsoft.com/office/officeart/2008/layout/LinedList"/>
    <dgm:cxn modelId="{C47F426E-44F3-4E46-B2AE-3904BD261DDF}" type="presParOf" srcId="{8B13E3CF-D27F-4B61-9DC6-A5C0B82A2DF6}" destId="{57C06CFA-8539-4F3A-9A6D-854C55E4E69D}" srcOrd="1" destOrd="0" presId="urn:microsoft.com/office/officeart/2008/layout/LinedList"/>
    <dgm:cxn modelId="{42B72664-70CA-4D47-85F9-743D0AC4445E}" type="presParOf" srcId="{57C06CFA-8539-4F3A-9A6D-854C55E4E69D}" destId="{1DB90E30-22F8-498F-AFBC-9CBD71BFA710}" srcOrd="0" destOrd="0" presId="urn:microsoft.com/office/officeart/2008/layout/LinedList"/>
    <dgm:cxn modelId="{422471D1-951E-4BB2-B220-0A9182309496}" type="presParOf" srcId="{57C06CFA-8539-4F3A-9A6D-854C55E4E69D}" destId="{1EE8F4A9-DAD6-4C9D-81D8-FC1EC6DEE623}" srcOrd="1" destOrd="0" presId="urn:microsoft.com/office/officeart/2008/layout/LinedList"/>
    <dgm:cxn modelId="{0D135690-0B9A-42C2-9868-A4B74E4DEBA4}" type="presParOf" srcId="{1EE8F4A9-DAD6-4C9D-81D8-FC1EC6DEE623}" destId="{918EA296-8710-4966-B81F-ECFB19C12084}" srcOrd="0" destOrd="0" presId="urn:microsoft.com/office/officeart/2008/layout/LinedList"/>
    <dgm:cxn modelId="{3DF74FE7-37E9-4923-BCE8-DF0C50AD2725}" type="presParOf" srcId="{1EE8F4A9-DAD6-4C9D-81D8-FC1EC6DEE623}" destId="{DAA8784A-99AC-4BA0-BA9F-977FD12BD73A}" srcOrd="1" destOrd="0" presId="urn:microsoft.com/office/officeart/2008/layout/LinedList"/>
    <dgm:cxn modelId="{51CDB23D-E67C-4877-BDC1-BC5FD4C5B8B1}" type="presParOf" srcId="{1EE8F4A9-DAD6-4C9D-81D8-FC1EC6DEE623}" destId="{91E47EF4-E8E4-4556-92F8-DC8B7529D283}" srcOrd="2" destOrd="0" presId="urn:microsoft.com/office/officeart/2008/layout/LinedList"/>
    <dgm:cxn modelId="{B3C4B21C-1054-4ADA-9D86-4E63F2D0FD30}" type="presParOf" srcId="{57C06CFA-8539-4F3A-9A6D-854C55E4E69D}" destId="{DBCC6DB4-7283-4D4C-B834-FA6E2A67003C}" srcOrd="2" destOrd="0" presId="urn:microsoft.com/office/officeart/2008/layout/LinedList"/>
    <dgm:cxn modelId="{90E814DC-008F-4AE6-A053-6EC17B4B69BC}" type="presParOf" srcId="{57C06CFA-8539-4F3A-9A6D-854C55E4E69D}" destId="{1BF77201-D9EB-4711-9670-08A7A843AE05}" srcOrd="3" destOrd="0" presId="urn:microsoft.com/office/officeart/2008/layout/LinedList"/>
    <dgm:cxn modelId="{852EB5E5-6EA8-4C02-B06E-CB89294D3FDF}" type="presParOf" srcId="{57C06CFA-8539-4F3A-9A6D-854C55E4E69D}" destId="{B8BC1BAF-049E-42EC-ADDE-B0BC634BF47D}" srcOrd="4" destOrd="0" presId="urn:microsoft.com/office/officeart/2008/layout/LinedList"/>
    <dgm:cxn modelId="{9C1ED5F0-E1BF-4222-9E22-DB6D80288A23}" type="presParOf" srcId="{B8BC1BAF-049E-42EC-ADDE-B0BC634BF47D}" destId="{42401A9D-6F8F-42BF-8F88-CCD28D6D2334}" srcOrd="0" destOrd="0" presId="urn:microsoft.com/office/officeart/2008/layout/LinedList"/>
    <dgm:cxn modelId="{3FA58F11-34ED-4527-A2C1-C90797579882}" type="presParOf" srcId="{B8BC1BAF-049E-42EC-ADDE-B0BC634BF47D}" destId="{772AFCCB-5337-43E4-851D-27CE80D846CB}" srcOrd="1" destOrd="0" presId="urn:microsoft.com/office/officeart/2008/layout/LinedList"/>
    <dgm:cxn modelId="{C98FAEDE-E415-4759-89BC-43040BBAEB4C}" type="presParOf" srcId="{B8BC1BAF-049E-42EC-ADDE-B0BC634BF47D}" destId="{12B5DF2F-1DFF-49A6-896A-E2CBCE7FAF3B}" srcOrd="2" destOrd="0" presId="urn:microsoft.com/office/officeart/2008/layout/LinedList"/>
    <dgm:cxn modelId="{31CD51B5-7562-4E5D-B08B-888B6A5A091D}" type="presParOf" srcId="{57C06CFA-8539-4F3A-9A6D-854C55E4E69D}" destId="{316CEF36-9EF2-4E32-97C1-B661CC2F771A}" srcOrd="5" destOrd="0" presId="urn:microsoft.com/office/officeart/2008/layout/LinedList"/>
    <dgm:cxn modelId="{D27EDC5C-08C2-46FF-B59C-AF2764EB9185}" type="presParOf" srcId="{57C06CFA-8539-4F3A-9A6D-854C55E4E69D}" destId="{B72BFE87-530F-4609-9674-3C00D9B98A22}" srcOrd="6" destOrd="0" presId="urn:microsoft.com/office/officeart/2008/layout/LinedList"/>
    <dgm:cxn modelId="{26C42348-1825-49AC-96B2-1D6EB8191F2D}" type="presParOf" srcId="{57C06CFA-8539-4F3A-9A6D-854C55E4E69D}" destId="{2ECC5828-B65F-4689-9C0F-9CB26C80F3FA}" srcOrd="7" destOrd="0" presId="urn:microsoft.com/office/officeart/2008/layout/LinedList"/>
    <dgm:cxn modelId="{CB1AD344-106B-4584-8E3D-37680AD5F6E2}" type="presParOf" srcId="{2ECC5828-B65F-4689-9C0F-9CB26C80F3FA}" destId="{8C2CD5EB-A2E1-4D37-8B21-2C668DE59BC0}" srcOrd="0" destOrd="0" presId="urn:microsoft.com/office/officeart/2008/layout/LinedList"/>
    <dgm:cxn modelId="{E524A025-A4D6-4C34-9DD4-62F5C38A9749}" type="presParOf" srcId="{2ECC5828-B65F-4689-9C0F-9CB26C80F3FA}" destId="{9752330C-460B-44B6-A659-8F4DFC52BB36}" srcOrd="1" destOrd="0" presId="urn:microsoft.com/office/officeart/2008/layout/LinedList"/>
    <dgm:cxn modelId="{70E1456D-F1C9-4706-917D-BD5DB87B58CF}" type="presParOf" srcId="{2ECC5828-B65F-4689-9C0F-9CB26C80F3FA}" destId="{B4BDEBED-20D2-43B8-9653-DB12A0E8DC17}" srcOrd="2" destOrd="0" presId="urn:microsoft.com/office/officeart/2008/layout/LinedList"/>
    <dgm:cxn modelId="{9DD7902E-10A6-4067-9DF9-A7FE7C659575}" type="presParOf" srcId="{57C06CFA-8539-4F3A-9A6D-854C55E4E69D}" destId="{33C8D047-E2FA-46B9-A3B0-0CB2776B2814}" srcOrd="8" destOrd="0" presId="urn:microsoft.com/office/officeart/2008/layout/LinedList"/>
    <dgm:cxn modelId="{3BD7AAA8-63D3-447F-96EB-CF499BA0A0AA}" type="presParOf" srcId="{57C06CFA-8539-4F3A-9A6D-854C55E4E69D}" destId="{76A48352-1A30-4D64-B2A5-832606021DD3}" srcOrd="9" destOrd="0" presId="urn:microsoft.com/office/officeart/2008/layout/LinedList"/>
    <dgm:cxn modelId="{FE7126E9-4230-408D-ABB7-C0EDAB4D6771}" type="presParOf" srcId="{57C06CFA-8539-4F3A-9A6D-854C55E4E69D}" destId="{2E5CA992-9EE7-4879-BA99-19D347052ED1}" srcOrd="10" destOrd="0" presId="urn:microsoft.com/office/officeart/2008/layout/LinedList"/>
    <dgm:cxn modelId="{8E9ED7A4-C741-4FE5-9E8C-466F907F11BD}" type="presParOf" srcId="{2E5CA992-9EE7-4879-BA99-19D347052ED1}" destId="{A5ECB6A1-5968-4990-8E61-29B964D72894}" srcOrd="0" destOrd="0" presId="urn:microsoft.com/office/officeart/2008/layout/LinedList"/>
    <dgm:cxn modelId="{C27FE60F-ED71-4B37-A76C-D367DA091293}" type="presParOf" srcId="{2E5CA992-9EE7-4879-BA99-19D347052ED1}" destId="{7B998E8C-1D59-4AB4-89C9-BB29F6BC08C4}" srcOrd="1" destOrd="0" presId="urn:microsoft.com/office/officeart/2008/layout/LinedList"/>
    <dgm:cxn modelId="{505246CC-CB62-49DF-8F54-9A18D66DF01B}" type="presParOf" srcId="{2E5CA992-9EE7-4879-BA99-19D347052ED1}" destId="{CC8600E6-088E-41FC-A289-E8EB1DFA1981}" srcOrd="2" destOrd="0" presId="urn:microsoft.com/office/officeart/2008/layout/LinedList"/>
    <dgm:cxn modelId="{8D1269EE-5FCD-4299-9355-9437214D072E}" type="presParOf" srcId="{57C06CFA-8539-4F3A-9A6D-854C55E4E69D}" destId="{387A36E4-3D99-4210-B289-676197B02657}" srcOrd="11" destOrd="0" presId="urn:microsoft.com/office/officeart/2008/layout/LinedList"/>
    <dgm:cxn modelId="{B2E86275-2A8B-4765-A629-12CF22592281}" type="presParOf" srcId="{57C06CFA-8539-4F3A-9A6D-854C55E4E69D}" destId="{A0152902-93B6-4B7C-9E79-2A0A05874F97}" srcOrd="12" destOrd="0" presId="urn:microsoft.com/office/officeart/2008/layout/LinedList"/>
    <dgm:cxn modelId="{F292EAB7-5B95-436A-B855-FFAF4C71B4F0}" type="presParOf" srcId="{57C06CFA-8539-4F3A-9A6D-854C55E4E69D}" destId="{4509267E-D8E5-4FAE-8B57-F9754691A829}" srcOrd="13" destOrd="0" presId="urn:microsoft.com/office/officeart/2008/layout/LinedList"/>
    <dgm:cxn modelId="{EDECC60B-64E1-4B86-A7D4-89070A7E317F}" type="presParOf" srcId="{4509267E-D8E5-4FAE-8B57-F9754691A829}" destId="{17A19503-0FFF-456E-94D2-D546735000A7}" srcOrd="0" destOrd="0" presId="urn:microsoft.com/office/officeart/2008/layout/LinedList"/>
    <dgm:cxn modelId="{05CDACBE-E0BE-418F-BA14-BB71E5DDF236}" type="presParOf" srcId="{4509267E-D8E5-4FAE-8B57-F9754691A829}" destId="{AF2A594F-4EE5-4E25-A16C-E4D3D6F68646}" srcOrd="1" destOrd="0" presId="urn:microsoft.com/office/officeart/2008/layout/LinedList"/>
    <dgm:cxn modelId="{776D9D7D-7E9D-43B0-8FEA-64A25AF0D3DB}" type="presParOf" srcId="{4509267E-D8E5-4FAE-8B57-F9754691A829}" destId="{55F1B99F-CF03-469B-82FC-76E4D504EF09}" srcOrd="2" destOrd="0" presId="urn:microsoft.com/office/officeart/2008/layout/LinedList"/>
    <dgm:cxn modelId="{FEBC5A19-8C6F-454C-8260-81E3DB0E2A25}" type="presParOf" srcId="{57C06CFA-8539-4F3A-9A6D-854C55E4E69D}" destId="{2F1ACC30-DEE1-4310-8C8A-4B205C14E893}" srcOrd="14" destOrd="0" presId="urn:microsoft.com/office/officeart/2008/layout/LinedList"/>
    <dgm:cxn modelId="{2CD5B7A9-1C08-4E92-A004-0662A46AA810}" type="presParOf" srcId="{57C06CFA-8539-4F3A-9A6D-854C55E4E69D}" destId="{3DDC0D24-A51A-4479-B4E8-FF0CE79031C7}" srcOrd="15" destOrd="0" presId="urn:microsoft.com/office/officeart/2008/layout/LinedList"/>
  </dgm:cxnLst>
  <dgm:bg/>
  <dgm:whole>
    <a:ln>
      <a:solidFill>
        <a:schemeClr val="tx1"/>
      </a:solidFill>
    </a:ln>
  </dgm:whole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F46AA05-F563-41C2-AB43-AB6BC1469E45}">
      <dsp:nvSpPr>
        <dsp:cNvPr id="0" name=""/>
        <dsp:cNvSpPr/>
      </dsp:nvSpPr>
      <dsp:spPr>
        <a:xfrm>
          <a:off x="0" y="0"/>
          <a:ext cx="6098174" cy="94465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Социально-экономический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i="0" kern="1200">
              <a:latin typeface="Times New Roman" panose="02020603050405020304" pitchFamily="18" charset="0"/>
              <a:cs typeface="Times New Roman" panose="02020603050405020304" pitchFamily="18" charset="0"/>
            </a:rPr>
            <a:t>Рализация экономичсеких интересов всех носителей, достижение результатов, способствующих повышению показателей и возможностей предприятия в рыночной среде. Эффективное социальное инвестированием в развитие социальной инфраструктуры, охрану окружающей среды; затраты, направленные на внешнюю социальную среду</a:t>
          </a:r>
        </a:p>
      </dsp:txBody>
      <dsp:txXfrm>
        <a:off x="27668" y="27668"/>
        <a:ext cx="6042838" cy="889314"/>
      </dsp:txXfrm>
    </dsp:sp>
    <dsp:sp modelId="{8288DDA4-0A25-42F1-BC1A-2719144F75A6}">
      <dsp:nvSpPr>
        <dsp:cNvPr id="0" name=""/>
        <dsp:cNvSpPr/>
      </dsp:nvSpPr>
      <dsp:spPr>
        <a:xfrm rot="5400000">
          <a:off x="2866252" y="994979"/>
          <a:ext cx="288773" cy="269135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 rot="-5400000">
        <a:off x="2929898" y="985160"/>
        <a:ext cx="161481" cy="208033"/>
      </dsp:txXfrm>
    </dsp:sp>
    <dsp:sp modelId="{03E41D7A-DBE7-41AC-A2FC-24114803E9ED}">
      <dsp:nvSpPr>
        <dsp:cNvPr id="0" name=""/>
        <dsp:cNvSpPr/>
      </dsp:nvSpPr>
      <dsp:spPr>
        <a:xfrm>
          <a:off x="0" y="1281799"/>
          <a:ext cx="6098174" cy="106640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i="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Организационно-управленческий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i="0" kern="1200">
              <a:latin typeface="Times New Roman" panose="02020603050405020304" pitchFamily="18" charset="0"/>
              <a:cs typeface="Times New Roman" panose="02020603050405020304" pitchFamily="18" charset="0"/>
            </a:rPr>
            <a:t>Формирование рациональной организационного строения компании с четко опредленными на основании анализа структуры рабочих мест и управления, а также эффективных коммуникаций. Обозначение принципов и методов управления организацией, стилей, целей, задач и миссии. Адаптация включает в себя: процесс качественных изменений в организации, зависящих от срока ее сущестования, рост компании, диверсификация производства и увеличение численности в зависимости от внедряемых изменений</a:t>
          </a:r>
        </a:p>
      </dsp:txBody>
      <dsp:txXfrm>
        <a:off x="31234" y="1313033"/>
        <a:ext cx="6035706" cy="1003932"/>
      </dsp:txXfrm>
    </dsp:sp>
    <dsp:sp modelId="{57B7B3A4-894B-4F65-8E0D-789285183765}">
      <dsp:nvSpPr>
        <dsp:cNvPr id="0" name=""/>
        <dsp:cNvSpPr/>
      </dsp:nvSpPr>
      <dsp:spPr>
        <a:xfrm rot="16226354" flipH="1">
          <a:off x="2883010" y="2421359"/>
          <a:ext cx="244211" cy="267933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/>
        </a:p>
      </dsp:txBody>
      <dsp:txXfrm rot="-5400000">
        <a:off x="2925016" y="2433222"/>
        <a:ext cx="160759" cy="170948"/>
      </dsp:txXfrm>
    </dsp:sp>
    <dsp:sp modelId="{80D76709-08E7-46FC-9B47-5855E8D24E5C}">
      <dsp:nvSpPr>
        <dsp:cNvPr id="0" name=""/>
        <dsp:cNvSpPr/>
      </dsp:nvSpPr>
      <dsp:spPr>
        <a:xfrm>
          <a:off x="0" y="2695891"/>
          <a:ext cx="6098174" cy="89126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i="0" kern="1200">
              <a:latin typeface="Times New Roman" panose="02020603050405020304" pitchFamily="18" charset="0"/>
              <a:cs typeface="Times New Roman" panose="02020603050405020304" pitchFamily="18" charset="0"/>
            </a:rPr>
            <a:t>Стратегический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i="0" kern="1200">
              <a:latin typeface="Times New Roman" panose="02020603050405020304" pitchFamily="18" charset="0"/>
              <a:cs typeface="Times New Roman" panose="02020603050405020304" pitchFamily="18" charset="0"/>
            </a:rPr>
            <a:t>Развитие и адаптация организации - сложноструктурированная стратегия, рассчитанная на изменение внутренней среды с целью повышения качества функционирования и адаптации к требованиям рынка. Компания акцентирует внимание на изменениях во внешней среде, которые позволяют развиваться и повышать свою эффектвиность</a:t>
          </a:r>
        </a:p>
      </dsp:txBody>
      <dsp:txXfrm>
        <a:off x="26104" y="2721995"/>
        <a:ext cx="6045966" cy="839055"/>
      </dsp:txXfrm>
    </dsp:sp>
    <dsp:sp modelId="{5FA8338C-DB7E-4E10-B6FE-EBBD83B4CC1E}">
      <dsp:nvSpPr>
        <dsp:cNvPr id="0" name=""/>
        <dsp:cNvSpPr/>
      </dsp:nvSpPr>
      <dsp:spPr>
        <a:xfrm rot="5400000">
          <a:off x="2860647" y="3637285"/>
          <a:ext cx="264210" cy="268530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 rot="-5400000">
        <a:off x="2912193" y="3639446"/>
        <a:ext cx="161118" cy="184947"/>
      </dsp:txXfrm>
    </dsp:sp>
    <dsp:sp modelId="{80220572-AD86-4302-826E-19440F484EF3}">
      <dsp:nvSpPr>
        <dsp:cNvPr id="0" name=""/>
        <dsp:cNvSpPr/>
      </dsp:nvSpPr>
      <dsp:spPr>
        <a:xfrm>
          <a:off x="0" y="3924329"/>
          <a:ext cx="6098174" cy="110692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i="0" kern="1200">
              <a:latin typeface="Times New Roman" panose="02020603050405020304" pitchFamily="18" charset="0"/>
              <a:cs typeface="Times New Roman" panose="02020603050405020304" pitchFamily="18" charset="0"/>
            </a:rPr>
            <a:t>Инновационно-технологический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i="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Организация активно внедряет технологии, которые оказывают положительное влияние на ее деятельность, требуют значительных инвестиций, а также продиктованы внешними условиями, тенденциями и потребностями самой компании. Изменения в деятельности компании связаны с углублением дифференциации потребительского спроса, высокой технологичностью и высокой степень динамики технологий, предполагающей быстрый моральный износ товара или услуги </a:t>
          </a:r>
        </a:p>
      </dsp:txBody>
      <dsp:txXfrm>
        <a:off x="32421" y="3956750"/>
        <a:ext cx="6033332" cy="104207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1A9B11D-61A6-4AD0-AB3D-83831E0E9DAA}">
      <dsp:nvSpPr>
        <dsp:cNvPr id="0" name=""/>
        <dsp:cNvSpPr/>
      </dsp:nvSpPr>
      <dsp:spPr>
        <a:xfrm>
          <a:off x="0" y="1562"/>
          <a:ext cx="6048375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FA3B71C-94AC-4293-B410-C5B5581D7B83}">
      <dsp:nvSpPr>
        <dsp:cNvPr id="0" name=""/>
        <dsp:cNvSpPr/>
      </dsp:nvSpPr>
      <dsp:spPr>
        <a:xfrm>
          <a:off x="0" y="1562"/>
          <a:ext cx="1402825" cy="319727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Трансформационно-адаптационный потенциал</a:t>
          </a:r>
        </a:p>
      </dsp:txBody>
      <dsp:txXfrm>
        <a:off x="0" y="1562"/>
        <a:ext cx="1402825" cy="3197274"/>
      </dsp:txXfrm>
    </dsp:sp>
    <dsp:sp modelId="{DAA8784A-99AC-4BA0-BA9F-977FD12BD73A}">
      <dsp:nvSpPr>
        <dsp:cNvPr id="0" name=""/>
        <dsp:cNvSpPr/>
      </dsp:nvSpPr>
      <dsp:spPr>
        <a:xfrm>
          <a:off x="1489829" y="31693"/>
          <a:ext cx="4553233" cy="60261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Оптимизация рабочих процессов: продвижения информационных платформ с целью демократизации данных внутри организации, усовершенствования процессов анализа и обработки данных</a:t>
          </a:r>
        </a:p>
      </dsp:txBody>
      <dsp:txXfrm>
        <a:off x="1489829" y="31693"/>
        <a:ext cx="4553233" cy="602611"/>
      </dsp:txXfrm>
    </dsp:sp>
    <dsp:sp modelId="{DBCC6DB4-7283-4D4C-B834-FA6E2A67003C}">
      <dsp:nvSpPr>
        <dsp:cNvPr id="0" name=""/>
        <dsp:cNvSpPr/>
      </dsp:nvSpPr>
      <dsp:spPr>
        <a:xfrm>
          <a:off x="1402825" y="634304"/>
          <a:ext cx="464023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72AFCCB-5337-43E4-851D-27CE80D846CB}">
      <dsp:nvSpPr>
        <dsp:cNvPr id="0" name=""/>
        <dsp:cNvSpPr/>
      </dsp:nvSpPr>
      <dsp:spPr>
        <a:xfrm>
          <a:off x="1482453" y="616666"/>
          <a:ext cx="4553233" cy="60261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Реструктуризация структуры персонала, акцентирование внимание на специалистов, а области инноваций и цифровых технологий. Формирование корпоративной культуры, направленной на прогрессивное отношение к инновациям</a:t>
          </a:r>
        </a:p>
      </dsp:txBody>
      <dsp:txXfrm>
        <a:off x="1482453" y="616666"/>
        <a:ext cx="4553233" cy="602611"/>
      </dsp:txXfrm>
    </dsp:sp>
    <dsp:sp modelId="{316CEF36-9EF2-4E32-97C1-B661CC2F771A}">
      <dsp:nvSpPr>
        <dsp:cNvPr id="0" name=""/>
        <dsp:cNvSpPr/>
      </dsp:nvSpPr>
      <dsp:spPr>
        <a:xfrm>
          <a:off x="1402825" y="1267046"/>
          <a:ext cx="464023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752330C-460B-44B6-A659-8F4DFC52BB36}">
      <dsp:nvSpPr>
        <dsp:cNvPr id="0" name=""/>
        <dsp:cNvSpPr/>
      </dsp:nvSpPr>
      <dsp:spPr>
        <a:xfrm>
          <a:off x="1489829" y="1297177"/>
          <a:ext cx="4553233" cy="60261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Поэтапное внедрение технологий в процессы функционирования предприятий. Отлаженная схема взаимодействия между используемыми и внедряемыми технологиями</a:t>
          </a:r>
        </a:p>
      </dsp:txBody>
      <dsp:txXfrm>
        <a:off x="1489829" y="1297177"/>
        <a:ext cx="4553233" cy="602611"/>
      </dsp:txXfrm>
    </dsp:sp>
    <dsp:sp modelId="{33C8D047-E2FA-46B9-A3B0-0CB2776B2814}">
      <dsp:nvSpPr>
        <dsp:cNvPr id="0" name=""/>
        <dsp:cNvSpPr/>
      </dsp:nvSpPr>
      <dsp:spPr>
        <a:xfrm>
          <a:off x="1402825" y="1899788"/>
          <a:ext cx="464023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B998E8C-1D59-4AB4-89C9-BB29F6BC08C4}">
      <dsp:nvSpPr>
        <dsp:cNvPr id="0" name=""/>
        <dsp:cNvSpPr/>
      </dsp:nvSpPr>
      <dsp:spPr>
        <a:xfrm>
          <a:off x="1492971" y="1882149"/>
          <a:ext cx="4553233" cy="60261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Анализ практики внедрения стратегий и технологий других предприятий промышленности, применения их опыта, интеграция опыта других компаний и его трансформация под критерий конкретных предприятий</a:t>
          </a:r>
        </a:p>
      </dsp:txBody>
      <dsp:txXfrm>
        <a:off x="1492971" y="1882149"/>
        <a:ext cx="4553233" cy="602611"/>
      </dsp:txXfrm>
    </dsp:sp>
    <dsp:sp modelId="{387A36E4-3D99-4210-B289-676197B02657}">
      <dsp:nvSpPr>
        <dsp:cNvPr id="0" name=""/>
        <dsp:cNvSpPr/>
      </dsp:nvSpPr>
      <dsp:spPr>
        <a:xfrm>
          <a:off x="1402825" y="2532530"/>
          <a:ext cx="464023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F2A594F-4EE5-4E25-A16C-E4D3D6F68646}">
      <dsp:nvSpPr>
        <dsp:cNvPr id="0" name=""/>
        <dsp:cNvSpPr/>
      </dsp:nvSpPr>
      <dsp:spPr>
        <a:xfrm>
          <a:off x="1482453" y="2508070"/>
          <a:ext cx="4553233" cy="60261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Актуализация инновационной стратегии, ее адаптация стратегии развития компании. Инновации – это не только средство снижения расходов, это формирования новой траектории развития предприятия с высоким уровнем цифровой зрелости</a:t>
          </a:r>
        </a:p>
      </dsp:txBody>
      <dsp:txXfrm>
        <a:off x="1482453" y="2508070"/>
        <a:ext cx="4553233" cy="602611"/>
      </dsp:txXfrm>
    </dsp:sp>
    <dsp:sp modelId="{2F1ACC30-DEE1-4310-8C8A-4B205C14E893}">
      <dsp:nvSpPr>
        <dsp:cNvPr id="0" name=""/>
        <dsp:cNvSpPr/>
      </dsp:nvSpPr>
      <dsp:spPr>
        <a:xfrm>
          <a:off x="1402825" y="3165272"/>
          <a:ext cx="464023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2611</Words>
  <Characters>14888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20</cp:revision>
  <dcterms:created xsi:type="dcterms:W3CDTF">2021-06-13T18:58:00Z</dcterms:created>
  <dcterms:modified xsi:type="dcterms:W3CDTF">2023-06-18T14:28:00Z</dcterms:modified>
</cp:coreProperties>
</file>