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146B" w:rsidRPr="004C68F0" w:rsidRDefault="00A7146B" w:rsidP="00A7146B">
      <w:pPr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4C68F0">
        <w:rPr>
          <w:rFonts w:ascii="Times New Roman" w:eastAsia="Calibri" w:hAnsi="Times New Roman" w:cs="Times New Roman"/>
          <w:b/>
          <w:sz w:val="24"/>
          <w:szCs w:val="24"/>
        </w:rPr>
        <w:t>УДК: 316.3, 519.6</w:t>
      </w:r>
    </w:p>
    <w:p w:rsidR="00A7146B" w:rsidRPr="004C68F0" w:rsidRDefault="00A7146B" w:rsidP="00A7146B">
      <w:pPr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4C68F0">
        <w:rPr>
          <w:rFonts w:ascii="Times New Roman" w:eastAsia="Calibri" w:hAnsi="Times New Roman" w:cs="Times New Roman"/>
          <w:b/>
          <w:sz w:val="24"/>
          <w:szCs w:val="24"/>
        </w:rPr>
        <w:t>БКК: 65.209</w:t>
      </w:r>
    </w:p>
    <w:p w:rsidR="00A7146B" w:rsidRPr="004C68F0" w:rsidRDefault="00D47AA6" w:rsidP="00D47AA6">
      <w:pPr>
        <w:spacing w:after="0" w:line="360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 w:rsidRPr="004C68F0">
        <w:rPr>
          <w:rFonts w:ascii="Times New Roman" w:eastAsia="Calibri" w:hAnsi="Times New Roman" w:cs="Times New Roman"/>
          <w:b/>
          <w:sz w:val="24"/>
          <w:szCs w:val="24"/>
        </w:rPr>
        <w:t>Турко В. А.</w:t>
      </w:r>
    </w:p>
    <w:p w:rsidR="00F15A5E" w:rsidRPr="004C68F0" w:rsidRDefault="00F15A5E" w:rsidP="00F15A5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C68F0">
        <w:rPr>
          <w:rFonts w:ascii="Times New Roman" w:eastAsia="Calibri" w:hAnsi="Times New Roman" w:cs="Times New Roman"/>
          <w:b/>
          <w:sz w:val="24"/>
          <w:szCs w:val="24"/>
        </w:rPr>
        <w:t>СДЕРЖИВАНИЕ ФИНАНСОВОЙ ИНТЕГРАЦИИ, КАК ФАКТОР РИСКА РАЗВИТИЯ НАЦИОНАЛЬНЫХ ЭКОНОМИК.</w:t>
      </w:r>
    </w:p>
    <w:p w:rsidR="004C68F0" w:rsidRPr="004C68F0" w:rsidRDefault="004C68F0" w:rsidP="00F15A5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15A5E" w:rsidRPr="004C68F0" w:rsidRDefault="00D47AA6" w:rsidP="00F15A5E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C68F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Аннотация. </w:t>
      </w:r>
      <w:r w:rsidRPr="004C68F0">
        <w:rPr>
          <w:rFonts w:ascii="Times New Roman" w:eastAsia="Calibri" w:hAnsi="Times New Roman" w:cs="Times New Roman"/>
          <w:bCs/>
          <w:sz w:val="24"/>
          <w:szCs w:val="24"/>
        </w:rPr>
        <w:t>Реализации концепции формирования оптимизации финансовых потоков в рамках общего финансового рынка Евразийского экономического союза. Создан вычислительный комплекс системно-динамической оптимизации, позволяющий проводить сценарные расчеты последствий, принимаемых межгосударственных инвестиционных решений.</w:t>
      </w:r>
    </w:p>
    <w:p w:rsidR="00D47AA6" w:rsidRPr="004C68F0" w:rsidRDefault="00D47AA6" w:rsidP="004C68F0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C68F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Ключевые слова: </w:t>
      </w:r>
      <w:r w:rsidRPr="004C68F0">
        <w:rPr>
          <w:rFonts w:ascii="Times New Roman" w:eastAsia="Calibri" w:hAnsi="Times New Roman" w:cs="Times New Roman"/>
          <w:bCs/>
          <w:sz w:val="24"/>
          <w:szCs w:val="24"/>
        </w:rPr>
        <w:t>оптимизация финансовых потоков, рынок ЕАЭС, комплекс системно-динамической оптимизации, клиринг,</w:t>
      </w:r>
      <w:r w:rsidR="004C68F0" w:rsidRPr="004C68F0">
        <w:rPr>
          <w:rFonts w:ascii="Times New Roman" w:eastAsia="Calibri" w:hAnsi="Times New Roman" w:cs="Times New Roman"/>
          <w:bCs/>
          <w:sz w:val="24"/>
          <w:szCs w:val="24"/>
        </w:rPr>
        <w:t xml:space="preserve"> цепочка блоков транзакций, синергетический эффект.</w:t>
      </w:r>
    </w:p>
    <w:p w:rsidR="004C68F0" w:rsidRPr="004C68F0" w:rsidRDefault="004C68F0" w:rsidP="004C68F0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F15A5E" w:rsidRPr="004C68F0" w:rsidRDefault="00F15A5E" w:rsidP="00BC386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ru"/>
        </w:rPr>
      </w:pPr>
      <w:r w:rsidRPr="004C68F0">
        <w:rPr>
          <w:rFonts w:ascii="Times New Roman" w:eastAsia="Calibri" w:hAnsi="Times New Roman" w:cs="Times New Roman"/>
          <w:sz w:val="24"/>
          <w:szCs w:val="24"/>
          <w:lang w:val="ru"/>
        </w:rPr>
        <w:t xml:space="preserve">В данной статье затрагивается проблема финансового взаимодействия при внешнеэкономических операциях в рамках </w:t>
      </w:r>
      <w:r w:rsidRPr="004C68F0">
        <w:rPr>
          <w:rFonts w:ascii="Times New Roman" w:eastAsia="Calibri" w:hAnsi="Times New Roman" w:cs="Times New Roman"/>
          <w:sz w:val="24"/>
          <w:szCs w:val="24"/>
        </w:rPr>
        <w:t>ЕврАзЭС</w:t>
      </w:r>
      <w:r w:rsidRPr="004C68F0">
        <w:rPr>
          <w:rFonts w:ascii="Times New Roman" w:eastAsia="Calibri" w:hAnsi="Times New Roman" w:cs="Times New Roman"/>
          <w:sz w:val="24"/>
          <w:szCs w:val="24"/>
          <w:lang w:val="ru"/>
        </w:rPr>
        <w:t>. Важной особенностью интеграционного элемента в модели послужило использование матрицы распределения импортных товаров и услуг в разрезе валют (доллар США, евро, российский рубль). Импортные товары в разрезе отраслей распределяются (по строкам таблицы) по направлениям промежуточного и конечного спроса на основе информации о получателях товаров и экспертных оценок.</w:t>
      </w:r>
    </w:p>
    <w:p w:rsidR="00EE1F1E" w:rsidRPr="004C68F0" w:rsidRDefault="00EE1F1E" w:rsidP="00EE1F1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ru"/>
        </w:rPr>
      </w:pPr>
      <w:r w:rsidRPr="004C68F0">
        <w:rPr>
          <w:rFonts w:ascii="Times New Roman" w:eastAsia="Times New Roman" w:hAnsi="Times New Roman" w:cs="Times New Roman"/>
          <w:color w:val="000000"/>
          <w:sz w:val="24"/>
          <w:szCs w:val="24"/>
          <w:lang w:val="be-BY" w:eastAsia="ru-RU"/>
        </w:rPr>
        <w:t>П</w:t>
      </w:r>
      <w:r w:rsidRPr="004C68F0">
        <w:rPr>
          <w:rFonts w:ascii="Times New Roman" w:eastAsia="Times New Roman" w:hAnsi="Times New Roman" w:cs="Times New Roman"/>
          <w:color w:val="000000"/>
          <w:sz w:val="24"/>
          <w:szCs w:val="24"/>
          <w:lang w:val="be-BY" w:eastAsia="ru-RU"/>
        </w:rPr>
        <w:t>редставлены</w:t>
      </w:r>
      <w:r w:rsidRPr="004C68F0">
        <w:rPr>
          <w:rFonts w:ascii="Times New Roman" w:eastAsia="Times New Roman" w:hAnsi="Times New Roman" w:cs="Times New Roman"/>
          <w:color w:val="000000"/>
          <w:sz w:val="24"/>
          <w:szCs w:val="24"/>
          <w:lang w:val="be-BY" w:eastAsia="ru-RU"/>
        </w:rPr>
        <w:t>е</w:t>
      </w:r>
      <w:r w:rsidR="00F07412" w:rsidRPr="004C68F0">
        <w:rPr>
          <w:rFonts w:ascii="Times New Roman" w:eastAsia="Times New Roman" w:hAnsi="Times New Roman" w:cs="Times New Roman"/>
          <w:color w:val="000000"/>
          <w:sz w:val="24"/>
          <w:szCs w:val="24"/>
          <w:lang w:val="be-BY" w:eastAsia="ru-RU"/>
        </w:rPr>
        <w:t xml:space="preserve"> результаты </w:t>
      </w:r>
      <w:r w:rsidRPr="004C68F0">
        <w:rPr>
          <w:rFonts w:ascii="Times New Roman" w:eastAsia="Times New Roman" w:hAnsi="Times New Roman" w:cs="Times New Roman"/>
          <w:color w:val="000000"/>
          <w:sz w:val="24"/>
          <w:szCs w:val="24"/>
          <w:lang w:val="be-BY" w:eastAsia="ru-RU"/>
        </w:rPr>
        <w:t>затра</w:t>
      </w:r>
      <w:r w:rsidR="00F07412" w:rsidRPr="004C68F0">
        <w:rPr>
          <w:rFonts w:ascii="Times New Roman" w:eastAsia="Times New Roman" w:hAnsi="Times New Roman" w:cs="Times New Roman"/>
          <w:color w:val="000000"/>
          <w:sz w:val="24"/>
          <w:szCs w:val="24"/>
          <w:lang w:val="be-BY" w:eastAsia="ru-RU"/>
        </w:rPr>
        <w:t>гиваемой проблемы, реализованны</w:t>
      </w:r>
      <w:r w:rsidRPr="004C68F0">
        <w:rPr>
          <w:rFonts w:ascii="Times New Roman" w:eastAsia="Times New Roman" w:hAnsi="Times New Roman" w:cs="Times New Roman"/>
          <w:color w:val="000000"/>
          <w:sz w:val="24"/>
          <w:szCs w:val="24"/>
          <w:lang w:val="be-BY" w:eastAsia="ru-RU"/>
        </w:rPr>
        <w:t xml:space="preserve"> на специально созданной вычислительной платформе,  позволяющей проводить сценарные расчеты последствий принимае</w:t>
      </w:r>
      <w:r w:rsidRPr="004C68F0">
        <w:rPr>
          <w:rFonts w:ascii="Times New Roman" w:eastAsia="Times New Roman" w:hAnsi="Times New Roman" w:cs="Times New Roman"/>
          <w:color w:val="000000"/>
          <w:sz w:val="24"/>
          <w:szCs w:val="24"/>
          <w:lang w:val="be-BY" w:eastAsia="ru-RU"/>
        </w:rPr>
        <w:softHyphen/>
        <w:t xml:space="preserve">мых решений </w:t>
      </w:r>
      <w:r w:rsidRPr="004C68F0">
        <w:rPr>
          <w:rFonts w:ascii="Times New Roman" w:eastAsia="Calibri" w:hAnsi="Times New Roman" w:cs="Times New Roman"/>
          <w:color w:val="000000"/>
          <w:sz w:val="24"/>
          <w:szCs w:val="24"/>
          <w:lang w:val="ru"/>
        </w:rPr>
        <w:t xml:space="preserve"> на базе многоотраслевого производственного комплекса, включающего четыре блока: («Сектор производители товаров и услуг», «Сектор домашнее хозяйство», «Сектор государственное управление» и «Финансовый сектор и внешний мир»)</w:t>
      </w:r>
      <w:r w:rsidRPr="004C68F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[</w:t>
      </w:r>
      <w:r w:rsidR="00424A3A" w:rsidRPr="004C68F0">
        <w:rPr>
          <w:rFonts w:ascii="Times New Roman" w:eastAsia="Calibri" w:hAnsi="Times New Roman" w:cs="Times New Roman"/>
          <w:color w:val="000000"/>
          <w:sz w:val="24"/>
          <w:szCs w:val="24"/>
        </w:rPr>
        <w:t>1</w:t>
      </w:r>
      <w:r w:rsidRPr="004C68F0">
        <w:rPr>
          <w:rFonts w:ascii="Times New Roman" w:eastAsia="Calibri" w:hAnsi="Times New Roman" w:cs="Times New Roman"/>
          <w:color w:val="000000"/>
          <w:sz w:val="24"/>
          <w:szCs w:val="24"/>
        </w:rPr>
        <w:t>]</w:t>
      </w:r>
      <w:r w:rsidRPr="004C68F0">
        <w:rPr>
          <w:rFonts w:ascii="Times New Roman" w:eastAsia="Calibri" w:hAnsi="Times New Roman" w:cs="Times New Roman"/>
          <w:color w:val="000000"/>
          <w:sz w:val="24"/>
          <w:szCs w:val="24"/>
          <w:lang w:val="be-BY"/>
        </w:rPr>
        <w:t>,</w:t>
      </w:r>
      <w:r w:rsidRPr="004C68F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[</w:t>
      </w:r>
      <w:r w:rsidR="00424A3A" w:rsidRPr="004C68F0">
        <w:rPr>
          <w:rFonts w:ascii="Times New Roman" w:eastAsia="Calibri" w:hAnsi="Times New Roman" w:cs="Times New Roman"/>
          <w:color w:val="000000"/>
          <w:sz w:val="24"/>
          <w:szCs w:val="24"/>
        </w:rPr>
        <w:t>2</w:t>
      </w:r>
      <w:r w:rsidRPr="004C68F0">
        <w:rPr>
          <w:rFonts w:ascii="Times New Roman" w:eastAsia="Calibri" w:hAnsi="Times New Roman" w:cs="Times New Roman"/>
          <w:color w:val="000000"/>
          <w:sz w:val="24"/>
          <w:szCs w:val="24"/>
        </w:rPr>
        <w:t>]</w:t>
      </w:r>
      <w:r w:rsidRPr="004C68F0">
        <w:rPr>
          <w:rFonts w:ascii="Times New Roman" w:eastAsia="Calibri" w:hAnsi="Times New Roman" w:cs="Times New Roman"/>
          <w:color w:val="000000"/>
          <w:sz w:val="24"/>
          <w:szCs w:val="24"/>
          <w:lang w:val="ru"/>
        </w:rPr>
        <w:t xml:space="preserve">.  </w:t>
      </w:r>
    </w:p>
    <w:p w:rsidR="00EE1F1E" w:rsidRPr="004C68F0" w:rsidRDefault="00EE1F1E" w:rsidP="00EE1F1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ru"/>
        </w:rPr>
      </w:pPr>
      <w:r w:rsidRPr="004C68F0">
        <w:rPr>
          <w:rFonts w:ascii="Times New Roman" w:eastAsia="Calibri" w:hAnsi="Times New Roman" w:cs="Times New Roman"/>
          <w:color w:val="000000"/>
          <w:sz w:val="24"/>
          <w:szCs w:val="24"/>
          <w:lang w:val="ru"/>
        </w:rPr>
        <w:t xml:space="preserve">Программный комплекс </w:t>
      </w:r>
      <w:r w:rsidRPr="004C68F0">
        <w:rPr>
          <w:rFonts w:ascii="Times New Roman" w:eastAsia="Calibri" w:hAnsi="Times New Roman" w:cs="Times New Roman"/>
          <w:color w:val="000000"/>
          <w:sz w:val="24"/>
          <w:szCs w:val="24"/>
        </w:rPr>
        <w:t>[</w:t>
      </w:r>
      <w:r w:rsidR="00424A3A" w:rsidRPr="004C68F0">
        <w:rPr>
          <w:rFonts w:ascii="Times New Roman" w:eastAsia="Calibri" w:hAnsi="Times New Roman" w:cs="Times New Roman"/>
          <w:color w:val="000000"/>
          <w:sz w:val="24"/>
          <w:szCs w:val="24"/>
        </w:rPr>
        <w:t>3</w:t>
      </w:r>
      <w:r w:rsidRPr="004C68F0">
        <w:rPr>
          <w:rFonts w:ascii="Times New Roman" w:eastAsia="Calibri" w:hAnsi="Times New Roman" w:cs="Times New Roman"/>
          <w:color w:val="000000"/>
          <w:sz w:val="24"/>
          <w:szCs w:val="24"/>
        </w:rPr>
        <w:t>]</w:t>
      </w:r>
      <w:r w:rsidRPr="004C68F0">
        <w:rPr>
          <w:rFonts w:ascii="Times New Roman" w:eastAsia="Calibri" w:hAnsi="Times New Roman" w:cs="Times New Roman"/>
          <w:color w:val="000000"/>
          <w:sz w:val="24"/>
          <w:szCs w:val="24"/>
          <w:lang w:val="ru"/>
        </w:rPr>
        <w:t xml:space="preserve"> дает возможность разрабатывать</w:t>
      </w:r>
      <w:r w:rsidRPr="004C68F0">
        <w:rPr>
          <w:rFonts w:ascii="Times New Roman" w:eastAsia="Calibri" w:hAnsi="Times New Roman" w:cs="Times New Roman"/>
          <w:sz w:val="24"/>
          <w:szCs w:val="24"/>
          <w:lang w:val="ru"/>
        </w:rPr>
        <w:t xml:space="preserve"> прогнозы системно-взаимосвязанных показателей на среднесрочную перспективу и осуществлять на основе полученных результатов анализ сбалансированности развития экономики страны в прогнозном периоде. </w:t>
      </w:r>
    </w:p>
    <w:p w:rsidR="00EE1F1E" w:rsidRPr="004C68F0" w:rsidRDefault="00EE1F1E" w:rsidP="0034763A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ru"/>
        </w:rPr>
      </w:pPr>
    </w:p>
    <w:p w:rsidR="00F15A5E" w:rsidRPr="004C68F0" w:rsidRDefault="00F15A5E" w:rsidP="00F15A5E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4"/>
          <w:szCs w:val="24"/>
          <w:lang w:val="be-BY"/>
        </w:rPr>
      </w:pPr>
    </w:p>
    <w:p w:rsidR="00F15A5E" w:rsidRPr="004C68F0" w:rsidRDefault="00F15A5E" w:rsidP="004C68F0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C68F0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163820" cy="2359025"/>
            <wp:effectExtent l="0" t="0" r="0" b="317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3820" cy="235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A5E" w:rsidRPr="004C68F0" w:rsidRDefault="00F15A5E" w:rsidP="004C68F0">
      <w:pPr>
        <w:spacing w:after="0" w:line="360" w:lineRule="auto"/>
        <w:jc w:val="center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4C68F0">
        <w:rPr>
          <w:rFonts w:ascii="Times New Roman" w:eastAsia="Times New Roman" w:hAnsi="Times New Roman" w:cs="Times New Roman"/>
          <w:sz w:val="24"/>
          <w:szCs w:val="24"/>
          <w:lang w:eastAsia="ru-RU"/>
        </w:rPr>
        <w:t>Рис</w:t>
      </w:r>
      <w:r w:rsidRPr="004C68F0">
        <w:rPr>
          <w:rFonts w:ascii="Times New Roman" w:eastAsia="Times New Roman" w:hAnsi="Times New Roman" w:cs="Times New Roman"/>
          <w:sz w:val="24"/>
          <w:szCs w:val="24"/>
          <w:lang w:val="be-BY" w:eastAsia="ru-RU"/>
        </w:rPr>
        <w:t>унок</w:t>
      </w:r>
      <w:r w:rsidRPr="004C6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07412" w:rsidRPr="004C68F0">
        <w:rPr>
          <w:rFonts w:ascii="Times New Roman" w:eastAsia="Times New Roman" w:hAnsi="Times New Roman" w:cs="Times New Roman"/>
          <w:sz w:val="24"/>
          <w:szCs w:val="24"/>
          <w:lang w:val="be-BY" w:eastAsia="ru-RU"/>
        </w:rPr>
        <w:t>1</w:t>
      </w:r>
      <w:r w:rsidRPr="004C68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4C68F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–</w:t>
      </w:r>
      <w:r w:rsidRPr="004C68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4C68F0">
        <w:rPr>
          <w:rFonts w:ascii="Times New Roman" w:eastAsia="Calibri" w:hAnsi="Times New Roman" w:cs="Times New Roman"/>
          <w:bCs/>
          <w:sz w:val="24"/>
          <w:szCs w:val="24"/>
        </w:rPr>
        <w:t>Схема перехода в расчётах на региональную валюту</w:t>
      </w:r>
    </w:p>
    <w:p w:rsidR="00F15A5E" w:rsidRPr="004C68F0" w:rsidRDefault="00F15A5E" w:rsidP="00DF65EB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be-BY"/>
        </w:rPr>
      </w:pPr>
      <w:r w:rsidRPr="004C68F0">
        <w:rPr>
          <w:rFonts w:ascii="Times New Roman" w:eastAsia="Calibri" w:hAnsi="Times New Roman" w:cs="Times New Roman"/>
          <w:bCs/>
          <w:sz w:val="24"/>
          <w:szCs w:val="24"/>
          <w:lang w:val="be-BY"/>
        </w:rPr>
        <w:t>Экономический эффект выражен улучшением платежного баланса через сокращение транзакционных издержек во взаимной торговле, что, в свою очередь, напрямую влияет на благостояние страны.</w:t>
      </w:r>
    </w:p>
    <w:p w:rsidR="00F15A5E" w:rsidRPr="004C68F0" w:rsidRDefault="00F15A5E" w:rsidP="00F15A5E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ru"/>
        </w:rPr>
      </w:pPr>
    </w:p>
    <w:p w:rsidR="00F15A5E" w:rsidRPr="004C68F0" w:rsidRDefault="00F15A5E" w:rsidP="0034763A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C68F0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6116320" cy="590105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6320" cy="5901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A5E" w:rsidRPr="004C68F0" w:rsidRDefault="00F15A5E" w:rsidP="00F15A5E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Cs/>
          <w:i/>
          <w:sz w:val="24"/>
          <w:szCs w:val="24"/>
          <w:lang w:val="be-BY"/>
        </w:rPr>
      </w:pPr>
      <w:r w:rsidRPr="004C68F0">
        <w:rPr>
          <w:rFonts w:ascii="Times New Roman" w:eastAsia="Times New Roman" w:hAnsi="Times New Roman" w:cs="Times New Roman"/>
          <w:sz w:val="24"/>
          <w:szCs w:val="24"/>
          <w:lang w:eastAsia="ru-RU"/>
        </w:rPr>
        <w:t>Рис</w:t>
      </w:r>
      <w:r w:rsidRPr="004C68F0">
        <w:rPr>
          <w:rFonts w:ascii="Times New Roman" w:eastAsia="Times New Roman" w:hAnsi="Times New Roman" w:cs="Times New Roman"/>
          <w:sz w:val="24"/>
          <w:szCs w:val="24"/>
          <w:lang w:val="be-BY" w:eastAsia="ru-RU"/>
        </w:rPr>
        <w:t>унок</w:t>
      </w:r>
      <w:r w:rsidRPr="004C6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07412" w:rsidRPr="004C68F0">
        <w:rPr>
          <w:rFonts w:ascii="Times New Roman" w:eastAsia="Times New Roman" w:hAnsi="Times New Roman" w:cs="Times New Roman"/>
          <w:sz w:val="24"/>
          <w:szCs w:val="24"/>
          <w:lang w:val="be-BY" w:eastAsia="ru-RU"/>
        </w:rPr>
        <w:t>2</w:t>
      </w:r>
      <w:r w:rsidRPr="004C68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4C68F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–</w:t>
      </w:r>
      <w:r w:rsidRPr="004C68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4C68F0">
        <w:rPr>
          <w:rFonts w:ascii="Times New Roman" w:eastAsia="Calibri" w:hAnsi="Times New Roman" w:cs="Times New Roman"/>
          <w:bCs/>
          <w:sz w:val="24"/>
          <w:szCs w:val="24"/>
        </w:rPr>
        <w:t xml:space="preserve">Интеграционный эффект от </w:t>
      </w:r>
      <w:r w:rsidRPr="004C68F0">
        <w:rPr>
          <w:rFonts w:ascii="Times New Roman" w:eastAsia="Calibri" w:hAnsi="Times New Roman" w:cs="Times New Roman"/>
          <w:bCs/>
          <w:sz w:val="24"/>
          <w:szCs w:val="24"/>
          <w:lang w:val="be-BY"/>
        </w:rPr>
        <w:t>создания валютного союза в рамках ЕАЭС.</w:t>
      </w:r>
    </w:p>
    <w:p w:rsidR="00F15A5E" w:rsidRPr="004C68F0" w:rsidRDefault="00F15A5E" w:rsidP="00F15A5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C68F0">
        <w:rPr>
          <w:rFonts w:ascii="Times New Roman" w:eastAsia="Calibri" w:hAnsi="Times New Roman" w:cs="Times New Roman"/>
          <w:sz w:val="24"/>
          <w:szCs w:val="24"/>
          <w:lang w:val="ru"/>
        </w:rPr>
        <w:t>Важно отметить, что использование данной схемы справедливо только в краткосрочном моделировании, т. к. в долгосрочном периоде возникает мультипликативный эффект (формирование наднациональной финансовой системы).</w:t>
      </w:r>
      <w:r w:rsidRPr="004C68F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4C68F0">
        <w:rPr>
          <w:rFonts w:ascii="Times New Roman" w:eastAsia="Calibri" w:hAnsi="Times New Roman" w:cs="Times New Roman"/>
          <w:sz w:val="24"/>
          <w:szCs w:val="24"/>
          <w:lang w:val="ru"/>
        </w:rPr>
        <w:t>Участие экономики Республики Беларусь в интеграционных объединениях, позволяет полностью реализовать свой внешнеторговый потенциал.</w:t>
      </w:r>
      <w:r w:rsidRPr="004C68F0">
        <w:rPr>
          <w:rFonts w:ascii="Times New Roman" w:eastAsia="Calibri" w:hAnsi="Times New Roman" w:cs="Times New Roman"/>
          <w:sz w:val="24"/>
          <w:szCs w:val="24"/>
        </w:rPr>
        <w:t xml:space="preserve"> А использование блокчейн технологий</w:t>
      </w:r>
      <w:r w:rsidR="00424A3A" w:rsidRPr="004C68F0">
        <w:rPr>
          <w:rFonts w:ascii="Times New Roman" w:eastAsia="Calibri" w:hAnsi="Times New Roman" w:cs="Times New Roman"/>
          <w:sz w:val="24"/>
          <w:szCs w:val="24"/>
        </w:rPr>
        <w:t xml:space="preserve"> [4]</w:t>
      </w:r>
      <w:r w:rsidRPr="004C68F0">
        <w:rPr>
          <w:rFonts w:ascii="Times New Roman" w:eastAsia="Calibri" w:hAnsi="Times New Roman" w:cs="Times New Roman"/>
          <w:sz w:val="24"/>
          <w:szCs w:val="24"/>
        </w:rPr>
        <w:t xml:space="preserve"> даст новые возможности в реализации концепции формирования общего финансового рынка Евразийского экономического союза</w:t>
      </w:r>
      <w:r w:rsidR="00EE1F1E" w:rsidRPr="004C68F0">
        <w:rPr>
          <w:rFonts w:ascii="Times New Roman" w:eastAsia="Calibri" w:hAnsi="Times New Roman" w:cs="Times New Roman"/>
          <w:sz w:val="24"/>
          <w:szCs w:val="24"/>
        </w:rPr>
        <w:t>.</w:t>
      </w:r>
      <w:r w:rsidRPr="004C68F0">
        <w:rPr>
          <w:rFonts w:ascii="Times New Roman" w:eastAsia="Calibri" w:hAnsi="Times New Roman" w:cs="Times New Roman"/>
          <w:sz w:val="24"/>
          <w:szCs w:val="24"/>
        </w:rPr>
        <w:t xml:space="preserve"> По словам Тимура Сулейменова, интеграция финансовых рынков предполагает получение весомых экономических преимуществ, способных увеличить потенциал без инфляционного роста и повысить эффективность денежно-кредитной политики, а, следовательно, управляемость экономикой. </w:t>
      </w:r>
      <w:r w:rsidRPr="004C68F0">
        <w:rPr>
          <w:rFonts w:ascii="Times New Roman" w:eastAsia="Calibri" w:hAnsi="Times New Roman" w:cs="Times New Roman"/>
          <w:i/>
          <w:sz w:val="24"/>
          <w:szCs w:val="24"/>
        </w:rPr>
        <w:t xml:space="preserve">«В целом финансовая интеграция будет способствовать большей устойчивости рынков к проявлениям </w:t>
      </w:r>
      <w:r w:rsidRPr="004C68F0">
        <w:rPr>
          <w:rFonts w:ascii="Times New Roman" w:eastAsia="Calibri" w:hAnsi="Times New Roman" w:cs="Times New Roman"/>
          <w:i/>
          <w:sz w:val="24"/>
          <w:szCs w:val="24"/>
        </w:rPr>
        <w:lastRenderedPageBreak/>
        <w:t>кризисных явлений за счет роста их объемов, глубины и ликвидности»,</w:t>
      </w:r>
      <w:r w:rsidRPr="004C68F0">
        <w:rPr>
          <w:rFonts w:ascii="Times New Roman" w:eastAsia="Calibri" w:hAnsi="Times New Roman" w:cs="Times New Roman"/>
          <w:sz w:val="24"/>
          <w:szCs w:val="24"/>
        </w:rPr>
        <w:t xml:space="preserve"> – резюмировал Министр</w:t>
      </w:r>
      <w:r w:rsidRPr="004C68F0">
        <w:rPr>
          <w:rFonts w:ascii="Calibri" w:eastAsia="Calibri" w:hAnsi="Calibri" w:cs="Times New Roman"/>
          <w:sz w:val="24"/>
          <w:szCs w:val="24"/>
        </w:rPr>
        <w:t xml:space="preserve"> </w:t>
      </w:r>
      <w:r w:rsidRPr="004C68F0">
        <w:rPr>
          <w:rFonts w:ascii="Times New Roman" w:eastAsia="Calibri" w:hAnsi="Times New Roman" w:cs="Times New Roman"/>
          <w:sz w:val="24"/>
          <w:szCs w:val="24"/>
        </w:rPr>
        <w:t xml:space="preserve">по экономике и финансовой политике ЕЭК. </w:t>
      </w:r>
    </w:p>
    <w:p w:rsidR="00F15A5E" w:rsidRPr="004C68F0" w:rsidRDefault="00F15A5E" w:rsidP="0034763A">
      <w:pPr>
        <w:spacing w:after="0" w:line="360" w:lineRule="auto"/>
        <w:jc w:val="center"/>
        <w:rPr>
          <w:rFonts w:ascii="Calibri" w:eastAsia="Calibri" w:hAnsi="Calibri" w:cs="Times New Roman"/>
          <w:sz w:val="24"/>
          <w:szCs w:val="24"/>
        </w:rPr>
      </w:pPr>
      <w:r w:rsidRPr="004C68F0">
        <w:rPr>
          <w:rFonts w:ascii="Calibri" w:eastAsia="Calibri" w:hAnsi="Calibri" w:cs="Times New Roman"/>
          <w:noProof/>
          <w:sz w:val="24"/>
          <w:szCs w:val="24"/>
          <w:lang w:eastAsia="ru-RU"/>
        </w:rPr>
        <w:drawing>
          <wp:inline distT="0" distB="0" distL="0" distR="0">
            <wp:extent cx="6216650" cy="447992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0" cy="447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A5E" w:rsidRPr="004C68F0" w:rsidRDefault="00F15A5E" w:rsidP="004C68F0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Cs/>
          <w:i/>
          <w:sz w:val="24"/>
          <w:szCs w:val="24"/>
          <w:lang w:val="be-BY"/>
        </w:rPr>
      </w:pPr>
      <w:r w:rsidRPr="004C68F0">
        <w:rPr>
          <w:rFonts w:ascii="Times New Roman" w:eastAsia="Times New Roman" w:hAnsi="Times New Roman" w:cs="Times New Roman"/>
          <w:sz w:val="24"/>
          <w:szCs w:val="24"/>
          <w:lang w:eastAsia="ru-RU"/>
        </w:rPr>
        <w:t>Рис</w:t>
      </w:r>
      <w:r w:rsidRPr="004C68F0">
        <w:rPr>
          <w:rFonts w:ascii="Times New Roman" w:eastAsia="Times New Roman" w:hAnsi="Times New Roman" w:cs="Times New Roman"/>
          <w:sz w:val="24"/>
          <w:szCs w:val="24"/>
          <w:lang w:val="be-BY" w:eastAsia="ru-RU"/>
        </w:rPr>
        <w:t>унок</w:t>
      </w:r>
      <w:r w:rsidRPr="004C6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F65EB" w:rsidRPr="004C68F0">
        <w:rPr>
          <w:rFonts w:ascii="Times New Roman" w:eastAsia="Times New Roman" w:hAnsi="Times New Roman" w:cs="Times New Roman"/>
          <w:sz w:val="24"/>
          <w:szCs w:val="24"/>
          <w:lang w:val="be-BY" w:eastAsia="ru-RU"/>
        </w:rPr>
        <w:t>3</w:t>
      </w:r>
      <w:r w:rsidRPr="004C68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4C68F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–</w:t>
      </w:r>
      <w:r w:rsidRPr="004C68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4C68F0">
        <w:rPr>
          <w:rFonts w:ascii="Times New Roman" w:eastAsia="Calibri" w:hAnsi="Times New Roman" w:cs="Times New Roman"/>
          <w:bCs/>
          <w:sz w:val="24"/>
          <w:szCs w:val="24"/>
        </w:rPr>
        <w:t>Концепция формирования общего финансового рынка ЕАЭС</w:t>
      </w:r>
      <w:r w:rsidRPr="004C68F0">
        <w:rPr>
          <w:rFonts w:ascii="Times New Roman" w:eastAsia="Calibri" w:hAnsi="Times New Roman" w:cs="Times New Roman"/>
          <w:bCs/>
          <w:sz w:val="24"/>
          <w:szCs w:val="24"/>
          <w:lang w:val="be-BY"/>
        </w:rPr>
        <w:t>.</w:t>
      </w:r>
    </w:p>
    <w:p w:rsidR="00424A3A" w:rsidRPr="004C68F0" w:rsidRDefault="00F15A5E" w:rsidP="00F15A5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C68F0">
        <w:rPr>
          <w:rFonts w:ascii="Times New Roman" w:eastAsia="Calibri" w:hAnsi="Times New Roman" w:cs="Times New Roman"/>
          <w:sz w:val="24"/>
          <w:szCs w:val="24"/>
        </w:rPr>
        <w:t xml:space="preserve">Проводить платежи благодаря технологии «цепочке блоков транзакций» можно будет в режиме реального времени. Клиринг платежей будет проходить онлайн. </w:t>
      </w:r>
    </w:p>
    <w:p w:rsidR="00F15A5E" w:rsidRPr="004C68F0" w:rsidRDefault="00424A3A" w:rsidP="00F15A5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C68F0">
        <w:rPr>
          <w:rFonts w:ascii="Times New Roman" w:eastAsia="Calibri" w:hAnsi="Times New Roman" w:cs="Times New Roman"/>
          <w:sz w:val="24"/>
          <w:szCs w:val="24"/>
        </w:rPr>
        <w:t>Так синергетический эффект союзного государства России и Беларуси может достигать свыше 2,7% ВВП (не учитывая мультипликативный эффект от сокращения кредиторской и дебиторской задолженности за счет предлагаемого механизма управления финансовыми потоками между отраслями).</w:t>
      </w:r>
    </w:p>
    <w:p w:rsidR="00F15A5E" w:rsidRPr="004C68F0" w:rsidRDefault="00F15A5E" w:rsidP="00F15A5E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15A5E" w:rsidRPr="004C68F0" w:rsidRDefault="00F15A5E" w:rsidP="0034763A">
      <w:pPr>
        <w:spacing w:after="0" w:line="360" w:lineRule="auto"/>
        <w:jc w:val="center"/>
        <w:rPr>
          <w:rFonts w:ascii="Calibri" w:eastAsia="Calibri" w:hAnsi="Calibri" w:cs="Times New Roman"/>
          <w:sz w:val="24"/>
          <w:szCs w:val="24"/>
        </w:rPr>
      </w:pPr>
      <w:r w:rsidRPr="004C68F0">
        <w:rPr>
          <w:rFonts w:ascii="Calibri" w:eastAsia="Calibri" w:hAnsi="Calibri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755640" cy="611632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640" cy="611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A5E" w:rsidRPr="004C68F0" w:rsidRDefault="00F15A5E" w:rsidP="004C68F0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Cs/>
          <w:i/>
          <w:sz w:val="24"/>
          <w:szCs w:val="24"/>
          <w:lang w:val="be-BY"/>
        </w:rPr>
      </w:pPr>
      <w:r w:rsidRPr="004C68F0">
        <w:rPr>
          <w:rFonts w:ascii="Times New Roman" w:eastAsia="Times New Roman" w:hAnsi="Times New Roman" w:cs="Times New Roman"/>
          <w:sz w:val="24"/>
          <w:szCs w:val="24"/>
          <w:lang w:eastAsia="ru-RU"/>
        </w:rPr>
        <w:t>Рис</w:t>
      </w:r>
      <w:r w:rsidRPr="004C68F0">
        <w:rPr>
          <w:rFonts w:ascii="Times New Roman" w:eastAsia="Times New Roman" w:hAnsi="Times New Roman" w:cs="Times New Roman"/>
          <w:sz w:val="24"/>
          <w:szCs w:val="24"/>
          <w:lang w:val="be-BY" w:eastAsia="ru-RU"/>
        </w:rPr>
        <w:t>унок</w:t>
      </w:r>
      <w:r w:rsidRPr="004C68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F65EB" w:rsidRPr="004C68F0">
        <w:rPr>
          <w:rFonts w:ascii="Times New Roman" w:eastAsia="Times New Roman" w:hAnsi="Times New Roman" w:cs="Times New Roman"/>
          <w:sz w:val="24"/>
          <w:szCs w:val="24"/>
          <w:lang w:val="be-BY" w:eastAsia="ru-RU"/>
        </w:rPr>
        <w:t>4</w:t>
      </w:r>
      <w:r w:rsidRPr="004C68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4C68F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–</w:t>
      </w:r>
      <w:r w:rsidRPr="004C68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4C68F0">
        <w:rPr>
          <w:rFonts w:ascii="Times New Roman" w:eastAsia="Calibri" w:hAnsi="Times New Roman" w:cs="Times New Roman"/>
          <w:bCs/>
          <w:sz w:val="24"/>
          <w:szCs w:val="24"/>
        </w:rPr>
        <w:t>Система перераспределения финансовых потоков ЕАБР</w:t>
      </w:r>
      <w:r w:rsidRPr="004C68F0">
        <w:rPr>
          <w:rFonts w:ascii="Times New Roman" w:eastAsia="Calibri" w:hAnsi="Times New Roman" w:cs="Times New Roman"/>
          <w:bCs/>
          <w:sz w:val="24"/>
          <w:szCs w:val="24"/>
          <w:lang w:val="be-BY"/>
        </w:rPr>
        <w:t>.</w:t>
      </w:r>
    </w:p>
    <w:p w:rsidR="004C68F0" w:rsidRPr="004C68F0" w:rsidRDefault="00F15A5E" w:rsidP="004C68F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C68F0">
        <w:rPr>
          <w:rFonts w:ascii="Times New Roman" w:eastAsia="Calibri" w:hAnsi="Times New Roman" w:cs="Times New Roman"/>
          <w:sz w:val="24"/>
          <w:szCs w:val="24"/>
        </w:rPr>
        <w:t xml:space="preserve">Прототип такой системы представляет собой метод взаимодействия между банками, позволяющий получать оперативную информацию о платежах и сверять актуальность данных о клиенте.  Также на базе Евразийского фонда стабилизации и развития, формируется полноценная </w:t>
      </w:r>
      <w:r w:rsidRPr="004C68F0">
        <w:rPr>
          <w:rFonts w:ascii="Times New Roman" w:eastAsia="Calibri" w:hAnsi="Times New Roman" w:cs="Times New Roman"/>
          <w:i/>
          <w:sz w:val="24"/>
          <w:szCs w:val="24"/>
        </w:rPr>
        <w:t>международная клиринговая организация (МКО)</w:t>
      </w:r>
      <w:r w:rsidRPr="004C68F0">
        <w:rPr>
          <w:rFonts w:ascii="Times New Roman" w:eastAsia="Calibri" w:hAnsi="Times New Roman" w:cs="Times New Roman"/>
          <w:sz w:val="24"/>
          <w:szCs w:val="24"/>
        </w:rPr>
        <w:t>. Уставным фондом которой будут выступать золотовалютные резервы стран участниц:</w:t>
      </w:r>
      <w:r w:rsidRPr="004C68F0">
        <w:rPr>
          <w:rFonts w:ascii="Calibri" w:eastAsia="Calibri" w:hAnsi="Calibri" w:cs="Times New Roman"/>
          <w:sz w:val="24"/>
          <w:szCs w:val="24"/>
        </w:rPr>
        <w:t xml:space="preserve"> </w:t>
      </w:r>
      <w:r w:rsidRPr="004C68F0">
        <w:rPr>
          <w:rFonts w:ascii="Times New Roman" w:eastAsia="Calibri" w:hAnsi="Times New Roman" w:cs="Times New Roman"/>
          <w:sz w:val="24"/>
          <w:szCs w:val="24"/>
        </w:rPr>
        <w:t xml:space="preserve">Армении, Беларуси, Казахстана, Кыргызстана, России и Таджикистана. Это несоизмеримо больше сегодняшнего показателя 8,5 млрд долларов США, что даст «альтернативный» источник для инвестиций в экономику стран участниц, замещая кредиты МВФ и Всемирного банка. Ответственность, которая будет лежать на организации, будет заключаться в своевременном выполнении финансовых </w:t>
      </w:r>
      <w:r w:rsidRPr="004C68F0">
        <w:rPr>
          <w:rFonts w:ascii="Times New Roman" w:eastAsia="Calibri" w:hAnsi="Times New Roman" w:cs="Times New Roman"/>
          <w:sz w:val="24"/>
          <w:szCs w:val="24"/>
        </w:rPr>
        <w:lastRenderedPageBreak/>
        <w:t>обязательств учредителей фонда. Каждая страна в праве проводить собственную денежно-кредитную политику, но согласовывая со всеми участниками МКО.</w:t>
      </w:r>
    </w:p>
    <w:p w:rsidR="00F15A5E" w:rsidRPr="004C68F0" w:rsidRDefault="004C68F0" w:rsidP="004C68F0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C68F0">
        <w:rPr>
          <w:rFonts w:ascii="Times New Roman" w:eastAsia="Calibri" w:hAnsi="Times New Roman" w:cs="Times New Roman"/>
          <w:b/>
          <w:sz w:val="24"/>
          <w:szCs w:val="24"/>
          <w:lang w:val="ru"/>
        </w:rPr>
        <w:t>Список литературы</w:t>
      </w:r>
    </w:p>
    <w:p w:rsidR="00F15A5E" w:rsidRPr="00C776BC" w:rsidRDefault="00F15A5E" w:rsidP="00C776BC">
      <w:pPr>
        <w:pStyle w:val="a8"/>
        <w:numPr>
          <w:ilvl w:val="0"/>
          <w:numId w:val="7"/>
        </w:num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776BC">
        <w:rPr>
          <w:rFonts w:ascii="Times New Roman" w:eastAsia="Calibri" w:hAnsi="Times New Roman" w:cs="Times New Roman"/>
          <w:sz w:val="24"/>
          <w:szCs w:val="24"/>
          <w:lang w:val="be-BY"/>
        </w:rPr>
        <w:t>Турко В.А., Асанович В.Я., Карганов С.А.// Использование модели «Затраты-Выпуск» в планировании многоотраслевого комплекса республики Беларусь. Вестник БГЭУ, № 3(98), 2013, с.37</w:t>
      </w:r>
      <w:r w:rsidRPr="00C776BC">
        <w:rPr>
          <w:rFonts w:ascii="Times New Roman" w:eastAsia="Calibri" w:hAnsi="Times New Roman" w:cs="Times New Roman"/>
          <w:sz w:val="24"/>
          <w:szCs w:val="24"/>
        </w:rPr>
        <w:t>–</w:t>
      </w:r>
      <w:r w:rsidRPr="00C776BC">
        <w:rPr>
          <w:rFonts w:ascii="Times New Roman" w:eastAsia="Calibri" w:hAnsi="Times New Roman" w:cs="Times New Roman"/>
          <w:sz w:val="24"/>
          <w:szCs w:val="24"/>
          <w:lang w:val="be-BY"/>
        </w:rPr>
        <w:t>42.</w:t>
      </w:r>
    </w:p>
    <w:p w:rsidR="00F15A5E" w:rsidRPr="00C776BC" w:rsidRDefault="00F15A5E" w:rsidP="00C776BC">
      <w:pPr>
        <w:pStyle w:val="a8"/>
        <w:numPr>
          <w:ilvl w:val="0"/>
          <w:numId w:val="7"/>
        </w:num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776BC">
        <w:rPr>
          <w:rFonts w:ascii="Times New Roman" w:eastAsia="Calibri" w:hAnsi="Times New Roman" w:cs="Times New Roman"/>
          <w:sz w:val="24"/>
          <w:szCs w:val="24"/>
        </w:rPr>
        <w:t xml:space="preserve">Асанович В.Я., Турко В.А.// Совершенствование построения межотраслевых балансов «Производство – Потребление». Вестник БГЭУ, № 1(100), 2014, с.27–32. </w:t>
      </w:r>
    </w:p>
    <w:p w:rsidR="00F15A5E" w:rsidRPr="00C776BC" w:rsidRDefault="00F15A5E" w:rsidP="00C776BC">
      <w:pPr>
        <w:pStyle w:val="a8"/>
        <w:numPr>
          <w:ilvl w:val="0"/>
          <w:numId w:val="7"/>
        </w:num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776BC">
        <w:rPr>
          <w:rFonts w:ascii="Times New Roman" w:eastAsia="Calibri" w:hAnsi="Times New Roman" w:cs="Times New Roman"/>
          <w:sz w:val="24"/>
          <w:szCs w:val="24"/>
        </w:rPr>
        <w:t>Турко, В. А.  Построение сбалансированных моделей межотраслевых балансов «Производства-Потребления» [Электронный ресурс] / В. Турко. – 2011. – Режим доступа: http://www.ekonomika.by/downloads/Turko.pdf.htm – Дата доступа: 05.04.13.</w:t>
      </w:r>
    </w:p>
    <w:p w:rsidR="00F15A5E" w:rsidRDefault="00F15A5E" w:rsidP="00C776BC">
      <w:pPr>
        <w:pStyle w:val="a8"/>
        <w:numPr>
          <w:ilvl w:val="0"/>
          <w:numId w:val="7"/>
        </w:num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776BC">
        <w:rPr>
          <w:rFonts w:ascii="Times New Roman" w:eastAsia="Calibri" w:hAnsi="Times New Roman" w:cs="Times New Roman"/>
          <w:sz w:val="24"/>
          <w:szCs w:val="24"/>
        </w:rPr>
        <w:t>Блокчейн: Схема новой экономики / Мелани Свон: [перевод с английского]. — Москва: Издательство «Олимп–Бизнес», 2017. — 240 с</w:t>
      </w:r>
    </w:p>
    <w:p w:rsidR="00261FD8" w:rsidRDefault="00261FD8" w:rsidP="00261FD8">
      <w:pPr>
        <w:spacing w:after="0" w:line="360" w:lineRule="auto"/>
        <w:ind w:left="360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492D93" w:rsidRDefault="00261FD8" w:rsidP="00261FD8">
      <w:pPr>
        <w:spacing w:after="0" w:line="360" w:lineRule="auto"/>
        <w:ind w:left="360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261FD8">
        <w:rPr>
          <w:rFonts w:ascii="Times New Roman" w:eastAsia="Calibri" w:hAnsi="Times New Roman" w:cs="Times New Roman"/>
          <w:b/>
          <w:bCs/>
          <w:sz w:val="24"/>
          <w:szCs w:val="24"/>
        </w:rPr>
        <w:t>Информация об авторе</w:t>
      </w:r>
    </w:p>
    <w:p w:rsidR="00261FD8" w:rsidRPr="00261FD8" w:rsidRDefault="00261FD8" w:rsidP="005576B7">
      <w:p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Турко Владимир Александрович</w:t>
      </w:r>
      <w:r w:rsidR="005576B7">
        <w:rPr>
          <w:rFonts w:ascii="Times New Roman" w:eastAsia="Calibri" w:hAnsi="Times New Roman" w:cs="Times New Roman"/>
          <w:sz w:val="24"/>
          <w:szCs w:val="24"/>
        </w:rPr>
        <w:t xml:space="preserve"> (Республика Беларусь, Минск) – соискатель, научный сотрудник, </w:t>
      </w:r>
      <w:r w:rsidR="005576B7" w:rsidRPr="005576B7">
        <w:rPr>
          <w:rFonts w:ascii="Times New Roman" w:eastAsia="Calibri" w:hAnsi="Times New Roman" w:cs="Times New Roman"/>
          <w:sz w:val="24"/>
          <w:szCs w:val="24"/>
        </w:rPr>
        <w:t>ГНУ «Центр системного анализ</w:t>
      </w:r>
      <w:r w:rsidR="005576B7">
        <w:rPr>
          <w:rFonts w:ascii="Times New Roman" w:eastAsia="Calibri" w:hAnsi="Times New Roman" w:cs="Times New Roman"/>
          <w:sz w:val="24"/>
          <w:szCs w:val="24"/>
        </w:rPr>
        <w:t xml:space="preserve">а и стратегических исследований </w:t>
      </w:r>
      <w:r w:rsidR="005576B7" w:rsidRPr="005576B7">
        <w:rPr>
          <w:rFonts w:ascii="Times New Roman" w:eastAsia="Calibri" w:hAnsi="Times New Roman" w:cs="Times New Roman"/>
          <w:sz w:val="24"/>
          <w:szCs w:val="24"/>
        </w:rPr>
        <w:t>Национальной академии наук Беларуси»</w:t>
      </w:r>
      <w:r w:rsidR="005576B7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5576B7" w:rsidRPr="005576B7">
        <w:rPr>
          <w:rFonts w:ascii="Times New Roman" w:eastAsia="Calibri" w:hAnsi="Times New Roman" w:cs="Times New Roman"/>
          <w:sz w:val="24"/>
          <w:szCs w:val="24"/>
        </w:rPr>
        <w:t>220072,</w:t>
      </w:r>
      <w:r w:rsidR="005576B7">
        <w:rPr>
          <w:rFonts w:ascii="Times New Roman" w:eastAsia="Calibri" w:hAnsi="Times New Roman" w:cs="Times New Roman"/>
          <w:sz w:val="24"/>
          <w:szCs w:val="24"/>
        </w:rPr>
        <w:t xml:space="preserve"> г.Минск, ул. Академическая, 1, </w:t>
      </w:r>
      <w:hyperlink r:id="rId11" w:history="1">
        <w:r w:rsidR="005576B7" w:rsidRPr="00485288">
          <w:rPr>
            <w:rStyle w:val="a9"/>
            <w:rFonts w:ascii="Times New Roman" w:eastAsia="Calibri" w:hAnsi="Times New Roman" w:cs="Times New Roman"/>
            <w:sz w:val="24"/>
            <w:szCs w:val="24"/>
          </w:rPr>
          <w:t>office@center.basnet.by</w:t>
        </w:r>
      </w:hyperlink>
      <w:r w:rsidR="005576B7">
        <w:rPr>
          <w:rFonts w:ascii="Times New Roman" w:eastAsia="Calibri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5576B7">
        <w:rPr>
          <w:rFonts w:ascii="Times New Roman" w:eastAsia="Calibri" w:hAnsi="Times New Roman" w:cs="Times New Roman"/>
          <w:sz w:val="24"/>
          <w:szCs w:val="24"/>
        </w:rPr>
        <w:t>)</w:t>
      </w:r>
    </w:p>
    <w:sectPr w:rsidR="00261FD8" w:rsidRPr="00261FD8" w:rsidSect="0034763A"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4E85" w:rsidRDefault="00334E85" w:rsidP="00F15A5E">
      <w:pPr>
        <w:spacing w:after="0" w:line="240" w:lineRule="auto"/>
      </w:pPr>
      <w:r>
        <w:separator/>
      </w:r>
    </w:p>
  </w:endnote>
  <w:endnote w:type="continuationSeparator" w:id="0">
    <w:p w:rsidR="00334E85" w:rsidRDefault="00334E85" w:rsidP="00F15A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5A5E" w:rsidRPr="002219FC" w:rsidRDefault="00F15A5E">
    <w:pPr>
      <w:pStyle w:val="a3"/>
      <w:jc w:val="center"/>
      <w:rPr>
        <w:rFonts w:ascii="Times New Roman" w:hAnsi="Times New Roman"/>
        <w:sz w:val="28"/>
        <w:szCs w:val="28"/>
      </w:rPr>
    </w:pPr>
    <w:r w:rsidRPr="002219FC">
      <w:rPr>
        <w:rFonts w:ascii="Times New Roman" w:hAnsi="Times New Roman"/>
        <w:sz w:val="28"/>
        <w:szCs w:val="28"/>
      </w:rPr>
      <w:fldChar w:fldCharType="begin"/>
    </w:r>
    <w:r w:rsidRPr="002219FC">
      <w:rPr>
        <w:rFonts w:ascii="Times New Roman" w:hAnsi="Times New Roman"/>
        <w:sz w:val="28"/>
        <w:szCs w:val="28"/>
      </w:rPr>
      <w:instrText>PAGE   \* MERGEFORMAT</w:instrText>
    </w:r>
    <w:r w:rsidRPr="002219FC">
      <w:rPr>
        <w:rFonts w:ascii="Times New Roman" w:hAnsi="Times New Roman"/>
        <w:sz w:val="28"/>
        <w:szCs w:val="28"/>
      </w:rPr>
      <w:fldChar w:fldCharType="separate"/>
    </w:r>
    <w:r w:rsidR="005576B7">
      <w:rPr>
        <w:rFonts w:ascii="Times New Roman" w:hAnsi="Times New Roman"/>
        <w:noProof/>
        <w:sz w:val="28"/>
        <w:szCs w:val="28"/>
      </w:rPr>
      <w:t>1</w:t>
    </w:r>
    <w:r w:rsidRPr="002219FC">
      <w:rPr>
        <w:rFonts w:ascii="Times New Roman" w:hAnsi="Times New Roman"/>
        <w:sz w:val="28"/>
        <w:szCs w:val="28"/>
      </w:rPr>
      <w:fldChar w:fldCharType="end"/>
    </w:r>
  </w:p>
  <w:p w:rsidR="00F15A5E" w:rsidRDefault="00F15A5E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4E85" w:rsidRDefault="00334E85" w:rsidP="00F15A5E">
      <w:pPr>
        <w:spacing w:after="0" w:line="240" w:lineRule="auto"/>
      </w:pPr>
      <w:r>
        <w:separator/>
      </w:r>
    </w:p>
  </w:footnote>
  <w:footnote w:type="continuationSeparator" w:id="0">
    <w:p w:rsidR="00334E85" w:rsidRDefault="00334E85" w:rsidP="00F15A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653F34"/>
    <w:multiLevelType w:val="hybridMultilevel"/>
    <w:tmpl w:val="311C7B9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D43B60"/>
    <w:multiLevelType w:val="hybridMultilevel"/>
    <w:tmpl w:val="2BC80D9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593A514E"/>
    <w:multiLevelType w:val="hybridMultilevel"/>
    <w:tmpl w:val="DDD6EE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E36D63"/>
    <w:multiLevelType w:val="hybridMultilevel"/>
    <w:tmpl w:val="91468C2C"/>
    <w:lvl w:ilvl="0" w:tplc="0419000F">
      <w:start w:val="1"/>
      <w:numFmt w:val="decimal"/>
      <w:lvlText w:val="%1."/>
      <w:lvlJc w:val="left"/>
      <w:pPr>
        <w:ind w:left="1490" w:hanging="360"/>
      </w:pPr>
    </w:lvl>
    <w:lvl w:ilvl="1" w:tplc="04190019" w:tentative="1">
      <w:start w:val="1"/>
      <w:numFmt w:val="lowerLetter"/>
      <w:lvlText w:val="%2."/>
      <w:lvlJc w:val="left"/>
      <w:pPr>
        <w:ind w:left="2210" w:hanging="360"/>
      </w:pPr>
    </w:lvl>
    <w:lvl w:ilvl="2" w:tplc="0419001B" w:tentative="1">
      <w:start w:val="1"/>
      <w:numFmt w:val="lowerRoman"/>
      <w:lvlText w:val="%3."/>
      <w:lvlJc w:val="right"/>
      <w:pPr>
        <w:ind w:left="2930" w:hanging="180"/>
      </w:pPr>
    </w:lvl>
    <w:lvl w:ilvl="3" w:tplc="0419000F" w:tentative="1">
      <w:start w:val="1"/>
      <w:numFmt w:val="decimal"/>
      <w:lvlText w:val="%4."/>
      <w:lvlJc w:val="left"/>
      <w:pPr>
        <w:ind w:left="3650" w:hanging="360"/>
      </w:pPr>
    </w:lvl>
    <w:lvl w:ilvl="4" w:tplc="04190019" w:tentative="1">
      <w:start w:val="1"/>
      <w:numFmt w:val="lowerLetter"/>
      <w:lvlText w:val="%5."/>
      <w:lvlJc w:val="left"/>
      <w:pPr>
        <w:ind w:left="4370" w:hanging="360"/>
      </w:pPr>
    </w:lvl>
    <w:lvl w:ilvl="5" w:tplc="0419001B" w:tentative="1">
      <w:start w:val="1"/>
      <w:numFmt w:val="lowerRoman"/>
      <w:lvlText w:val="%6."/>
      <w:lvlJc w:val="right"/>
      <w:pPr>
        <w:ind w:left="5090" w:hanging="180"/>
      </w:pPr>
    </w:lvl>
    <w:lvl w:ilvl="6" w:tplc="0419000F" w:tentative="1">
      <w:start w:val="1"/>
      <w:numFmt w:val="decimal"/>
      <w:lvlText w:val="%7."/>
      <w:lvlJc w:val="left"/>
      <w:pPr>
        <w:ind w:left="5810" w:hanging="360"/>
      </w:pPr>
    </w:lvl>
    <w:lvl w:ilvl="7" w:tplc="04190019" w:tentative="1">
      <w:start w:val="1"/>
      <w:numFmt w:val="lowerLetter"/>
      <w:lvlText w:val="%8."/>
      <w:lvlJc w:val="left"/>
      <w:pPr>
        <w:ind w:left="6530" w:hanging="360"/>
      </w:pPr>
    </w:lvl>
    <w:lvl w:ilvl="8" w:tplc="0419001B" w:tentative="1">
      <w:start w:val="1"/>
      <w:numFmt w:val="lowerRoman"/>
      <w:lvlText w:val="%9."/>
      <w:lvlJc w:val="right"/>
      <w:pPr>
        <w:ind w:left="7250" w:hanging="180"/>
      </w:pPr>
    </w:lvl>
  </w:abstractNum>
  <w:abstractNum w:abstractNumId="4" w15:restartNumberingAfterBreak="0">
    <w:nsid w:val="6BAD2166"/>
    <w:multiLevelType w:val="hybridMultilevel"/>
    <w:tmpl w:val="F75657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0C534C"/>
    <w:multiLevelType w:val="hybridMultilevel"/>
    <w:tmpl w:val="D97E6D90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7CAD55B5"/>
    <w:multiLevelType w:val="hybridMultilevel"/>
    <w:tmpl w:val="4F00021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4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5A5E"/>
    <w:rsid w:val="00062081"/>
    <w:rsid w:val="002278DC"/>
    <w:rsid w:val="00261FD8"/>
    <w:rsid w:val="00334E85"/>
    <w:rsid w:val="0034763A"/>
    <w:rsid w:val="00424A3A"/>
    <w:rsid w:val="004C68F0"/>
    <w:rsid w:val="005576B7"/>
    <w:rsid w:val="006133CD"/>
    <w:rsid w:val="006F08D7"/>
    <w:rsid w:val="008F78C0"/>
    <w:rsid w:val="00A7146B"/>
    <w:rsid w:val="00BC3867"/>
    <w:rsid w:val="00C776BC"/>
    <w:rsid w:val="00D47AA6"/>
    <w:rsid w:val="00DF65EB"/>
    <w:rsid w:val="00EE1F1E"/>
    <w:rsid w:val="00EF0272"/>
    <w:rsid w:val="00F07412"/>
    <w:rsid w:val="00F15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F2497"/>
  <w15:chartTrackingRefBased/>
  <w15:docId w15:val="{B90D5823-CBC7-4F84-975F-F3638C380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F15A5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F15A5E"/>
  </w:style>
  <w:style w:type="paragraph" w:styleId="a5">
    <w:name w:val="footnote text"/>
    <w:basedOn w:val="a"/>
    <w:link w:val="a6"/>
    <w:uiPriority w:val="99"/>
    <w:semiHidden/>
    <w:unhideWhenUsed/>
    <w:rsid w:val="00F15A5E"/>
    <w:pPr>
      <w:spacing w:after="0" w:line="240" w:lineRule="auto"/>
      <w:ind w:firstLine="709"/>
    </w:pPr>
    <w:rPr>
      <w:rFonts w:ascii="Calibri" w:eastAsia="Calibri" w:hAnsi="Calibri" w:cs="Times New Roman"/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F15A5E"/>
    <w:rPr>
      <w:rFonts w:ascii="Calibri" w:eastAsia="Calibri" w:hAnsi="Calibri" w:cs="Times New Roman"/>
      <w:sz w:val="20"/>
      <w:szCs w:val="20"/>
    </w:rPr>
  </w:style>
  <w:style w:type="character" w:styleId="a7">
    <w:name w:val="footnote reference"/>
    <w:uiPriority w:val="99"/>
    <w:semiHidden/>
    <w:unhideWhenUsed/>
    <w:rsid w:val="00F15A5E"/>
    <w:rPr>
      <w:vertAlign w:val="superscript"/>
    </w:rPr>
  </w:style>
  <w:style w:type="paragraph" w:styleId="a8">
    <w:name w:val="List Paragraph"/>
    <w:basedOn w:val="a"/>
    <w:uiPriority w:val="34"/>
    <w:qFormat/>
    <w:rsid w:val="00C776BC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5576B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office@center.basnet.by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6</Pages>
  <Words>831</Words>
  <Characters>4742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Legend</dc:creator>
  <cp:keywords/>
  <dc:description/>
  <cp:lastModifiedBy>Legend</cp:lastModifiedBy>
  <cp:revision>8</cp:revision>
  <dcterms:created xsi:type="dcterms:W3CDTF">2018-05-14T06:40:00Z</dcterms:created>
  <dcterms:modified xsi:type="dcterms:W3CDTF">2018-05-14T08:17:00Z</dcterms:modified>
</cp:coreProperties>
</file>