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1E23" w:rsidRPr="00E561C4" w:rsidRDefault="00001E23" w:rsidP="00001E23">
      <w:pPr>
        <w:pStyle w:val="1"/>
        <w:shd w:val="clear" w:color="auto" w:fill="FFFFFF"/>
        <w:jc w:val="left"/>
        <w:rPr>
          <w:rFonts w:ascii="Times New Roman" w:hAnsi="Times New Roman" w:cs="Times New Roman"/>
          <w:color w:val="000000"/>
          <w:sz w:val="24"/>
          <w:szCs w:val="24"/>
        </w:rPr>
      </w:pPr>
      <w:r w:rsidRPr="00E561C4">
        <w:rPr>
          <w:rFonts w:ascii="Times New Roman" w:hAnsi="Times New Roman" w:cs="Times New Roman"/>
          <w:color w:val="000000"/>
          <w:sz w:val="24"/>
          <w:szCs w:val="24"/>
        </w:rPr>
        <w:t>УДК 336.13</w:t>
      </w:r>
      <w:r w:rsidR="00CD291E" w:rsidRPr="00E561C4">
        <w:rPr>
          <w:rFonts w:ascii="Times New Roman" w:hAnsi="Times New Roman" w:cs="Times New Roman"/>
          <w:color w:val="000000"/>
          <w:sz w:val="24"/>
          <w:szCs w:val="24"/>
        </w:rPr>
        <w:t>/ББК  65.053</w:t>
      </w:r>
    </w:p>
    <w:p w:rsidR="00566FFC" w:rsidRDefault="00BA472E" w:rsidP="00E561C4">
      <w:pPr>
        <w:ind w:left="0" w:firstLine="0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 w:rsidRPr="00E561C4">
        <w:rPr>
          <w:rFonts w:ascii="Times New Roman" w:hAnsi="Times New Roman" w:cs="Times New Roman"/>
          <w:b/>
          <w:color w:val="000000"/>
          <w:sz w:val="24"/>
          <w:szCs w:val="24"/>
        </w:rPr>
        <w:t>Колечков</w:t>
      </w:r>
      <w:r w:rsidR="0047522D" w:rsidRPr="00E561C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E561C4" w:rsidRPr="00E561C4">
        <w:rPr>
          <w:rFonts w:ascii="Times New Roman" w:hAnsi="Times New Roman" w:cs="Times New Roman"/>
          <w:b/>
          <w:color w:val="000000"/>
          <w:sz w:val="24"/>
          <w:szCs w:val="24"/>
        </w:rPr>
        <w:t>Д.В.</w:t>
      </w:r>
    </w:p>
    <w:p w:rsidR="00E561C4" w:rsidRPr="00E561C4" w:rsidRDefault="00E561C4" w:rsidP="00E561C4">
      <w:pPr>
        <w:ind w:left="0" w:firstLine="0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</w:p>
    <w:p w:rsidR="00E561C4" w:rsidRPr="00FE6031" w:rsidRDefault="00E561C4" w:rsidP="00E561C4">
      <w:pPr>
        <w:spacing w:after="12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E6031">
        <w:rPr>
          <w:rFonts w:ascii="Times New Roman" w:hAnsi="Times New Roman" w:cs="Times New Roman"/>
          <w:b/>
          <w:sz w:val="24"/>
          <w:szCs w:val="24"/>
        </w:rPr>
        <w:t xml:space="preserve">ЭФФЕКТИВНОСТЬ ФИНАНСОВЫХ РЕСУРСОВ ВНЕБЮДЖЕТНЫХ ФОНДОВ РЕСПУБЛИКИ КОМИ </w:t>
      </w:r>
    </w:p>
    <w:p w:rsidR="00875E92" w:rsidRDefault="00875E92" w:rsidP="00554DBF">
      <w:pPr>
        <w:spacing w:line="360" w:lineRule="auto"/>
        <w:ind w:left="0" w:firstLine="720"/>
        <w:jc w:val="both"/>
        <w:rPr>
          <w:rStyle w:val="80"/>
          <w:rFonts w:ascii="Times New Roman" w:eastAsia="Calibri" w:hAnsi="Times New Roman"/>
          <w:i w:val="0"/>
          <w:sz w:val="24"/>
          <w:szCs w:val="24"/>
        </w:rPr>
      </w:pPr>
    </w:p>
    <w:p w:rsidR="00875E92" w:rsidRPr="00E561C4" w:rsidRDefault="00875E92" w:rsidP="00554DBF">
      <w:pPr>
        <w:spacing w:line="360" w:lineRule="auto"/>
        <w:ind w:left="0" w:firstLine="72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37ACB">
        <w:rPr>
          <w:rStyle w:val="80"/>
          <w:rFonts w:ascii="Times New Roman" w:eastAsia="Calibri" w:hAnsi="Times New Roman"/>
          <w:sz w:val="24"/>
          <w:szCs w:val="24"/>
        </w:rPr>
        <w:t xml:space="preserve">Аннотация. </w:t>
      </w:r>
      <w:r w:rsidRPr="00E561C4">
        <w:rPr>
          <w:rStyle w:val="80"/>
          <w:rFonts w:ascii="Times New Roman" w:eastAsia="Calibri" w:hAnsi="Times New Roman"/>
          <w:sz w:val="24"/>
          <w:szCs w:val="24"/>
        </w:rPr>
        <w:t>В статье рассматриваются воп</w:t>
      </w:r>
      <w:r w:rsidR="000A2752" w:rsidRPr="00E561C4">
        <w:rPr>
          <w:rStyle w:val="80"/>
          <w:rFonts w:ascii="Times New Roman" w:eastAsia="Calibri" w:hAnsi="Times New Roman"/>
          <w:sz w:val="24"/>
          <w:szCs w:val="24"/>
        </w:rPr>
        <w:t>росы формирования и</w:t>
      </w:r>
      <w:r w:rsidRPr="00E561C4">
        <w:rPr>
          <w:rStyle w:val="80"/>
          <w:rFonts w:ascii="Times New Roman" w:eastAsia="Calibri" w:hAnsi="Times New Roman"/>
          <w:sz w:val="24"/>
          <w:szCs w:val="24"/>
        </w:rPr>
        <w:t xml:space="preserve"> эффективного и</w:t>
      </w:r>
      <w:r w:rsidRPr="00E561C4">
        <w:rPr>
          <w:rStyle w:val="80"/>
          <w:rFonts w:ascii="Times New Roman" w:eastAsia="Calibri" w:hAnsi="Times New Roman"/>
          <w:sz w:val="24"/>
          <w:szCs w:val="24"/>
        </w:rPr>
        <w:t>с</w:t>
      </w:r>
      <w:r w:rsidRPr="00E561C4">
        <w:rPr>
          <w:rStyle w:val="80"/>
          <w:rFonts w:ascii="Times New Roman" w:eastAsia="Calibri" w:hAnsi="Times New Roman"/>
          <w:sz w:val="24"/>
          <w:szCs w:val="24"/>
        </w:rPr>
        <w:t>пользования финансовых ресурсов государственных</w:t>
      </w:r>
      <w:r w:rsidR="000A2752" w:rsidRPr="00E561C4">
        <w:rPr>
          <w:rStyle w:val="80"/>
          <w:rFonts w:ascii="Times New Roman" w:eastAsia="Calibri" w:hAnsi="Times New Roman"/>
          <w:sz w:val="24"/>
          <w:szCs w:val="24"/>
        </w:rPr>
        <w:t xml:space="preserve"> внебюджетных фондов Республики К</w:t>
      </w:r>
      <w:r w:rsidR="000A2752" w:rsidRPr="00E561C4">
        <w:rPr>
          <w:rStyle w:val="80"/>
          <w:rFonts w:ascii="Times New Roman" w:eastAsia="Calibri" w:hAnsi="Times New Roman"/>
          <w:sz w:val="24"/>
          <w:szCs w:val="24"/>
        </w:rPr>
        <w:t>о</w:t>
      </w:r>
      <w:r w:rsidR="000A2752" w:rsidRPr="00E561C4">
        <w:rPr>
          <w:rStyle w:val="80"/>
          <w:rFonts w:ascii="Times New Roman" w:eastAsia="Calibri" w:hAnsi="Times New Roman"/>
          <w:sz w:val="24"/>
          <w:szCs w:val="24"/>
        </w:rPr>
        <w:t xml:space="preserve">ми за 2010-2016 гг. Анализ выявил </w:t>
      </w:r>
      <w:r w:rsidR="000A2752" w:rsidRPr="00E561C4">
        <w:rPr>
          <w:rFonts w:ascii="Times New Roman" w:hAnsi="Times New Roman" w:cs="Times New Roman"/>
          <w:i/>
          <w:sz w:val="24"/>
          <w:szCs w:val="24"/>
        </w:rPr>
        <w:t>несбалансированность их бюджетов и низкую эффекти</w:t>
      </w:r>
      <w:r w:rsidR="000A2752" w:rsidRPr="00E561C4">
        <w:rPr>
          <w:rFonts w:ascii="Times New Roman" w:hAnsi="Times New Roman" w:cs="Times New Roman"/>
          <w:i/>
          <w:sz w:val="24"/>
          <w:szCs w:val="24"/>
        </w:rPr>
        <w:t>в</w:t>
      </w:r>
      <w:r w:rsidR="000A2752" w:rsidRPr="00E561C4">
        <w:rPr>
          <w:rFonts w:ascii="Times New Roman" w:hAnsi="Times New Roman" w:cs="Times New Roman"/>
          <w:i/>
          <w:sz w:val="24"/>
          <w:szCs w:val="24"/>
        </w:rPr>
        <w:t>ность финансовой деятельности.</w:t>
      </w:r>
    </w:p>
    <w:p w:rsidR="000A2752" w:rsidRPr="00837ACB" w:rsidRDefault="000A2752" w:rsidP="00554DBF">
      <w:pPr>
        <w:spacing w:line="360" w:lineRule="auto"/>
        <w:ind w:left="0" w:firstLine="720"/>
        <w:jc w:val="both"/>
        <w:rPr>
          <w:rStyle w:val="80"/>
          <w:rFonts w:ascii="Times New Roman" w:eastAsia="Calibri" w:hAnsi="Times New Roman"/>
          <w:i w:val="0"/>
          <w:sz w:val="24"/>
          <w:szCs w:val="24"/>
        </w:rPr>
      </w:pPr>
      <w:r w:rsidRPr="00837ACB">
        <w:rPr>
          <w:rFonts w:ascii="Times New Roman" w:hAnsi="Times New Roman" w:cs="Times New Roman"/>
          <w:i/>
          <w:sz w:val="24"/>
          <w:szCs w:val="24"/>
        </w:rPr>
        <w:t>Ключевые слова. Внебюджетные фонды, эффективность, доходы и расходы, сбала</w:t>
      </w:r>
      <w:r w:rsidRPr="00837ACB">
        <w:rPr>
          <w:rFonts w:ascii="Times New Roman" w:hAnsi="Times New Roman" w:cs="Times New Roman"/>
          <w:i/>
          <w:sz w:val="24"/>
          <w:szCs w:val="24"/>
        </w:rPr>
        <w:t>н</w:t>
      </w:r>
      <w:r w:rsidRPr="00837ACB">
        <w:rPr>
          <w:rFonts w:ascii="Times New Roman" w:hAnsi="Times New Roman" w:cs="Times New Roman"/>
          <w:i/>
          <w:sz w:val="24"/>
          <w:szCs w:val="24"/>
        </w:rPr>
        <w:t xml:space="preserve">сированность бюджета, дефицит бюджета. </w:t>
      </w:r>
    </w:p>
    <w:p w:rsidR="00875E92" w:rsidRDefault="00875E92" w:rsidP="00554DBF">
      <w:pPr>
        <w:spacing w:line="360" w:lineRule="auto"/>
        <w:ind w:left="0" w:firstLine="720"/>
        <w:jc w:val="both"/>
        <w:rPr>
          <w:rStyle w:val="80"/>
          <w:rFonts w:ascii="Times New Roman" w:eastAsia="Calibri" w:hAnsi="Times New Roman"/>
          <w:i w:val="0"/>
          <w:sz w:val="24"/>
          <w:szCs w:val="24"/>
        </w:rPr>
      </w:pPr>
    </w:p>
    <w:p w:rsidR="00E07845" w:rsidRPr="00E07845" w:rsidRDefault="00E07845" w:rsidP="00554DBF">
      <w:pPr>
        <w:spacing w:line="360" w:lineRule="auto"/>
        <w:ind w:left="0" w:firstLine="720"/>
        <w:jc w:val="both"/>
        <w:rPr>
          <w:rStyle w:val="80"/>
          <w:rFonts w:ascii="Times New Roman" w:eastAsia="Calibri" w:hAnsi="Times New Roman"/>
          <w:i w:val="0"/>
          <w:sz w:val="24"/>
          <w:szCs w:val="24"/>
        </w:rPr>
      </w:pPr>
      <w:r w:rsidRPr="00E07845">
        <w:rPr>
          <w:rStyle w:val="80"/>
          <w:rFonts w:ascii="Times New Roman" w:eastAsia="Calibri" w:hAnsi="Times New Roman"/>
          <w:i w:val="0"/>
          <w:sz w:val="24"/>
          <w:szCs w:val="24"/>
        </w:rPr>
        <w:t>Для решения общегосударственных задач по реализации конституционных прав гр</w:t>
      </w:r>
      <w:r w:rsidRPr="00E07845">
        <w:rPr>
          <w:rStyle w:val="80"/>
          <w:rFonts w:ascii="Times New Roman" w:eastAsia="Calibri" w:hAnsi="Times New Roman"/>
          <w:i w:val="0"/>
          <w:sz w:val="24"/>
          <w:szCs w:val="24"/>
        </w:rPr>
        <w:t>а</w:t>
      </w:r>
      <w:r w:rsidRPr="00E07845">
        <w:rPr>
          <w:rStyle w:val="80"/>
          <w:rFonts w:ascii="Times New Roman" w:eastAsia="Calibri" w:hAnsi="Times New Roman"/>
          <w:i w:val="0"/>
          <w:sz w:val="24"/>
          <w:szCs w:val="24"/>
        </w:rPr>
        <w:t>ждан на государственное пенсионное обеспечение, бесплатную медицинскую помощь и с</w:t>
      </w:r>
      <w:r w:rsidRPr="00E07845">
        <w:rPr>
          <w:rStyle w:val="80"/>
          <w:rFonts w:ascii="Times New Roman" w:eastAsia="Calibri" w:hAnsi="Times New Roman"/>
          <w:i w:val="0"/>
          <w:sz w:val="24"/>
          <w:szCs w:val="24"/>
        </w:rPr>
        <w:t>о</w:t>
      </w:r>
      <w:r w:rsidRPr="00E07845">
        <w:rPr>
          <w:rStyle w:val="80"/>
          <w:rFonts w:ascii="Times New Roman" w:eastAsia="Calibri" w:hAnsi="Times New Roman"/>
          <w:i w:val="0"/>
          <w:sz w:val="24"/>
          <w:szCs w:val="24"/>
        </w:rPr>
        <w:t>циальную поддержку в случае потери трудоспособности созданы и функционируют такие централизованные (социальные) внебюджетные фонды, как:</w:t>
      </w:r>
    </w:p>
    <w:p w:rsidR="00E07845" w:rsidRPr="00E07845" w:rsidRDefault="00E07845" w:rsidP="00554DBF">
      <w:pPr>
        <w:spacing w:line="360" w:lineRule="auto"/>
        <w:ind w:left="0" w:firstLine="720"/>
        <w:jc w:val="both"/>
        <w:rPr>
          <w:rStyle w:val="80"/>
          <w:rFonts w:ascii="Times New Roman" w:eastAsia="Calibri" w:hAnsi="Times New Roman"/>
          <w:i w:val="0"/>
          <w:sz w:val="24"/>
          <w:szCs w:val="24"/>
        </w:rPr>
      </w:pPr>
      <w:r w:rsidRPr="00E07845">
        <w:rPr>
          <w:rStyle w:val="80"/>
          <w:rFonts w:ascii="Times New Roman" w:eastAsia="Calibri" w:hAnsi="Times New Roman"/>
          <w:i w:val="0"/>
          <w:sz w:val="24"/>
          <w:szCs w:val="24"/>
        </w:rPr>
        <w:t>• Пенсионный фонд</w:t>
      </w:r>
      <w:r>
        <w:rPr>
          <w:rStyle w:val="80"/>
          <w:rFonts w:ascii="Times New Roman" w:eastAsia="Calibri" w:hAnsi="Times New Roman"/>
          <w:i w:val="0"/>
          <w:sz w:val="24"/>
          <w:szCs w:val="24"/>
        </w:rPr>
        <w:t xml:space="preserve"> </w:t>
      </w:r>
      <w:r w:rsidRPr="00E07845">
        <w:rPr>
          <w:rStyle w:val="80"/>
          <w:rFonts w:ascii="Times New Roman" w:eastAsia="Calibri" w:hAnsi="Times New Roman"/>
          <w:i w:val="0"/>
          <w:sz w:val="24"/>
          <w:szCs w:val="24"/>
        </w:rPr>
        <w:t>(ПФ) Российской Федерации;</w:t>
      </w:r>
    </w:p>
    <w:p w:rsidR="00E07845" w:rsidRPr="00E07845" w:rsidRDefault="00E07845" w:rsidP="00554DBF">
      <w:pPr>
        <w:spacing w:line="360" w:lineRule="auto"/>
        <w:ind w:left="0" w:firstLine="720"/>
        <w:jc w:val="both"/>
        <w:rPr>
          <w:rStyle w:val="80"/>
          <w:rFonts w:ascii="Times New Roman" w:eastAsia="Calibri" w:hAnsi="Times New Roman"/>
          <w:i w:val="0"/>
          <w:sz w:val="24"/>
          <w:szCs w:val="24"/>
        </w:rPr>
      </w:pPr>
      <w:r w:rsidRPr="00E07845">
        <w:rPr>
          <w:rStyle w:val="80"/>
          <w:rFonts w:ascii="Times New Roman" w:eastAsia="Calibri" w:hAnsi="Times New Roman"/>
          <w:i w:val="0"/>
          <w:sz w:val="24"/>
          <w:szCs w:val="24"/>
        </w:rPr>
        <w:t>• Фонд  социального  страхования  (ФСС)</w:t>
      </w:r>
      <w:r>
        <w:rPr>
          <w:rStyle w:val="80"/>
          <w:rFonts w:ascii="Times New Roman" w:eastAsia="Calibri" w:hAnsi="Times New Roman"/>
          <w:i w:val="0"/>
          <w:sz w:val="24"/>
          <w:szCs w:val="24"/>
        </w:rPr>
        <w:t xml:space="preserve"> </w:t>
      </w:r>
      <w:r w:rsidRPr="00E07845">
        <w:rPr>
          <w:rStyle w:val="80"/>
          <w:rFonts w:ascii="Times New Roman" w:eastAsia="Calibri" w:hAnsi="Times New Roman"/>
          <w:i w:val="0"/>
          <w:sz w:val="24"/>
          <w:szCs w:val="24"/>
        </w:rPr>
        <w:t>Российской  Федерации;</w:t>
      </w:r>
    </w:p>
    <w:p w:rsidR="00E07845" w:rsidRPr="00E07845" w:rsidRDefault="00E07845" w:rsidP="00554DBF">
      <w:pPr>
        <w:spacing w:line="360" w:lineRule="auto"/>
        <w:ind w:left="0" w:firstLine="720"/>
        <w:jc w:val="both"/>
        <w:rPr>
          <w:rStyle w:val="80"/>
          <w:rFonts w:ascii="Times New Roman" w:eastAsia="Calibri" w:hAnsi="Times New Roman"/>
          <w:i w:val="0"/>
          <w:sz w:val="24"/>
          <w:szCs w:val="24"/>
        </w:rPr>
      </w:pPr>
      <w:r w:rsidRPr="00E07845">
        <w:rPr>
          <w:rStyle w:val="80"/>
          <w:rFonts w:ascii="Times New Roman" w:eastAsia="Calibri" w:hAnsi="Times New Roman"/>
          <w:i w:val="0"/>
          <w:sz w:val="24"/>
          <w:szCs w:val="24"/>
        </w:rPr>
        <w:t>• Федеральный</w:t>
      </w:r>
      <w:r>
        <w:rPr>
          <w:rStyle w:val="80"/>
          <w:rFonts w:ascii="Times New Roman" w:eastAsia="Calibri" w:hAnsi="Times New Roman"/>
          <w:i w:val="0"/>
          <w:sz w:val="24"/>
          <w:szCs w:val="24"/>
        </w:rPr>
        <w:t xml:space="preserve"> и территориальный</w:t>
      </w:r>
      <w:r w:rsidRPr="00E07845">
        <w:rPr>
          <w:rStyle w:val="80"/>
          <w:rFonts w:ascii="Times New Roman" w:eastAsia="Calibri" w:hAnsi="Times New Roman"/>
          <w:i w:val="0"/>
          <w:sz w:val="24"/>
          <w:szCs w:val="24"/>
        </w:rPr>
        <w:t xml:space="preserve"> фонд обязательного медицинского страхования (ФОМС).</w:t>
      </w:r>
    </w:p>
    <w:p w:rsidR="00447358" w:rsidRPr="00471473" w:rsidRDefault="00447358" w:rsidP="00554DBF">
      <w:pPr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7358">
        <w:rPr>
          <w:rFonts w:ascii="Times New Roman" w:hAnsi="Times New Roman"/>
          <w:sz w:val="24"/>
          <w:szCs w:val="24"/>
        </w:rPr>
        <w:t xml:space="preserve">Компетенция </w:t>
      </w:r>
      <w:r w:rsidRPr="00447358">
        <w:rPr>
          <w:rFonts w:ascii="Times New Roman" w:hAnsi="Times New Roman"/>
          <w:i/>
          <w:sz w:val="24"/>
          <w:szCs w:val="24"/>
        </w:rPr>
        <w:t>внебюджетных фондов</w:t>
      </w:r>
      <w:r w:rsidRPr="00447358">
        <w:rPr>
          <w:rFonts w:ascii="Times New Roman" w:hAnsi="Times New Roman"/>
          <w:sz w:val="24"/>
          <w:szCs w:val="24"/>
        </w:rPr>
        <w:t xml:space="preserve"> такова: Фонд социального страхования фина</w:t>
      </w:r>
      <w:r w:rsidRPr="00447358">
        <w:rPr>
          <w:rFonts w:ascii="Times New Roman" w:hAnsi="Times New Roman"/>
          <w:sz w:val="24"/>
          <w:szCs w:val="24"/>
        </w:rPr>
        <w:t>н</w:t>
      </w:r>
      <w:r w:rsidRPr="00447358">
        <w:rPr>
          <w:rFonts w:ascii="Times New Roman" w:hAnsi="Times New Roman"/>
          <w:sz w:val="24"/>
          <w:szCs w:val="24"/>
        </w:rPr>
        <w:t>сирует пособия по временной и профессиональной нетрудоспособности, социальную защиту материнства и детства, оздоровление и санаторно-курортное лечение; Пенсионный фонд – пенсионное обеспечение пожилых граждан и некоторых других категорий лиц; Фонд обяз</w:t>
      </w:r>
      <w:r w:rsidRPr="00447358">
        <w:rPr>
          <w:rFonts w:ascii="Times New Roman" w:hAnsi="Times New Roman"/>
          <w:sz w:val="24"/>
          <w:szCs w:val="24"/>
        </w:rPr>
        <w:t>а</w:t>
      </w:r>
      <w:r w:rsidRPr="00447358">
        <w:rPr>
          <w:rFonts w:ascii="Times New Roman" w:hAnsi="Times New Roman"/>
          <w:sz w:val="24"/>
          <w:szCs w:val="24"/>
        </w:rPr>
        <w:t>тельного медицинского страхования – оказание базовых видов медицинской помощи (пе</w:t>
      </w:r>
      <w:r w:rsidRPr="00447358">
        <w:rPr>
          <w:rFonts w:ascii="Times New Roman" w:hAnsi="Times New Roman"/>
          <w:sz w:val="24"/>
          <w:szCs w:val="24"/>
        </w:rPr>
        <w:t>р</w:t>
      </w:r>
      <w:r w:rsidRPr="00447358">
        <w:rPr>
          <w:rFonts w:ascii="Times New Roman" w:hAnsi="Times New Roman"/>
          <w:sz w:val="24"/>
          <w:szCs w:val="24"/>
        </w:rPr>
        <w:t xml:space="preserve">вичной медико-санитарной и специализированной, за исключением высокотехнологичной) по программе государственных </w:t>
      </w:r>
      <w:r w:rsidRPr="00471473">
        <w:rPr>
          <w:rFonts w:ascii="Times New Roman" w:hAnsi="Times New Roman"/>
          <w:sz w:val="24"/>
          <w:szCs w:val="24"/>
        </w:rPr>
        <w:t>гарантий</w:t>
      </w:r>
      <w:r w:rsidRPr="0047147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07845" w:rsidRPr="00E07845" w:rsidRDefault="00E07845" w:rsidP="00554DBF">
      <w:pPr>
        <w:spacing w:line="360" w:lineRule="auto"/>
        <w:ind w:left="0" w:firstLine="720"/>
        <w:jc w:val="both"/>
        <w:rPr>
          <w:rStyle w:val="80"/>
          <w:rFonts w:ascii="Times New Roman" w:eastAsia="Calibri" w:hAnsi="Times New Roman"/>
          <w:i w:val="0"/>
          <w:sz w:val="24"/>
          <w:szCs w:val="24"/>
        </w:rPr>
      </w:pPr>
      <w:r w:rsidRPr="00E07845">
        <w:rPr>
          <w:rStyle w:val="80"/>
          <w:rFonts w:ascii="Times New Roman" w:eastAsia="Calibri" w:hAnsi="Times New Roman"/>
          <w:i w:val="0"/>
          <w:sz w:val="24"/>
          <w:szCs w:val="24"/>
        </w:rPr>
        <w:t>Правовой основой этих фондов являются соответствующие акты высших органов власти, в которых регламентируется их деятельность, указываются источники формиров</w:t>
      </w:r>
      <w:r w:rsidRPr="00E07845">
        <w:rPr>
          <w:rStyle w:val="80"/>
          <w:rFonts w:ascii="Times New Roman" w:eastAsia="Calibri" w:hAnsi="Times New Roman"/>
          <w:i w:val="0"/>
          <w:sz w:val="24"/>
          <w:szCs w:val="24"/>
        </w:rPr>
        <w:t>а</w:t>
      </w:r>
      <w:r w:rsidRPr="00E07845">
        <w:rPr>
          <w:rStyle w:val="80"/>
          <w:rFonts w:ascii="Times New Roman" w:eastAsia="Calibri" w:hAnsi="Times New Roman"/>
          <w:i w:val="0"/>
          <w:sz w:val="24"/>
          <w:szCs w:val="24"/>
        </w:rPr>
        <w:t>ния, определяются порядок и направленность использования денежных фондов.</w:t>
      </w:r>
    </w:p>
    <w:p w:rsidR="00E07845" w:rsidRPr="00E07845" w:rsidRDefault="00E61812" w:rsidP="00554DBF">
      <w:pPr>
        <w:spacing w:line="360" w:lineRule="auto"/>
        <w:ind w:left="0" w:firstLine="720"/>
        <w:jc w:val="both"/>
        <w:rPr>
          <w:rStyle w:val="80"/>
          <w:rFonts w:ascii="Times New Roman" w:eastAsia="Calibri" w:hAnsi="Times New Roman"/>
          <w:i w:val="0"/>
          <w:sz w:val="24"/>
          <w:szCs w:val="24"/>
        </w:rPr>
      </w:pPr>
      <w:r>
        <w:rPr>
          <w:rStyle w:val="80"/>
          <w:rFonts w:ascii="Times New Roman" w:eastAsia="Calibri" w:hAnsi="Times New Roman"/>
          <w:i w:val="0"/>
          <w:sz w:val="24"/>
          <w:szCs w:val="24"/>
        </w:rPr>
        <w:t>Т</w:t>
      </w:r>
      <w:r w:rsidR="00E07845" w:rsidRPr="00E07845">
        <w:rPr>
          <w:rStyle w:val="80"/>
          <w:rFonts w:ascii="Times New Roman" w:eastAsia="Calibri" w:hAnsi="Times New Roman"/>
          <w:i w:val="0"/>
          <w:sz w:val="24"/>
          <w:szCs w:val="24"/>
        </w:rPr>
        <w:t>ерриториальные внебюджетные фонды формируются региональными и муниц</w:t>
      </w:r>
      <w:r w:rsidR="00E07845" w:rsidRPr="00E07845">
        <w:rPr>
          <w:rStyle w:val="80"/>
          <w:rFonts w:ascii="Times New Roman" w:eastAsia="Calibri" w:hAnsi="Times New Roman"/>
          <w:i w:val="0"/>
          <w:sz w:val="24"/>
          <w:szCs w:val="24"/>
        </w:rPr>
        <w:t>и</w:t>
      </w:r>
      <w:r w:rsidR="00E07845" w:rsidRPr="00E07845">
        <w:rPr>
          <w:rStyle w:val="80"/>
          <w:rFonts w:ascii="Times New Roman" w:eastAsia="Calibri" w:hAnsi="Times New Roman"/>
          <w:i w:val="0"/>
          <w:sz w:val="24"/>
          <w:szCs w:val="24"/>
        </w:rPr>
        <w:t xml:space="preserve">пальными органами власти для решения территориальных, отраслевых, межотраслевых и других задач. Эти фонды могут формироваться за счет </w:t>
      </w:r>
      <w:r w:rsidR="00885343">
        <w:rPr>
          <w:rStyle w:val="80"/>
          <w:rFonts w:ascii="Times New Roman" w:eastAsia="Calibri" w:hAnsi="Times New Roman"/>
          <w:i w:val="0"/>
          <w:sz w:val="24"/>
          <w:szCs w:val="24"/>
        </w:rPr>
        <w:t>страховых взносов</w:t>
      </w:r>
      <w:r w:rsidR="00E07845" w:rsidRPr="00E07845">
        <w:rPr>
          <w:rStyle w:val="80"/>
          <w:rFonts w:ascii="Times New Roman" w:eastAsia="Calibri" w:hAnsi="Times New Roman"/>
          <w:i w:val="0"/>
          <w:sz w:val="24"/>
          <w:szCs w:val="24"/>
        </w:rPr>
        <w:t xml:space="preserve"> и сборов, террит</w:t>
      </w:r>
      <w:r w:rsidR="00E07845" w:rsidRPr="00E07845">
        <w:rPr>
          <w:rStyle w:val="80"/>
          <w:rFonts w:ascii="Times New Roman" w:eastAsia="Calibri" w:hAnsi="Times New Roman"/>
          <w:i w:val="0"/>
          <w:sz w:val="24"/>
          <w:szCs w:val="24"/>
        </w:rPr>
        <w:t>о</w:t>
      </w:r>
      <w:r w:rsidR="00E07845" w:rsidRPr="00E07845">
        <w:rPr>
          <w:rStyle w:val="80"/>
          <w:rFonts w:ascii="Times New Roman" w:eastAsia="Calibri" w:hAnsi="Times New Roman"/>
          <w:i w:val="0"/>
          <w:sz w:val="24"/>
          <w:szCs w:val="24"/>
        </w:rPr>
        <w:t>риальных займов и имеют экономическую направленность.</w:t>
      </w:r>
    </w:p>
    <w:p w:rsidR="00E07845" w:rsidRDefault="00E07845" w:rsidP="00554DBF">
      <w:pPr>
        <w:spacing w:line="360" w:lineRule="auto"/>
        <w:ind w:left="0" w:firstLine="720"/>
        <w:jc w:val="both"/>
        <w:rPr>
          <w:rStyle w:val="80"/>
          <w:rFonts w:ascii="Times New Roman" w:eastAsia="Calibri" w:hAnsi="Times New Roman"/>
          <w:i w:val="0"/>
          <w:sz w:val="24"/>
          <w:szCs w:val="24"/>
        </w:rPr>
      </w:pPr>
      <w:r w:rsidRPr="00E07845">
        <w:rPr>
          <w:rStyle w:val="80"/>
          <w:rFonts w:ascii="Times New Roman" w:eastAsia="Calibri" w:hAnsi="Times New Roman"/>
          <w:i w:val="0"/>
          <w:sz w:val="24"/>
          <w:szCs w:val="24"/>
        </w:rPr>
        <w:lastRenderedPageBreak/>
        <w:t>В настоящее время на территории Республики Коми действуют отделения Пенсио</w:t>
      </w:r>
      <w:r w:rsidRPr="00E07845">
        <w:rPr>
          <w:rStyle w:val="80"/>
          <w:rFonts w:ascii="Times New Roman" w:eastAsia="Calibri" w:hAnsi="Times New Roman"/>
          <w:i w:val="0"/>
          <w:sz w:val="24"/>
          <w:szCs w:val="24"/>
        </w:rPr>
        <w:t>н</w:t>
      </w:r>
      <w:r w:rsidRPr="00E07845">
        <w:rPr>
          <w:rStyle w:val="80"/>
          <w:rFonts w:ascii="Times New Roman" w:eastAsia="Calibri" w:hAnsi="Times New Roman"/>
          <w:i w:val="0"/>
          <w:sz w:val="24"/>
          <w:szCs w:val="24"/>
        </w:rPr>
        <w:t>ного фонда РФ, региональные отделения Фонда социального страхования РФ, территориал</w:t>
      </w:r>
      <w:r w:rsidRPr="00E07845">
        <w:rPr>
          <w:rStyle w:val="80"/>
          <w:rFonts w:ascii="Times New Roman" w:eastAsia="Calibri" w:hAnsi="Times New Roman"/>
          <w:i w:val="0"/>
          <w:sz w:val="24"/>
          <w:szCs w:val="24"/>
        </w:rPr>
        <w:t>ь</w:t>
      </w:r>
      <w:r w:rsidRPr="00E07845">
        <w:rPr>
          <w:rStyle w:val="80"/>
          <w:rFonts w:ascii="Times New Roman" w:eastAsia="Calibri" w:hAnsi="Times New Roman"/>
          <w:i w:val="0"/>
          <w:sz w:val="24"/>
          <w:szCs w:val="24"/>
        </w:rPr>
        <w:t>ные фонды обязательного медицинского страхования. В организационном отношении гос</w:t>
      </w:r>
      <w:r w:rsidRPr="00E07845">
        <w:rPr>
          <w:rStyle w:val="80"/>
          <w:rFonts w:ascii="Times New Roman" w:eastAsia="Calibri" w:hAnsi="Times New Roman"/>
          <w:i w:val="0"/>
          <w:sz w:val="24"/>
          <w:szCs w:val="24"/>
        </w:rPr>
        <w:t>у</w:t>
      </w:r>
      <w:r w:rsidRPr="00E07845">
        <w:rPr>
          <w:rStyle w:val="80"/>
          <w:rFonts w:ascii="Times New Roman" w:eastAsia="Calibri" w:hAnsi="Times New Roman"/>
          <w:i w:val="0"/>
          <w:sz w:val="24"/>
          <w:szCs w:val="24"/>
        </w:rPr>
        <w:t>дарственные внебюджетные фонды являются самостоятельными финансово-кредитными о</w:t>
      </w:r>
      <w:r w:rsidRPr="00E07845">
        <w:rPr>
          <w:rStyle w:val="80"/>
          <w:rFonts w:ascii="Times New Roman" w:eastAsia="Calibri" w:hAnsi="Times New Roman"/>
          <w:i w:val="0"/>
          <w:sz w:val="24"/>
          <w:szCs w:val="24"/>
        </w:rPr>
        <w:t>р</w:t>
      </w:r>
      <w:r w:rsidRPr="00E07845">
        <w:rPr>
          <w:rStyle w:val="80"/>
          <w:rFonts w:ascii="Times New Roman" w:eastAsia="Calibri" w:hAnsi="Times New Roman"/>
          <w:i w:val="0"/>
          <w:sz w:val="24"/>
          <w:szCs w:val="24"/>
        </w:rPr>
        <w:t>ганизациями.</w:t>
      </w:r>
    </w:p>
    <w:p w:rsidR="002917A8" w:rsidRDefault="00894374" w:rsidP="00554DBF">
      <w:pPr>
        <w:pStyle w:val="a3"/>
        <w:spacing w:before="0" w:beforeAutospacing="0" w:after="0" w:afterAutospacing="0" w:line="360" w:lineRule="auto"/>
        <w:ind w:firstLine="720"/>
        <w:jc w:val="both"/>
        <w:rPr>
          <w:color w:val="000000"/>
        </w:rPr>
      </w:pPr>
      <w:r w:rsidRPr="00611120">
        <w:rPr>
          <w:color w:val="000000"/>
        </w:rPr>
        <w:t>В качестве информационной базы</w:t>
      </w:r>
      <w:r>
        <w:rPr>
          <w:color w:val="000000"/>
        </w:rPr>
        <w:t xml:space="preserve"> данного исследования</w:t>
      </w:r>
      <w:r w:rsidRPr="00611120">
        <w:rPr>
          <w:color w:val="000000"/>
        </w:rPr>
        <w:t xml:space="preserve"> были использованы отчеты об исполнении</w:t>
      </w:r>
      <w:r>
        <w:rPr>
          <w:color w:val="000000"/>
        </w:rPr>
        <w:t xml:space="preserve"> внебюджетных фондов </w:t>
      </w:r>
      <w:r w:rsidRPr="00611120">
        <w:rPr>
          <w:color w:val="000000"/>
        </w:rPr>
        <w:t>Республики Коми.</w:t>
      </w:r>
      <w:r>
        <w:rPr>
          <w:color w:val="000000"/>
        </w:rPr>
        <w:t xml:space="preserve"> </w:t>
      </w:r>
      <w:r w:rsidRPr="00611120">
        <w:rPr>
          <w:color w:val="000000"/>
        </w:rPr>
        <w:t>Анализируемый период времени 2010-201</w:t>
      </w:r>
      <w:r w:rsidR="00554DBF">
        <w:rPr>
          <w:color w:val="000000"/>
        </w:rPr>
        <w:t>6</w:t>
      </w:r>
      <w:r w:rsidRPr="00611120">
        <w:rPr>
          <w:color w:val="000000"/>
        </w:rPr>
        <w:t xml:space="preserve"> гг.</w:t>
      </w:r>
    </w:p>
    <w:p w:rsidR="00462724" w:rsidRPr="00D33484" w:rsidRDefault="00462724" w:rsidP="00554DBF">
      <w:pPr>
        <w:pStyle w:val="a3"/>
        <w:spacing w:before="0" w:beforeAutospacing="0" w:after="0" w:afterAutospacing="0" w:line="360" w:lineRule="auto"/>
        <w:ind w:firstLine="720"/>
        <w:jc w:val="both"/>
      </w:pPr>
      <w:r w:rsidRPr="00F40FAE">
        <w:rPr>
          <w:b/>
        </w:rPr>
        <w:t>Т</w:t>
      </w:r>
      <w:r w:rsidR="00F57088" w:rsidRPr="00F40FAE">
        <w:rPr>
          <w:b/>
        </w:rPr>
        <w:t>ерриториальный фонд обязательного медицинского страхования</w:t>
      </w:r>
      <w:r w:rsidR="002917A8">
        <w:rPr>
          <w:b/>
        </w:rPr>
        <w:t xml:space="preserve">. </w:t>
      </w:r>
      <w:r w:rsidRPr="00EC546D">
        <w:t>За период 2010-201</w:t>
      </w:r>
      <w:r w:rsidR="00554DBF">
        <w:t>6</w:t>
      </w:r>
      <w:r w:rsidRPr="00EC546D">
        <w:t xml:space="preserve"> гг. изменение доходной и расходной части бюджета </w:t>
      </w:r>
      <w:r w:rsidR="00EC546D" w:rsidRPr="00EC546D">
        <w:t>Территориальный фонд об</w:t>
      </w:r>
      <w:r w:rsidR="00EC546D" w:rsidRPr="00EC546D">
        <w:t>я</w:t>
      </w:r>
      <w:r w:rsidR="00EC546D" w:rsidRPr="00EC546D">
        <w:t xml:space="preserve">зательного медицинского страхования </w:t>
      </w:r>
      <w:r w:rsidR="00EC546D">
        <w:t>(</w:t>
      </w:r>
      <w:r w:rsidRPr="00EC546D">
        <w:t>ТФОМС</w:t>
      </w:r>
      <w:r w:rsidR="00EC546D">
        <w:t>)</w:t>
      </w:r>
      <w:r w:rsidRPr="00EC546D">
        <w:t xml:space="preserve"> Республики Коми имело равнонаправле</w:t>
      </w:r>
      <w:r w:rsidRPr="00EC546D">
        <w:t>н</w:t>
      </w:r>
      <w:r w:rsidRPr="00EC546D">
        <w:t>ную динамику. В номинальном измерении доходы</w:t>
      </w:r>
      <w:r w:rsidRPr="00D33484">
        <w:t xml:space="preserve"> и расходы Фонда увеличились в 201</w:t>
      </w:r>
      <w:r w:rsidR="00471D51">
        <w:t>6</w:t>
      </w:r>
      <w:r w:rsidRPr="00D33484">
        <w:t> г.  относительно 2010 г. в 2,3 раза, в реальном (проиндексированные на уровень инфляции) – в полтора раза. Доля доходов Фонда в валовом региональном продукте увеличилась с 1,8% в 2010 г. до 2,</w:t>
      </w:r>
      <w:r w:rsidR="00471D51">
        <w:t>6</w:t>
      </w:r>
      <w:r w:rsidRPr="00D33484">
        <w:t>% в 201</w:t>
      </w:r>
      <w:r w:rsidR="00471D51">
        <w:t>6</w:t>
      </w:r>
      <w:r w:rsidRPr="00D33484">
        <w:t xml:space="preserve"> г. (рис. 1). </w:t>
      </w:r>
    </w:p>
    <w:p w:rsidR="00462724" w:rsidRPr="0010448E" w:rsidRDefault="00462724" w:rsidP="00462724">
      <w:p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62724" w:rsidRDefault="00462724" w:rsidP="00462724">
      <w:pPr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>
            <wp:extent cx="6131529" cy="2159780"/>
            <wp:effectExtent l="0" t="0" r="0" b="0"/>
            <wp:docPr id="8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462724" w:rsidRPr="00FE6031" w:rsidRDefault="00462724" w:rsidP="00733B5A">
      <w:pPr>
        <w:spacing w:before="120" w:after="120"/>
        <w:ind w:left="0"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10448E">
        <w:rPr>
          <w:rFonts w:ascii="Times New Roman" w:hAnsi="Times New Roman" w:cs="Times New Roman"/>
          <w:color w:val="000000"/>
          <w:sz w:val="24"/>
          <w:szCs w:val="24"/>
        </w:rPr>
        <w:t xml:space="preserve">Рис. 1 Динамика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основных финансовых показателей </w:t>
      </w:r>
      <w:r w:rsidRPr="0010448E">
        <w:rPr>
          <w:rFonts w:ascii="Times New Roman" w:hAnsi="Times New Roman" w:cs="Times New Roman"/>
          <w:color w:val="000000"/>
          <w:sz w:val="24"/>
          <w:szCs w:val="24"/>
        </w:rPr>
        <w:t xml:space="preserve">ТФОМ в </w:t>
      </w:r>
      <w:r w:rsidRPr="0010448E">
        <w:rPr>
          <w:rFonts w:ascii="Times New Roman" w:hAnsi="Times New Roman" w:cs="Times New Roman"/>
          <w:color w:val="000000"/>
          <w:sz w:val="24"/>
          <w:szCs w:val="24"/>
        </w:rPr>
        <w:br/>
        <w:t>Республике Коми за 2010-201</w:t>
      </w:r>
      <w:r w:rsidR="00471D51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10448E">
        <w:rPr>
          <w:rFonts w:ascii="Times New Roman" w:hAnsi="Times New Roman" w:cs="Times New Roman"/>
          <w:color w:val="000000"/>
          <w:sz w:val="24"/>
          <w:szCs w:val="24"/>
        </w:rPr>
        <w:t xml:space="preserve"> гг.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(в %)</w:t>
      </w:r>
      <w:r w:rsidRPr="0010448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10448E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FE6031">
        <w:rPr>
          <w:rFonts w:ascii="Times New Roman" w:hAnsi="Times New Roman" w:cs="Times New Roman"/>
          <w:i/>
          <w:sz w:val="24"/>
          <w:szCs w:val="24"/>
          <w:vertAlign w:val="superscript"/>
        </w:rPr>
        <w:t>*</w:t>
      </w:r>
      <w:r w:rsidRPr="00FE6031">
        <w:rPr>
          <w:rFonts w:ascii="Times New Roman" w:hAnsi="Times New Roman" w:cs="Times New Roman"/>
          <w:i/>
          <w:sz w:val="24"/>
          <w:szCs w:val="24"/>
        </w:rPr>
        <w:t>Здесь и далее рассчитано автором с использованием данных ЕМИСС https://www.fedstat.ru/</w:t>
      </w:r>
    </w:p>
    <w:p w:rsidR="00B21EAA" w:rsidRDefault="00B21EAA" w:rsidP="00554DBF">
      <w:pPr>
        <w:pStyle w:val="a3"/>
        <w:spacing w:before="0" w:beforeAutospacing="0" w:after="0" w:afterAutospacing="0" w:line="360" w:lineRule="auto"/>
        <w:ind w:firstLine="720"/>
        <w:jc w:val="both"/>
      </w:pPr>
    </w:p>
    <w:p w:rsidR="00462724" w:rsidRPr="00D33484" w:rsidRDefault="00462724" w:rsidP="00554DBF">
      <w:pPr>
        <w:pStyle w:val="a3"/>
        <w:spacing w:before="0" w:beforeAutospacing="0" w:after="0" w:afterAutospacing="0" w:line="360" w:lineRule="auto"/>
        <w:ind w:firstLine="720"/>
        <w:jc w:val="both"/>
      </w:pPr>
      <w:r w:rsidRPr="00D33484">
        <w:t>Следует отметить, что в реальном измерении в 2013</w:t>
      </w:r>
      <w:r w:rsidR="00ED7A2C">
        <w:t>,</w:t>
      </w:r>
      <w:r w:rsidRPr="00D33484">
        <w:t xml:space="preserve"> 2015 </w:t>
      </w:r>
      <w:r w:rsidR="00ED7A2C" w:rsidRPr="00D33484">
        <w:t>и</w:t>
      </w:r>
      <w:r w:rsidR="00ED7A2C">
        <w:t xml:space="preserve"> 2016</w:t>
      </w:r>
      <w:r w:rsidR="00ED7A2C" w:rsidRPr="00D33484">
        <w:t xml:space="preserve"> </w:t>
      </w:r>
      <w:r w:rsidRPr="00D33484">
        <w:t>гг. доходы ТФОМС фонда Республики Коми имели отрицательную динамику, когда снижение составило 11%</w:t>
      </w:r>
      <w:r w:rsidR="00ED7A2C">
        <w:t>,</w:t>
      </w:r>
      <w:r w:rsidRPr="00D33484">
        <w:t xml:space="preserve"> 3%</w:t>
      </w:r>
      <w:r w:rsidR="00ED7A2C">
        <w:t xml:space="preserve"> и 3,4%</w:t>
      </w:r>
      <w:r w:rsidRPr="00D33484">
        <w:t xml:space="preserve"> соответственно. Между тем расходы </w:t>
      </w:r>
      <w:r w:rsidR="00ED7A2C">
        <w:t>снижались только за последние два года</w:t>
      </w:r>
      <w:r w:rsidRPr="00D33484">
        <w:t xml:space="preserve"> и</w:t>
      </w:r>
      <w:r w:rsidRPr="00D33484">
        <w:t>с</w:t>
      </w:r>
      <w:r w:rsidRPr="00D33484">
        <w:t>следуемого периода. Данный факт говорит о некоторых балансовых диспропорциях в Фонде региона. Об этом же свидетельствует и показатель превышения расходов над доходами, к</w:t>
      </w:r>
      <w:r w:rsidRPr="00D33484">
        <w:t>о</w:t>
      </w:r>
      <w:r w:rsidRPr="00D33484">
        <w:t>торый на протяжении исследуемого периода имел четко ориентированную разнонаправле</w:t>
      </w:r>
      <w:r w:rsidRPr="00D33484">
        <w:t>н</w:t>
      </w:r>
      <w:r w:rsidRPr="00D33484">
        <w:t xml:space="preserve">ную динамику. Так, до 2013 г. наблюдался ежегодный рост профицита бюджета ТФОМС </w:t>
      </w:r>
      <w:r w:rsidRPr="00D33484">
        <w:lastRenderedPageBreak/>
        <w:t>Республики Коми. Далее по итогам 2013 г. в Фонде образовался значительный дефицит бюджета, который до 2015 г. имел тенденцию к сниже</w:t>
      </w:r>
      <w:r w:rsidR="00ED7A2C">
        <w:t>нию, а в 2016 г. вновь образовался профицит.</w:t>
      </w:r>
      <w:r w:rsidRPr="00D33484">
        <w:t xml:space="preserve"> О некоторой неэффективности использования ресурсов ТФОМС Республики К</w:t>
      </w:r>
      <w:r w:rsidRPr="00D33484">
        <w:t>о</w:t>
      </w:r>
      <w:r w:rsidRPr="00D33484">
        <w:t>ми свидетельствует показатель возврата остатков субсидий, субвенций и иных межбюдже</w:t>
      </w:r>
      <w:r w:rsidRPr="00D33484">
        <w:t>т</w:t>
      </w:r>
      <w:r w:rsidRPr="00D33484">
        <w:t>ных трансфертов, имеющих целевое назначение на федеральный уровень. Так, на протяж</w:t>
      </w:r>
      <w:r w:rsidRPr="00D33484">
        <w:t>е</w:t>
      </w:r>
      <w:r w:rsidRPr="00D33484">
        <w:t>нии 2010-201</w:t>
      </w:r>
      <w:r w:rsidR="00ED7A2C">
        <w:t>6</w:t>
      </w:r>
      <w:r w:rsidRPr="00D33484">
        <w:t xml:space="preserve"> гг. удельный вес данного показателя в доходах Фонда варьировался в инте</w:t>
      </w:r>
      <w:r w:rsidRPr="00D33484">
        <w:t>р</w:t>
      </w:r>
      <w:r w:rsidRPr="00D33484">
        <w:t>вале 0,03-0,74%. Такие перекосы свидетельствуют о низкой финансовой устойчивости и ра</w:t>
      </w:r>
      <w:r w:rsidRPr="00D33484">
        <w:t>з</w:t>
      </w:r>
      <w:r w:rsidRPr="00D33484">
        <w:t>балансированности ТФОМС региона.</w:t>
      </w:r>
    </w:p>
    <w:p w:rsidR="00462724" w:rsidRPr="00D33484" w:rsidRDefault="00462724" w:rsidP="00554DBF">
      <w:pPr>
        <w:spacing w:line="360" w:lineRule="auto"/>
        <w:ind w:left="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33484">
        <w:rPr>
          <w:rFonts w:ascii="Times New Roman" w:hAnsi="Times New Roman" w:cs="Times New Roman"/>
          <w:color w:val="000000"/>
          <w:sz w:val="24"/>
          <w:szCs w:val="24"/>
        </w:rPr>
        <w:t>Общая сумма доходов ТФОМС фонда Республики Коми в 201</w:t>
      </w:r>
      <w:r w:rsidR="00ED7A2C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D33484">
        <w:rPr>
          <w:rFonts w:ascii="Times New Roman" w:hAnsi="Times New Roman" w:cs="Times New Roman"/>
          <w:color w:val="000000"/>
          <w:sz w:val="24"/>
          <w:szCs w:val="24"/>
        </w:rPr>
        <w:t> г. составляла 14,</w:t>
      </w:r>
      <w:r w:rsidR="00ED7A2C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D33484">
        <w:rPr>
          <w:rFonts w:ascii="Times New Roman" w:hAnsi="Times New Roman" w:cs="Times New Roman"/>
          <w:color w:val="000000"/>
          <w:sz w:val="24"/>
          <w:szCs w:val="24"/>
        </w:rPr>
        <w:t xml:space="preserve"> млрд. руб. В структуре поступлений наибольший удельный вес приходится на безвозмез</w:t>
      </w:r>
      <w:r w:rsidRPr="00D33484">
        <w:rPr>
          <w:rFonts w:ascii="Times New Roman" w:hAnsi="Times New Roman" w:cs="Times New Roman"/>
          <w:color w:val="000000"/>
          <w:sz w:val="24"/>
          <w:szCs w:val="24"/>
        </w:rPr>
        <w:t>д</w:t>
      </w:r>
      <w:r w:rsidRPr="00D33484">
        <w:rPr>
          <w:rFonts w:ascii="Times New Roman" w:hAnsi="Times New Roman" w:cs="Times New Roman"/>
          <w:color w:val="000000"/>
          <w:sz w:val="24"/>
          <w:szCs w:val="24"/>
        </w:rPr>
        <w:t>ные поступления (различные субсидии, субвенции и дотации из бюджетной системы), вел</w:t>
      </w:r>
      <w:r w:rsidRPr="00D33484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D33484">
        <w:rPr>
          <w:rFonts w:ascii="Times New Roman" w:hAnsi="Times New Roman" w:cs="Times New Roman"/>
          <w:color w:val="000000"/>
          <w:sz w:val="24"/>
          <w:szCs w:val="24"/>
        </w:rPr>
        <w:t>чина которых увеличилась с 72,8% в 2010 г. до 99,</w:t>
      </w:r>
      <w:r w:rsidR="00ED7A2C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D33484">
        <w:rPr>
          <w:rFonts w:ascii="Times New Roman" w:hAnsi="Times New Roman" w:cs="Times New Roman"/>
          <w:color w:val="000000"/>
          <w:sz w:val="24"/>
          <w:szCs w:val="24"/>
        </w:rPr>
        <w:t>% в 201</w:t>
      </w:r>
      <w:r w:rsidR="00ED7A2C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D33484">
        <w:rPr>
          <w:rFonts w:ascii="Times New Roman" w:hAnsi="Times New Roman" w:cs="Times New Roman"/>
          <w:color w:val="000000"/>
          <w:sz w:val="24"/>
          <w:szCs w:val="24"/>
        </w:rPr>
        <w:t xml:space="preserve"> г. </w:t>
      </w:r>
    </w:p>
    <w:p w:rsidR="00462724" w:rsidRPr="00D33484" w:rsidRDefault="00462724" w:rsidP="00554DBF">
      <w:pPr>
        <w:spacing w:line="360" w:lineRule="auto"/>
        <w:ind w:left="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33484">
        <w:rPr>
          <w:rFonts w:ascii="Times New Roman" w:hAnsi="Times New Roman" w:cs="Times New Roman"/>
          <w:color w:val="000000"/>
          <w:sz w:val="24"/>
          <w:szCs w:val="24"/>
        </w:rPr>
        <w:t xml:space="preserve">В доходной части бюджета ТФОМС Республики Коми крайне низкая доля страховых взносов организаций на обязательное медицинское страхование поступающая напрямую в Фонд. Их величина снизилась с 22,4% в 2010 г. до 0,01% в 2013 </w:t>
      </w:r>
      <w:r w:rsidRPr="00471473">
        <w:rPr>
          <w:rFonts w:ascii="Times New Roman" w:hAnsi="Times New Roman" w:cs="Times New Roman"/>
          <w:sz w:val="24"/>
          <w:szCs w:val="24"/>
        </w:rPr>
        <w:t xml:space="preserve">г., а затем и вовсе исчезла. </w:t>
      </w:r>
      <w:r w:rsidRPr="00471473">
        <w:rPr>
          <w:rFonts w:ascii="Times New Roman" w:hAnsi="Times New Roman" w:cs="Times New Roman"/>
          <w:sz w:val="24"/>
          <w:szCs w:val="24"/>
          <w:u w:val="single"/>
        </w:rPr>
        <w:t>Для справки:</w:t>
      </w:r>
      <w:r w:rsidRPr="00471473">
        <w:rPr>
          <w:rFonts w:ascii="Times New Roman" w:hAnsi="Times New Roman" w:cs="Times New Roman"/>
          <w:sz w:val="24"/>
          <w:szCs w:val="24"/>
        </w:rPr>
        <w:t xml:space="preserve"> согласно закона N212-ФЗ совокупная</w:t>
      </w:r>
      <w:r w:rsidRPr="00D33484">
        <w:rPr>
          <w:rFonts w:ascii="Times New Roman" w:hAnsi="Times New Roman" w:cs="Times New Roman"/>
          <w:color w:val="000000"/>
          <w:sz w:val="24"/>
          <w:szCs w:val="24"/>
        </w:rPr>
        <w:t xml:space="preserve"> величина страховых тарифов составила 34% и применялась с 1 января 2011 года (в 2010 году - 26%).  Структура тарифов выглядела следующим образом: Пенсионный фонд РФ (ПФРФ) – 26%; Фонд социального страхования (ФСС) – 2,9%; Федеральный фонд обязательного медицинского страхования (ФФОМС) – 2,1%;  Территориальный фонд обязательного медицинского страхования (ТФОМС) – 3%. Позже  в  2012  году  страховые  взносы  были  снижены  на  4%  и  распределились следу</w:t>
      </w:r>
      <w:r w:rsidRPr="00D33484">
        <w:rPr>
          <w:rFonts w:ascii="Times New Roman" w:hAnsi="Times New Roman" w:cs="Times New Roman"/>
          <w:color w:val="000000"/>
          <w:sz w:val="24"/>
          <w:szCs w:val="24"/>
        </w:rPr>
        <w:t>ю</w:t>
      </w:r>
      <w:r w:rsidRPr="00D33484">
        <w:rPr>
          <w:rFonts w:ascii="Times New Roman" w:hAnsi="Times New Roman" w:cs="Times New Roman"/>
          <w:color w:val="000000"/>
          <w:sz w:val="24"/>
          <w:szCs w:val="24"/>
        </w:rPr>
        <w:t>щим образом: ФСС – 2,9%; Пенсионный – 16% и 6%; ФФОМС – 2,1%; ТФОМС – 3%.</w:t>
      </w:r>
    </w:p>
    <w:p w:rsidR="00462724" w:rsidRPr="00D33484" w:rsidRDefault="00462724" w:rsidP="00554DBF">
      <w:pPr>
        <w:spacing w:line="360" w:lineRule="auto"/>
        <w:ind w:left="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33484">
        <w:rPr>
          <w:rFonts w:ascii="Times New Roman" w:hAnsi="Times New Roman" w:cs="Times New Roman"/>
          <w:color w:val="000000"/>
          <w:sz w:val="24"/>
          <w:szCs w:val="24"/>
        </w:rPr>
        <w:t>Расходы ТФОМС Республики Коми в 201</w:t>
      </w:r>
      <w:r w:rsidR="00ED7A2C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D33484">
        <w:rPr>
          <w:rFonts w:ascii="Times New Roman" w:hAnsi="Times New Roman" w:cs="Times New Roman"/>
          <w:color w:val="000000"/>
          <w:sz w:val="24"/>
          <w:szCs w:val="24"/>
        </w:rPr>
        <w:t> г. составили 14,</w:t>
      </w:r>
      <w:r w:rsidR="00ED7A2C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D33484">
        <w:rPr>
          <w:rFonts w:ascii="Times New Roman" w:hAnsi="Times New Roman" w:cs="Times New Roman"/>
          <w:color w:val="000000"/>
          <w:sz w:val="24"/>
          <w:szCs w:val="24"/>
        </w:rPr>
        <w:t xml:space="preserve"> млрд. руб., в структуре которых наибольший удельный вес приходился на финансирование территориальной пр</w:t>
      </w:r>
      <w:r w:rsidRPr="00D33484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D33484">
        <w:rPr>
          <w:rFonts w:ascii="Times New Roman" w:hAnsi="Times New Roman" w:cs="Times New Roman"/>
          <w:color w:val="000000"/>
          <w:sz w:val="24"/>
          <w:szCs w:val="24"/>
        </w:rPr>
        <w:t xml:space="preserve">граммы ОМС. За исследуемый период их доля </w:t>
      </w:r>
      <w:r w:rsidR="000F537D">
        <w:rPr>
          <w:rFonts w:ascii="Times New Roman" w:hAnsi="Times New Roman" w:cs="Times New Roman"/>
          <w:color w:val="000000"/>
          <w:sz w:val="24"/>
          <w:szCs w:val="24"/>
        </w:rPr>
        <w:t>росла и</w:t>
      </w:r>
      <w:r w:rsidR="000F537D" w:rsidRPr="00D3348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33484">
        <w:rPr>
          <w:rFonts w:ascii="Times New Roman" w:hAnsi="Times New Roman" w:cs="Times New Roman"/>
          <w:color w:val="000000"/>
          <w:sz w:val="24"/>
          <w:szCs w:val="24"/>
        </w:rPr>
        <w:t>в 201</w:t>
      </w:r>
      <w:r w:rsidR="00ED7A2C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D33484">
        <w:rPr>
          <w:rFonts w:ascii="Times New Roman" w:hAnsi="Times New Roman" w:cs="Times New Roman"/>
          <w:color w:val="000000"/>
          <w:sz w:val="24"/>
          <w:szCs w:val="24"/>
        </w:rPr>
        <w:t xml:space="preserve"> г. </w:t>
      </w:r>
      <w:r w:rsidR="00ED7A2C">
        <w:rPr>
          <w:rFonts w:ascii="Times New Roman" w:hAnsi="Times New Roman" w:cs="Times New Roman"/>
          <w:color w:val="000000"/>
          <w:sz w:val="24"/>
          <w:szCs w:val="24"/>
        </w:rPr>
        <w:t>составила</w:t>
      </w:r>
      <w:r w:rsidRPr="00D33484">
        <w:rPr>
          <w:rFonts w:ascii="Times New Roman" w:hAnsi="Times New Roman" w:cs="Times New Roman"/>
          <w:color w:val="000000"/>
          <w:sz w:val="24"/>
          <w:szCs w:val="24"/>
        </w:rPr>
        <w:t xml:space="preserve"> 9</w:t>
      </w:r>
      <w:r w:rsidR="00ED7A2C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Pr="00D33484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ED7A2C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Pr="00D33484">
        <w:rPr>
          <w:rFonts w:ascii="Times New Roman" w:hAnsi="Times New Roman" w:cs="Times New Roman"/>
          <w:color w:val="000000"/>
          <w:sz w:val="24"/>
          <w:szCs w:val="24"/>
        </w:rPr>
        <w:t>%.</w:t>
      </w:r>
    </w:p>
    <w:p w:rsidR="00462724" w:rsidRPr="00D33484" w:rsidRDefault="00462724" w:rsidP="00554DBF">
      <w:pPr>
        <w:spacing w:line="360" w:lineRule="auto"/>
        <w:ind w:left="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33484">
        <w:rPr>
          <w:rFonts w:ascii="Times New Roman" w:hAnsi="Times New Roman" w:cs="Times New Roman"/>
          <w:color w:val="000000"/>
          <w:sz w:val="24"/>
          <w:szCs w:val="24"/>
        </w:rPr>
        <w:t xml:space="preserve">Снижение доли расходов на финансирование территориальной программы ОМС в 2011 и 2012 гг. объясняется выделением средств для </w:t>
      </w:r>
      <w:r w:rsidRPr="00D33484">
        <w:rPr>
          <w:rFonts w:ascii="Times New Roman" w:hAnsi="Times New Roman" w:cs="Times New Roman"/>
          <w:sz w:val="24"/>
          <w:szCs w:val="24"/>
        </w:rPr>
        <w:t>реализации региональных программ модернизации здравоохранения субъектов РФ, перечисленные бюджетам субъектам РФ в 2011 г. (15,1%), в 2012 г. на внедрение стандартов медпомощи повышения доступности а</w:t>
      </w:r>
      <w:r w:rsidRPr="00D33484">
        <w:rPr>
          <w:rFonts w:ascii="Times New Roman" w:hAnsi="Times New Roman" w:cs="Times New Roman"/>
          <w:sz w:val="24"/>
          <w:szCs w:val="24"/>
        </w:rPr>
        <w:t>м</w:t>
      </w:r>
      <w:r w:rsidRPr="00D33484">
        <w:rPr>
          <w:rFonts w:ascii="Times New Roman" w:hAnsi="Times New Roman" w:cs="Times New Roman"/>
          <w:sz w:val="24"/>
          <w:szCs w:val="24"/>
        </w:rPr>
        <w:t>булаторной медпомощи (7,3%) и укрепление материально-технического снабжения (10,2%).</w:t>
      </w:r>
    </w:p>
    <w:p w:rsidR="00462724" w:rsidRPr="00D33484" w:rsidRDefault="00462724" w:rsidP="00554DBF">
      <w:pPr>
        <w:spacing w:line="360" w:lineRule="auto"/>
        <w:ind w:left="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33484">
        <w:rPr>
          <w:rFonts w:ascii="Times New Roman" w:hAnsi="Times New Roman" w:cs="Times New Roman"/>
          <w:sz w:val="24"/>
          <w:szCs w:val="24"/>
        </w:rPr>
        <w:t>Эффективность финансовой деятельности государственных социальных внебюдже</w:t>
      </w:r>
      <w:r w:rsidRPr="00D33484">
        <w:rPr>
          <w:rFonts w:ascii="Times New Roman" w:hAnsi="Times New Roman" w:cs="Times New Roman"/>
          <w:sz w:val="24"/>
          <w:szCs w:val="24"/>
        </w:rPr>
        <w:t>т</w:t>
      </w:r>
      <w:r w:rsidRPr="00D33484">
        <w:rPr>
          <w:rFonts w:ascii="Times New Roman" w:hAnsi="Times New Roman" w:cs="Times New Roman"/>
          <w:sz w:val="24"/>
          <w:szCs w:val="24"/>
        </w:rPr>
        <w:t>ных фондов можно оценить путем соотнесения результата деятельности фондов (финансир</w:t>
      </w:r>
      <w:r w:rsidRPr="00D33484">
        <w:rPr>
          <w:rFonts w:ascii="Times New Roman" w:hAnsi="Times New Roman" w:cs="Times New Roman"/>
          <w:sz w:val="24"/>
          <w:szCs w:val="24"/>
        </w:rPr>
        <w:t>о</w:t>
      </w:r>
      <w:r w:rsidRPr="00D33484">
        <w:rPr>
          <w:rFonts w:ascii="Times New Roman" w:hAnsi="Times New Roman" w:cs="Times New Roman"/>
          <w:sz w:val="24"/>
          <w:szCs w:val="24"/>
        </w:rPr>
        <w:t>вание целевых социальных выплат в соответствии с утвержденным бюджетом) с транзакц</w:t>
      </w:r>
      <w:r w:rsidRPr="00D33484">
        <w:rPr>
          <w:rFonts w:ascii="Times New Roman" w:hAnsi="Times New Roman" w:cs="Times New Roman"/>
          <w:sz w:val="24"/>
          <w:szCs w:val="24"/>
        </w:rPr>
        <w:t>и</w:t>
      </w:r>
      <w:r w:rsidRPr="00D33484">
        <w:rPr>
          <w:rFonts w:ascii="Times New Roman" w:hAnsi="Times New Roman" w:cs="Times New Roman"/>
          <w:sz w:val="24"/>
          <w:szCs w:val="24"/>
        </w:rPr>
        <w:t>онными издержками фондов. Последние представляют собой расходы на регистрацию стр</w:t>
      </w:r>
      <w:r w:rsidRPr="00D33484">
        <w:rPr>
          <w:rFonts w:ascii="Times New Roman" w:hAnsi="Times New Roman" w:cs="Times New Roman"/>
          <w:sz w:val="24"/>
          <w:szCs w:val="24"/>
        </w:rPr>
        <w:t>а</w:t>
      </w:r>
      <w:r w:rsidRPr="00D33484">
        <w:rPr>
          <w:rFonts w:ascii="Times New Roman" w:hAnsi="Times New Roman" w:cs="Times New Roman"/>
          <w:sz w:val="24"/>
          <w:szCs w:val="24"/>
        </w:rPr>
        <w:t>хователей и застрахованных, контрольно-ревизионную, планово-экономическую деятел</w:t>
      </w:r>
      <w:r w:rsidRPr="00D33484">
        <w:rPr>
          <w:rFonts w:ascii="Times New Roman" w:hAnsi="Times New Roman" w:cs="Times New Roman"/>
          <w:sz w:val="24"/>
          <w:szCs w:val="24"/>
        </w:rPr>
        <w:t>ь</w:t>
      </w:r>
      <w:r w:rsidRPr="00D33484">
        <w:rPr>
          <w:rFonts w:ascii="Times New Roman" w:hAnsi="Times New Roman" w:cs="Times New Roman"/>
          <w:sz w:val="24"/>
          <w:szCs w:val="24"/>
        </w:rPr>
        <w:lastRenderedPageBreak/>
        <w:t xml:space="preserve">ность фондов, административно-хозяйственные расходы, то есть расходы на осуществление исполнительской деятельности данных </w:t>
      </w:r>
      <w:r w:rsidRPr="004F7C56">
        <w:rPr>
          <w:rFonts w:ascii="Times New Roman" w:hAnsi="Times New Roman" w:cs="Times New Roman"/>
          <w:sz w:val="24"/>
          <w:szCs w:val="24"/>
        </w:rPr>
        <w:t>структур.</w:t>
      </w:r>
    </w:p>
    <w:p w:rsidR="002917A8" w:rsidRDefault="00462724" w:rsidP="00554DBF">
      <w:pPr>
        <w:spacing w:line="360" w:lineRule="auto"/>
        <w:ind w:left="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33484">
        <w:rPr>
          <w:rFonts w:ascii="Times New Roman" w:hAnsi="Times New Roman" w:cs="Times New Roman"/>
          <w:sz w:val="24"/>
          <w:szCs w:val="24"/>
        </w:rPr>
        <w:t>Разница между ресурсами и выплатами по медицинскому страхованию составляет объем транзакционных издержек, величина которых снизилась с 1,3% в 2010 г. до 0,6% в 201</w:t>
      </w:r>
      <w:r w:rsidR="000F537D">
        <w:rPr>
          <w:rFonts w:ascii="Times New Roman" w:hAnsi="Times New Roman" w:cs="Times New Roman"/>
          <w:sz w:val="24"/>
          <w:szCs w:val="24"/>
        </w:rPr>
        <w:t>6</w:t>
      </w:r>
      <w:r w:rsidRPr="00D33484">
        <w:rPr>
          <w:rFonts w:ascii="Times New Roman" w:hAnsi="Times New Roman" w:cs="Times New Roman"/>
          <w:sz w:val="24"/>
          <w:szCs w:val="24"/>
        </w:rPr>
        <w:t xml:space="preserve"> гг. Следовательно, можно констатировать, что передача функций по сбору и контролю уплаты </w:t>
      </w:r>
      <w:r w:rsidR="00885343">
        <w:rPr>
          <w:rFonts w:ascii="Times New Roman" w:hAnsi="Times New Roman" w:cs="Times New Roman"/>
          <w:sz w:val="24"/>
          <w:szCs w:val="24"/>
        </w:rPr>
        <w:t>страховых взносов</w:t>
      </w:r>
      <w:r w:rsidRPr="00D33484">
        <w:rPr>
          <w:rFonts w:ascii="Times New Roman" w:hAnsi="Times New Roman" w:cs="Times New Roman"/>
          <w:sz w:val="24"/>
          <w:szCs w:val="24"/>
        </w:rPr>
        <w:t xml:space="preserve"> с 2002 г. от фондов к налоговым органам, привела к сокращению транзакционных затрат.</w:t>
      </w:r>
    </w:p>
    <w:p w:rsidR="00232E62" w:rsidRPr="00471473" w:rsidRDefault="00462724" w:rsidP="00554DBF">
      <w:pPr>
        <w:spacing w:line="360" w:lineRule="auto"/>
        <w:ind w:left="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917A8">
        <w:rPr>
          <w:rFonts w:ascii="Times New Roman" w:hAnsi="Times New Roman" w:cs="Times New Roman"/>
          <w:b/>
          <w:sz w:val="24"/>
          <w:szCs w:val="24"/>
        </w:rPr>
        <w:t>П</w:t>
      </w:r>
      <w:r w:rsidR="00F57088" w:rsidRPr="002917A8">
        <w:rPr>
          <w:rFonts w:ascii="Times New Roman" w:hAnsi="Times New Roman" w:cs="Times New Roman"/>
          <w:b/>
          <w:sz w:val="24"/>
          <w:szCs w:val="24"/>
        </w:rPr>
        <w:t>енсионный фонд</w:t>
      </w:r>
      <w:r w:rsidR="002917A8" w:rsidRPr="002917A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232E62" w:rsidRPr="002917A8">
        <w:rPr>
          <w:rFonts w:ascii="Times New Roman" w:hAnsi="Times New Roman" w:cs="Times New Roman"/>
          <w:color w:val="000000"/>
          <w:sz w:val="24"/>
          <w:szCs w:val="24"/>
        </w:rPr>
        <w:t>Основной источник формирования доходов П</w:t>
      </w:r>
      <w:r w:rsidR="00EC546D" w:rsidRPr="002917A8">
        <w:rPr>
          <w:rFonts w:ascii="Times New Roman" w:hAnsi="Times New Roman" w:cs="Times New Roman"/>
          <w:color w:val="000000"/>
          <w:sz w:val="24"/>
          <w:szCs w:val="24"/>
        </w:rPr>
        <w:t>енсионного фонда (П</w:t>
      </w:r>
      <w:r w:rsidR="00232E62" w:rsidRPr="002917A8">
        <w:rPr>
          <w:rFonts w:ascii="Times New Roman" w:hAnsi="Times New Roman" w:cs="Times New Roman"/>
          <w:color w:val="000000"/>
          <w:sz w:val="24"/>
          <w:szCs w:val="24"/>
        </w:rPr>
        <w:t>Ф</w:t>
      </w:r>
      <w:r w:rsidR="00EC546D" w:rsidRPr="002917A8">
        <w:rPr>
          <w:rFonts w:ascii="Times New Roman" w:hAnsi="Times New Roman" w:cs="Times New Roman"/>
          <w:color w:val="000000"/>
          <w:sz w:val="24"/>
          <w:szCs w:val="24"/>
        </w:rPr>
        <w:t>)</w:t>
      </w:r>
      <w:r w:rsidR="00232E62" w:rsidRPr="002917A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9D67C3" w:rsidRPr="002917A8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="00232E62" w:rsidRPr="002917A8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="00232E62" w:rsidRPr="002917A8">
        <w:rPr>
          <w:rFonts w:ascii="Times New Roman" w:hAnsi="Times New Roman" w:cs="Times New Roman"/>
          <w:bCs/>
          <w:color w:val="000000"/>
          <w:sz w:val="24"/>
          <w:szCs w:val="24"/>
        </w:rPr>
        <w:t>страховые платежи.</w:t>
      </w:r>
      <w:r w:rsidR="009D67C3" w:rsidRPr="002917A8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232E62" w:rsidRPr="002917A8">
        <w:rPr>
          <w:rFonts w:ascii="Times New Roman" w:hAnsi="Times New Roman" w:cs="Times New Roman"/>
          <w:color w:val="000000"/>
          <w:sz w:val="24"/>
          <w:szCs w:val="24"/>
        </w:rPr>
        <w:t>Ставка страховых платежей в пенсионные фонды различна в ра</w:t>
      </w:r>
      <w:r w:rsidR="00232E62" w:rsidRPr="002917A8">
        <w:rPr>
          <w:rFonts w:ascii="Times New Roman" w:hAnsi="Times New Roman" w:cs="Times New Roman"/>
          <w:color w:val="000000"/>
          <w:sz w:val="24"/>
          <w:szCs w:val="24"/>
        </w:rPr>
        <w:t>з</w:t>
      </w:r>
      <w:r w:rsidR="00232E62" w:rsidRPr="002917A8">
        <w:rPr>
          <w:rFonts w:ascii="Times New Roman" w:hAnsi="Times New Roman" w:cs="Times New Roman"/>
          <w:color w:val="000000"/>
          <w:sz w:val="24"/>
          <w:szCs w:val="24"/>
        </w:rPr>
        <w:t xml:space="preserve">личных странах. Она определяется национальным законодательством и колеблется от 10 до 30%. При расчете облагаемой взносами в ПФ доходной базы </w:t>
      </w:r>
      <w:r w:rsidR="00232E62" w:rsidRPr="00471473">
        <w:rPr>
          <w:rFonts w:ascii="Times New Roman" w:hAnsi="Times New Roman" w:cs="Times New Roman"/>
          <w:sz w:val="24"/>
          <w:szCs w:val="24"/>
        </w:rPr>
        <w:t>предусматривается исключение некоторых доходов и выплат</w:t>
      </w:r>
      <w:r w:rsidR="007D76C4" w:rsidRPr="00471473">
        <w:rPr>
          <w:rFonts w:ascii="Times New Roman" w:hAnsi="Times New Roman" w:cs="Times New Roman"/>
          <w:sz w:val="24"/>
          <w:szCs w:val="24"/>
        </w:rPr>
        <w:t xml:space="preserve"> </w:t>
      </w:r>
      <w:r w:rsidR="007D76C4" w:rsidRPr="00F13777">
        <w:rPr>
          <w:rFonts w:ascii="Times New Roman" w:hAnsi="Times New Roman" w:cs="Times New Roman"/>
          <w:sz w:val="24"/>
          <w:szCs w:val="24"/>
        </w:rPr>
        <w:t>[</w:t>
      </w:r>
      <w:r w:rsidR="00F13777">
        <w:rPr>
          <w:rFonts w:ascii="Times New Roman" w:hAnsi="Times New Roman" w:cs="Times New Roman"/>
          <w:sz w:val="24"/>
          <w:szCs w:val="24"/>
        </w:rPr>
        <w:t>2</w:t>
      </w:r>
      <w:r w:rsidR="007D76C4" w:rsidRPr="00F13777">
        <w:rPr>
          <w:rFonts w:ascii="Times New Roman" w:hAnsi="Times New Roman" w:cs="Times New Roman"/>
          <w:sz w:val="24"/>
          <w:szCs w:val="24"/>
        </w:rPr>
        <w:t>]</w:t>
      </w:r>
      <w:r w:rsidR="00232E62" w:rsidRPr="00F13777">
        <w:rPr>
          <w:rFonts w:ascii="Times New Roman" w:hAnsi="Times New Roman" w:cs="Times New Roman"/>
          <w:sz w:val="24"/>
          <w:szCs w:val="24"/>
        </w:rPr>
        <w:t>.</w:t>
      </w:r>
    </w:p>
    <w:p w:rsidR="00232E62" w:rsidRPr="00C75BF4" w:rsidRDefault="00C75BF4" w:rsidP="00554DBF">
      <w:pPr>
        <w:spacing w:line="360" w:lineRule="auto"/>
        <w:ind w:left="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75BF4">
        <w:rPr>
          <w:rFonts w:ascii="Times New Roman" w:hAnsi="Times New Roman" w:cs="Times New Roman"/>
          <w:sz w:val="24"/>
          <w:szCs w:val="24"/>
        </w:rPr>
        <w:t>За период 2010-2016 гг. изменение доходной и расходной части бюджета Пенсионн</w:t>
      </w:r>
      <w:r w:rsidRPr="00C75BF4">
        <w:rPr>
          <w:rFonts w:ascii="Times New Roman" w:hAnsi="Times New Roman" w:cs="Times New Roman"/>
          <w:sz w:val="24"/>
          <w:szCs w:val="24"/>
        </w:rPr>
        <w:t>о</w:t>
      </w:r>
      <w:r w:rsidRPr="00C75BF4">
        <w:rPr>
          <w:rFonts w:ascii="Times New Roman" w:hAnsi="Times New Roman" w:cs="Times New Roman"/>
          <w:sz w:val="24"/>
          <w:szCs w:val="24"/>
        </w:rPr>
        <w:t>го фонда Республики Коми имело разнонаправленную динамику. Если в номинальном изм</w:t>
      </w:r>
      <w:r w:rsidRPr="00C75BF4">
        <w:rPr>
          <w:rFonts w:ascii="Times New Roman" w:hAnsi="Times New Roman" w:cs="Times New Roman"/>
          <w:sz w:val="24"/>
          <w:szCs w:val="24"/>
        </w:rPr>
        <w:t>е</w:t>
      </w:r>
      <w:r w:rsidRPr="00C75BF4">
        <w:rPr>
          <w:rFonts w:ascii="Times New Roman" w:hAnsi="Times New Roman" w:cs="Times New Roman"/>
          <w:sz w:val="24"/>
          <w:szCs w:val="24"/>
        </w:rPr>
        <w:t>рении доходы Фонда, без учета межбюджетных трансфертов, увеличились в 2016 г. относ</w:t>
      </w:r>
      <w:r w:rsidRPr="00C75BF4">
        <w:rPr>
          <w:rFonts w:ascii="Times New Roman" w:hAnsi="Times New Roman" w:cs="Times New Roman"/>
          <w:sz w:val="24"/>
          <w:szCs w:val="24"/>
        </w:rPr>
        <w:t>и</w:t>
      </w:r>
      <w:r w:rsidRPr="00C75BF4">
        <w:rPr>
          <w:rFonts w:ascii="Times New Roman" w:hAnsi="Times New Roman" w:cs="Times New Roman"/>
          <w:sz w:val="24"/>
          <w:szCs w:val="24"/>
        </w:rPr>
        <w:t>тельно 2010 г. на треть, то расходы – более, чем в полтора раза. Однако, если данные показ</w:t>
      </w:r>
      <w:r w:rsidRPr="00C75BF4">
        <w:rPr>
          <w:rFonts w:ascii="Times New Roman" w:hAnsi="Times New Roman" w:cs="Times New Roman"/>
          <w:sz w:val="24"/>
          <w:szCs w:val="24"/>
        </w:rPr>
        <w:t>а</w:t>
      </w:r>
      <w:r w:rsidRPr="00C75BF4">
        <w:rPr>
          <w:rFonts w:ascii="Times New Roman" w:hAnsi="Times New Roman" w:cs="Times New Roman"/>
          <w:sz w:val="24"/>
          <w:szCs w:val="24"/>
        </w:rPr>
        <w:t xml:space="preserve">тели проиндексировать на уровень инфляции, то в реальном исчислении расходная часть бюджета Фонда за этот период увеличилась всего на 2,2%, а доходная и вовсе снизилась на 19,5% </w:t>
      </w:r>
      <w:r w:rsidRPr="00C75BF4">
        <w:rPr>
          <w:rFonts w:ascii="Times New Roman" w:hAnsi="Times New Roman" w:cs="Times New Roman"/>
          <w:color w:val="000000"/>
          <w:sz w:val="24"/>
          <w:szCs w:val="24"/>
        </w:rPr>
        <w:t>(рис. 1).</w:t>
      </w:r>
    </w:p>
    <w:p w:rsidR="00C75BF4" w:rsidRDefault="00C75BF4" w:rsidP="00C75BF4">
      <w:pPr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>
            <wp:extent cx="6073211" cy="1556989"/>
            <wp:effectExtent l="0" t="0" r="0" b="0"/>
            <wp:docPr id="5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C75BF4" w:rsidRDefault="00C75BF4" w:rsidP="00C75BF4">
      <w:pPr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C75BF4" w:rsidRDefault="00C75BF4" w:rsidP="00FE6031">
      <w:pPr>
        <w:ind w:left="0"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C75BF4">
        <w:rPr>
          <w:rFonts w:ascii="Times New Roman" w:hAnsi="Times New Roman" w:cs="Times New Roman"/>
          <w:color w:val="000000"/>
          <w:sz w:val="24"/>
          <w:szCs w:val="24"/>
        </w:rPr>
        <w:t xml:space="preserve">Рис. 1 Динамика доходов и расходов Пенсионного фонда в </w:t>
      </w:r>
      <w:r w:rsidRPr="00C75BF4">
        <w:rPr>
          <w:rFonts w:ascii="Times New Roman" w:hAnsi="Times New Roman" w:cs="Times New Roman"/>
          <w:color w:val="000000"/>
          <w:sz w:val="24"/>
          <w:szCs w:val="24"/>
        </w:rPr>
        <w:br/>
        <w:t>Республике Коми за 2010-2016 гг. (в сопоставимой оценке в % к 2010 г.)</w:t>
      </w:r>
      <w:r w:rsidRPr="00C75BF4">
        <w:rPr>
          <w:rFonts w:ascii="Times New Roman" w:hAnsi="Times New Roman" w:cs="Times New Roman"/>
          <w:color w:val="000000"/>
          <w:sz w:val="24"/>
          <w:szCs w:val="24"/>
        </w:rPr>
        <w:br/>
      </w:r>
    </w:p>
    <w:p w:rsidR="00870A98" w:rsidRPr="005D5F07" w:rsidRDefault="00870A98" w:rsidP="00870A98">
      <w:pPr>
        <w:spacing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F07">
        <w:rPr>
          <w:rFonts w:ascii="Times New Roman" w:hAnsi="Times New Roman" w:cs="Times New Roman"/>
          <w:color w:val="000000"/>
          <w:sz w:val="24"/>
          <w:szCs w:val="24"/>
        </w:rPr>
        <w:t xml:space="preserve">Следует отметить, что в реальном измерении начиная с 2012 г. доходы Пенсионного фонда Республики Коми имели устойчивую отрицательную динамику. Между тем расходы на протяжении исследуемого периода, за исключением 2014 г., увеличивались, что говорит о явных балансовых диспропорциях в Фонде региона. </w:t>
      </w:r>
    </w:p>
    <w:p w:rsidR="00870A98" w:rsidRPr="005D5F07" w:rsidRDefault="00870A98" w:rsidP="00870A98">
      <w:pPr>
        <w:spacing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F07">
        <w:rPr>
          <w:rFonts w:ascii="Times New Roman" w:hAnsi="Times New Roman" w:cs="Times New Roman"/>
          <w:sz w:val="24"/>
          <w:szCs w:val="24"/>
        </w:rPr>
        <w:t xml:space="preserve">Пенсионный закон 1990 г. в России стал первым законом, где пенсионное страхование выделилось в самостоятельную систему. При этом был законодательно определен порядок образования финансовых ресурсов в государственном Пенсионном фонде. Полный отказ от </w:t>
      </w:r>
      <w:r w:rsidRPr="005D5F07">
        <w:rPr>
          <w:rFonts w:ascii="Times New Roman" w:hAnsi="Times New Roman" w:cs="Times New Roman"/>
          <w:sz w:val="24"/>
          <w:szCs w:val="24"/>
        </w:rPr>
        <w:lastRenderedPageBreak/>
        <w:t>госдотаций явился главным условием взаимоотношений Фонда и государственного бюджета. Формирование собственных финансовых источников должно было базироваться на улучш</w:t>
      </w:r>
      <w:r w:rsidRPr="005D5F07">
        <w:rPr>
          <w:rFonts w:ascii="Times New Roman" w:hAnsi="Times New Roman" w:cs="Times New Roman"/>
          <w:sz w:val="24"/>
          <w:szCs w:val="24"/>
        </w:rPr>
        <w:t>е</w:t>
      </w:r>
      <w:r w:rsidRPr="005D5F07">
        <w:rPr>
          <w:rFonts w:ascii="Times New Roman" w:hAnsi="Times New Roman" w:cs="Times New Roman"/>
          <w:sz w:val="24"/>
          <w:szCs w:val="24"/>
        </w:rPr>
        <w:t>нии сбора страховых взносов.</w:t>
      </w:r>
      <w:r w:rsidRPr="005D5F07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D5F07">
        <w:rPr>
          <w:rFonts w:ascii="Times New Roman" w:hAnsi="Times New Roman" w:cs="Times New Roman"/>
          <w:color w:val="000000"/>
          <w:sz w:val="24"/>
          <w:szCs w:val="24"/>
        </w:rPr>
        <w:t>Однако на практике ситуация оказалась совершенно иной. На протяжении всего периода существования Пенсионного фонда Республики Коми наблюдае</w:t>
      </w:r>
      <w:r w:rsidRPr="005D5F07">
        <w:rPr>
          <w:rFonts w:ascii="Times New Roman" w:hAnsi="Times New Roman" w:cs="Times New Roman"/>
          <w:color w:val="000000"/>
          <w:sz w:val="24"/>
          <w:szCs w:val="24"/>
        </w:rPr>
        <w:t>т</w:t>
      </w:r>
      <w:r w:rsidRPr="005D5F07">
        <w:rPr>
          <w:rFonts w:ascii="Times New Roman" w:hAnsi="Times New Roman" w:cs="Times New Roman"/>
          <w:color w:val="000000"/>
          <w:sz w:val="24"/>
          <w:szCs w:val="24"/>
        </w:rPr>
        <w:t>ся явный дисбаланс его бюджета. Удельный вес межбюджетных трансфертов на покрытие дефицита бюджета Фонда увеличился с 37,5% в 2011 г. до 51,3% в 2016 г. В результате, о</w:t>
      </w:r>
      <w:r w:rsidRPr="005D5F07">
        <w:rPr>
          <w:rFonts w:ascii="Times New Roman" w:hAnsi="Times New Roman" w:cs="Times New Roman"/>
          <w:color w:val="000000"/>
          <w:sz w:val="24"/>
          <w:szCs w:val="24"/>
        </w:rPr>
        <w:t>т</w:t>
      </w:r>
      <w:r w:rsidRPr="005D5F07">
        <w:rPr>
          <w:rFonts w:ascii="Times New Roman" w:hAnsi="Times New Roman" w:cs="Times New Roman"/>
          <w:color w:val="000000"/>
          <w:sz w:val="24"/>
          <w:szCs w:val="24"/>
        </w:rPr>
        <w:t>носительно валового регионального продукта дефицит Фонда составил 6%, достигнув за ра</w:t>
      </w:r>
      <w:r w:rsidRPr="005D5F07">
        <w:rPr>
          <w:rFonts w:ascii="Times New Roman" w:hAnsi="Times New Roman" w:cs="Times New Roman"/>
          <w:color w:val="000000"/>
          <w:sz w:val="24"/>
          <w:szCs w:val="24"/>
        </w:rPr>
        <w:t>с</w:t>
      </w:r>
      <w:r w:rsidRPr="005D5F07">
        <w:rPr>
          <w:rFonts w:ascii="Times New Roman" w:hAnsi="Times New Roman" w:cs="Times New Roman"/>
          <w:color w:val="000000"/>
          <w:sz w:val="24"/>
          <w:szCs w:val="24"/>
        </w:rPr>
        <w:t>сматриваемый период максимальное значение (рис. 2).</w:t>
      </w:r>
    </w:p>
    <w:p w:rsidR="00870A98" w:rsidRPr="00232E62" w:rsidRDefault="00870A98" w:rsidP="00870A98">
      <w:pPr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66087">
        <w:rPr>
          <w:rFonts w:ascii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>
            <wp:extent cx="6277384" cy="3040520"/>
            <wp:effectExtent l="0" t="0" r="0" b="0"/>
            <wp:docPr id="6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870A98" w:rsidRDefault="00870A98" w:rsidP="00870A98">
      <w:pPr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870A98" w:rsidRPr="00B41605" w:rsidRDefault="00870A98" w:rsidP="00870A98">
      <w:pPr>
        <w:ind w:left="0" w:firstLine="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B41605">
        <w:rPr>
          <w:rFonts w:ascii="Times New Roman" w:hAnsi="Times New Roman" w:cs="Times New Roman"/>
          <w:color w:val="000000"/>
          <w:sz w:val="28"/>
          <w:szCs w:val="28"/>
        </w:rPr>
        <w:t xml:space="preserve">Рис. </w:t>
      </w:r>
      <w:r>
        <w:rPr>
          <w:rFonts w:ascii="Times New Roman" w:hAnsi="Times New Roman" w:cs="Times New Roman"/>
          <w:color w:val="000000"/>
          <w:sz w:val="28"/>
          <w:szCs w:val="28"/>
        </w:rPr>
        <w:t>2</w:t>
      </w:r>
      <w:r w:rsidRPr="00B4160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Динамика финансовых показателей</w:t>
      </w:r>
      <w:r w:rsidRPr="00B41605">
        <w:rPr>
          <w:rFonts w:ascii="Times New Roman" w:hAnsi="Times New Roman" w:cs="Times New Roman"/>
          <w:color w:val="000000"/>
          <w:sz w:val="28"/>
          <w:szCs w:val="28"/>
        </w:rPr>
        <w:t xml:space="preserve"> Пенсионного фонда в </w:t>
      </w:r>
      <w:r w:rsidRPr="00B41605">
        <w:rPr>
          <w:rFonts w:ascii="Times New Roman" w:hAnsi="Times New Roman" w:cs="Times New Roman"/>
          <w:color w:val="000000"/>
          <w:sz w:val="28"/>
          <w:szCs w:val="28"/>
        </w:rPr>
        <w:br/>
        <w:t>Республике Коми за 2010-201</w:t>
      </w:r>
      <w:r>
        <w:rPr>
          <w:rFonts w:ascii="Times New Roman" w:hAnsi="Times New Roman" w:cs="Times New Roman"/>
          <w:color w:val="000000"/>
          <w:sz w:val="28"/>
          <w:szCs w:val="28"/>
        </w:rPr>
        <w:t>6</w:t>
      </w:r>
      <w:r w:rsidRPr="00B41605">
        <w:rPr>
          <w:rFonts w:ascii="Times New Roman" w:hAnsi="Times New Roman" w:cs="Times New Roman"/>
          <w:color w:val="000000"/>
          <w:sz w:val="28"/>
          <w:szCs w:val="28"/>
        </w:rPr>
        <w:t xml:space="preserve"> гг.</w:t>
      </w:r>
    </w:p>
    <w:p w:rsidR="00FE6031" w:rsidRDefault="00FE6031" w:rsidP="00870A98">
      <w:pPr>
        <w:shd w:val="clear" w:color="auto" w:fill="FFFFFF"/>
        <w:spacing w:line="360" w:lineRule="auto"/>
        <w:ind w:left="0" w:firstLine="709"/>
        <w:jc w:val="both"/>
        <w:rPr>
          <w:rStyle w:val="blk"/>
          <w:rFonts w:ascii="Times New Roman" w:hAnsi="Times New Roman" w:cs="Times New Roman"/>
          <w:sz w:val="24"/>
          <w:szCs w:val="24"/>
        </w:rPr>
      </w:pPr>
    </w:p>
    <w:p w:rsidR="00870A98" w:rsidRPr="005D5F07" w:rsidRDefault="00870A98" w:rsidP="00870A98">
      <w:pPr>
        <w:shd w:val="clear" w:color="auto" w:fill="FFFFFF"/>
        <w:spacing w:line="360" w:lineRule="auto"/>
        <w:ind w:left="0" w:firstLine="709"/>
        <w:jc w:val="both"/>
        <w:rPr>
          <w:rStyle w:val="blk"/>
          <w:rFonts w:ascii="Times New Roman" w:hAnsi="Times New Roman" w:cs="Times New Roman"/>
          <w:color w:val="FF0000"/>
          <w:sz w:val="24"/>
          <w:szCs w:val="24"/>
        </w:rPr>
      </w:pPr>
      <w:r w:rsidRPr="005D5F07">
        <w:rPr>
          <w:rStyle w:val="blk"/>
          <w:rFonts w:ascii="Times New Roman" w:hAnsi="Times New Roman" w:cs="Times New Roman"/>
          <w:sz w:val="24"/>
          <w:szCs w:val="24"/>
        </w:rPr>
        <w:t>Реализация комплексных задач, направленных на соблюдение балансовых принципов формирования и использования пенсионных фондов, как в целом России, так и её территор</w:t>
      </w:r>
      <w:r w:rsidRPr="005D5F07">
        <w:rPr>
          <w:rStyle w:val="blk"/>
          <w:rFonts w:ascii="Times New Roman" w:hAnsi="Times New Roman" w:cs="Times New Roman"/>
          <w:sz w:val="24"/>
          <w:szCs w:val="24"/>
        </w:rPr>
        <w:t>и</w:t>
      </w:r>
      <w:r w:rsidRPr="005D5F07">
        <w:rPr>
          <w:rStyle w:val="blk"/>
          <w:rFonts w:ascii="Times New Roman" w:hAnsi="Times New Roman" w:cs="Times New Roman"/>
          <w:sz w:val="24"/>
          <w:szCs w:val="24"/>
        </w:rPr>
        <w:t xml:space="preserve">альных обособленных подразделений, уменьшение зависимости от бюджетных дотаций и субвенций в будущем при учете возрастающих проблем в области демографии, как и прежде, будет важнейшей задачей </w:t>
      </w:r>
      <w:r w:rsidRPr="005D5F07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F13777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5D5F07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  <w:r w:rsidRPr="005D5F07">
        <w:rPr>
          <w:rStyle w:val="blk"/>
          <w:rFonts w:ascii="Times New Roman" w:hAnsi="Times New Roman" w:cs="Times New Roman"/>
          <w:sz w:val="24"/>
          <w:szCs w:val="24"/>
        </w:rPr>
        <w:t>.</w:t>
      </w:r>
      <w:bookmarkStart w:id="0" w:name="dst104392"/>
      <w:bookmarkEnd w:id="0"/>
      <w:r w:rsidRPr="005D5F07">
        <w:rPr>
          <w:rStyle w:val="blk"/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870A98" w:rsidRPr="005D5F07" w:rsidRDefault="00870A98" w:rsidP="00870A98">
      <w:pPr>
        <w:spacing w:line="360" w:lineRule="auto"/>
        <w:ind w:left="0" w:firstLine="709"/>
        <w:jc w:val="both"/>
        <w:rPr>
          <w:rFonts w:ascii="Times New Roman" w:eastAsia="Calibri" w:hAnsi="Times New Roman" w:cs="Times New Roman"/>
          <w:color w:val="00B050"/>
          <w:sz w:val="24"/>
          <w:szCs w:val="24"/>
        </w:rPr>
      </w:pPr>
      <w:r w:rsidRPr="005D5F07">
        <w:rPr>
          <w:rFonts w:ascii="Times New Roman" w:eastAsia="Calibri" w:hAnsi="Times New Roman" w:cs="Times New Roman"/>
          <w:sz w:val="24"/>
          <w:szCs w:val="24"/>
        </w:rPr>
        <w:t>Общая сумма доходов Пенсионного фонда Республики Коми без учета межбюдже</w:t>
      </w:r>
      <w:r w:rsidRPr="005D5F07">
        <w:rPr>
          <w:rFonts w:ascii="Times New Roman" w:eastAsia="Calibri" w:hAnsi="Times New Roman" w:cs="Times New Roman"/>
          <w:sz w:val="24"/>
          <w:szCs w:val="24"/>
        </w:rPr>
        <w:t>т</w:t>
      </w:r>
      <w:r w:rsidRPr="005D5F07">
        <w:rPr>
          <w:rFonts w:ascii="Times New Roman" w:eastAsia="Calibri" w:hAnsi="Times New Roman" w:cs="Times New Roman"/>
          <w:sz w:val="24"/>
          <w:szCs w:val="24"/>
        </w:rPr>
        <w:t>ных трансфертов в 2016 г. составляла 31 млрд руб. В структуре поступлений без учета ме</w:t>
      </w:r>
      <w:r w:rsidRPr="005D5F07">
        <w:rPr>
          <w:rFonts w:ascii="Times New Roman" w:eastAsia="Calibri" w:hAnsi="Times New Roman" w:cs="Times New Roman"/>
          <w:sz w:val="24"/>
          <w:szCs w:val="24"/>
        </w:rPr>
        <w:t>ж</w:t>
      </w:r>
      <w:r w:rsidRPr="005D5F07">
        <w:rPr>
          <w:rFonts w:ascii="Times New Roman" w:eastAsia="Calibri" w:hAnsi="Times New Roman" w:cs="Times New Roman"/>
          <w:sz w:val="24"/>
          <w:szCs w:val="24"/>
        </w:rPr>
        <w:t>бюджетных трансфертов наибольший удельный вес приходится на страховые взносы, вел</w:t>
      </w:r>
      <w:r w:rsidRPr="005D5F07">
        <w:rPr>
          <w:rFonts w:ascii="Times New Roman" w:eastAsia="Calibri" w:hAnsi="Times New Roman" w:cs="Times New Roman"/>
          <w:sz w:val="24"/>
          <w:szCs w:val="24"/>
        </w:rPr>
        <w:t>и</w:t>
      </w:r>
      <w:r w:rsidRPr="005D5F07">
        <w:rPr>
          <w:rFonts w:ascii="Times New Roman" w:eastAsia="Calibri" w:hAnsi="Times New Roman" w:cs="Times New Roman"/>
          <w:sz w:val="24"/>
          <w:szCs w:val="24"/>
        </w:rPr>
        <w:t>чина которых увеличилась с 54,4% в 2010 г. до 99,8% в 2016 г. (табл. 1).</w:t>
      </w:r>
      <w:r w:rsidRPr="005D5F07">
        <w:rPr>
          <w:rFonts w:ascii="Times New Roman" w:eastAsia="Calibri" w:hAnsi="Times New Roman" w:cs="Times New Roman"/>
          <w:color w:val="00B050"/>
          <w:sz w:val="24"/>
          <w:szCs w:val="24"/>
        </w:rPr>
        <w:t xml:space="preserve"> </w:t>
      </w:r>
    </w:p>
    <w:p w:rsidR="00870A98" w:rsidRPr="00BD4950" w:rsidRDefault="00870A98" w:rsidP="00870A98">
      <w:pPr>
        <w:ind w:left="0" w:firstLine="709"/>
        <w:jc w:val="both"/>
        <w:rPr>
          <w:rFonts w:ascii="Arial" w:eastAsia="Times New Roman" w:hAnsi="Arial" w:cs="Arial"/>
          <w:color w:val="333333"/>
          <w:sz w:val="15"/>
          <w:szCs w:val="15"/>
          <w:lang w:eastAsia="ru-RU"/>
        </w:rPr>
      </w:pPr>
    </w:p>
    <w:p w:rsidR="00870A98" w:rsidRPr="005D5F07" w:rsidRDefault="00870A98" w:rsidP="00870A98">
      <w:pPr>
        <w:pStyle w:val="a3"/>
        <w:spacing w:before="0" w:beforeAutospacing="0" w:after="0" w:afterAutospacing="0"/>
        <w:jc w:val="right"/>
      </w:pPr>
      <w:r w:rsidRPr="005D5F07">
        <w:t>Таблица 1</w:t>
      </w:r>
    </w:p>
    <w:p w:rsidR="00870A98" w:rsidRPr="005D5F07" w:rsidRDefault="00870A98" w:rsidP="00870A98">
      <w:pPr>
        <w:autoSpaceDE w:val="0"/>
        <w:autoSpaceDN w:val="0"/>
        <w:adjustRightInd w:val="0"/>
        <w:ind w:left="0" w:firstLine="0"/>
        <w:jc w:val="center"/>
        <w:rPr>
          <w:rFonts w:ascii="Times New Roman" w:eastAsia="Calibri" w:hAnsi="Times New Roman" w:cs="Times New Roman"/>
          <w:color w:val="231F20"/>
          <w:sz w:val="24"/>
          <w:szCs w:val="24"/>
        </w:rPr>
      </w:pPr>
      <w:r w:rsidRPr="005D5F07">
        <w:rPr>
          <w:rFonts w:ascii="Times New Roman" w:eastAsia="Calibri" w:hAnsi="Times New Roman" w:cs="Times New Roman"/>
          <w:color w:val="000000"/>
          <w:sz w:val="24"/>
          <w:szCs w:val="24"/>
        </w:rPr>
        <w:lastRenderedPageBreak/>
        <w:t xml:space="preserve">Структура поступления средств в Пенсионный фонд </w:t>
      </w:r>
      <w:r w:rsidRPr="005D5F07">
        <w:rPr>
          <w:rFonts w:ascii="Times New Roman" w:eastAsia="Calibri" w:hAnsi="Times New Roman" w:cs="Times New Roman"/>
          <w:color w:val="000000"/>
          <w:sz w:val="24"/>
          <w:szCs w:val="24"/>
        </w:rPr>
        <w:br/>
        <w:t xml:space="preserve">Республики Коми за 2010-2016 гг. без учёта межбюджетных </w:t>
      </w:r>
      <w:r w:rsidRPr="005D5F07">
        <w:rPr>
          <w:rFonts w:ascii="Times New Roman" w:eastAsia="Calibri" w:hAnsi="Times New Roman" w:cs="Times New Roman"/>
          <w:color w:val="000000"/>
          <w:sz w:val="24"/>
          <w:szCs w:val="24"/>
        </w:rPr>
        <w:br/>
        <w:t>трансфертов (в %)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070"/>
        <w:gridCol w:w="668"/>
        <w:gridCol w:w="668"/>
        <w:gridCol w:w="668"/>
        <w:gridCol w:w="668"/>
        <w:gridCol w:w="668"/>
        <w:gridCol w:w="668"/>
        <w:gridCol w:w="669"/>
      </w:tblGrid>
      <w:tr w:rsidR="005D5F07" w:rsidRPr="005D5F07" w:rsidTr="005D5F07">
        <w:tc>
          <w:tcPr>
            <w:tcW w:w="5070" w:type="dxa"/>
          </w:tcPr>
          <w:p w:rsidR="00870A98" w:rsidRPr="005D5F07" w:rsidRDefault="00870A98" w:rsidP="00E5046B">
            <w:pPr>
              <w:ind w:left="0" w:firstLine="0"/>
              <w:jc w:val="both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668" w:type="dxa"/>
          </w:tcPr>
          <w:p w:rsidR="00870A98" w:rsidRPr="005D5F07" w:rsidRDefault="00870A98" w:rsidP="005D5F07">
            <w:pPr>
              <w:ind w:left="-57" w:firstLine="0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2010</w:t>
            </w:r>
          </w:p>
        </w:tc>
        <w:tc>
          <w:tcPr>
            <w:tcW w:w="668" w:type="dxa"/>
          </w:tcPr>
          <w:p w:rsidR="00870A98" w:rsidRPr="005D5F07" w:rsidRDefault="00870A98" w:rsidP="005D5F07">
            <w:pPr>
              <w:ind w:left="-57" w:firstLine="0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2011</w:t>
            </w:r>
          </w:p>
        </w:tc>
        <w:tc>
          <w:tcPr>
            <w:tcW w:w="668" w:type="dxa"/>
          </w:tcPr>
          <w:p w:rsidR="00870A98" w:rsidRPr="005D5F07" w:rsidRDefault="00870A98" w:rsidP="005D5F07">
            <w:pPr>
              <w:ind w:left="-57" w:firstLine="0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2012</w:t>
            </w:r>
          </w:p>
        </w:tc>
        <w:tc>
          <w:tcPr>
            <w:tcW w:w="668" w:type="dxa"/>
          </w:tcPr>
          <w:p w:rsidR="00870A98" w:rsidRPr="005D5F07" w:rsidRDefault="00870A98" w:rsidP="005D5F07">
            <w:pPr>
              <w:ind w:left="-57" w:firstLine="0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2013</w:t>
            </w:r>
          </w:p>
        </w:tc>
        <w:tc>
          <w:tcPr>
            <w:tcW w:w="668" w:type="dxa"/>
          </w:tcPr>
          <w:p w:rsidR="00870A98" w:rsidRPr="005D5F07" w:rsidRDefault="00870A98" w:rsidP="005D5F07">
            <w:pPr>
              <w:ind w:left="-57" w:firstLine="0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2014</w:t>
            </w:r>
          </w:p>
        </w:tc>
        <w:tc>
          <w:tcPr>
            <w:tcW w:w="668" w:type="dxa"/>
          </w:tcPr>
          <w:p w:rsidR="00870A98" w:rsidRPr="005D5F07" w:rsidRDefault="00870A98" w:rsidP="005D5F07">
            <w:pPr>
              <w:ind w:left="-57" w:firstLine="0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2015</w:t>
            </w:r>
          </w:p>
        </w:tc>
        <w:tc>
          <w:tcPr>
            <w:tcW w:w="669" w:type="dxa"/>
          </w:tcPr>
          <w:p w:rsidR="00870A98" w:rsidRPr="005D5F07" w:rsidRDefault="00870A98" w:rsidP="005D5F07">
            <w:pPr>
              <w:ind w:left="-57" w:firstLine="0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5D5F07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en-US"/>
              </w:rPr>
              <w:t>2016</w:t>
            </w:r>
          </w:p>
        </w:tc>
      </w:tr>
      <w:tr w:rsidR="005D5F07" w:rsidRPr="005D5F07" w:rsidTr="005D5F07">
        <w:tc>
          <w:tcPr>
            <w:tcW w:w="5070" w:type="dxa"/>
          </w:tcPr>
          <w:p w:rsidR="00870A98" w:rsidRPr="005D5F07" w:rsidRDefault="00870A98" w:rsidP="00E5046B">
            <w:pPr>
              <w:ind w:left="0" w:firstLine="0"/>
              <w:jc w:val="both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Поступило средств - всего</w:t>
            </w:r>
          </w:p>
        </w:tc>
        <w:tc>
          <w:tcPr>
            <w:tcW w:w="668" w:type="dxa"/>
          </w:tcPr>
          <w:p w:rsidR="00870A98" w:rsidRPr="005D5F07" w:rsidRDefault="00870A98" w:rsidP="00E5046B">
            <w:pPr>
              <w:ind w:left="0" w:right="57" w:firstLine="0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100</w:t>
            </w:r>
          </w:p>
        </w:tc>
        <w:tc>
          <w:tcPr>
            <w:tcW w:w="668" w:type="dxa"/>
          </w:tcPr>
          <w:p w:rsidR="00870A98" w:rsidRPr="005D5F07" w:rsidRDefault="00870A98" w:rsidP="00E5046B">
            <w:pPr>
              <w:ind w:left="0" w:right="57" w:firstLine="0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100</w:t>
            </w:r>
          </w:p>
        </w:tc>
        <w:tc>
          <w:tcPr>
            <w:tcW w:w="668" w:type="dxa"/>
          </w:tcPr>
          <w:p w:rsidR="00870A98" w:rsidRPr="005D5F07" w:rsidRDefault="00870A98" w:rsidP="00E5046B">
            <w:pPr>
              <w:ind w:left="0" w:right="57" w:firstLine="0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100</w:t>
            </w:r>
          </w:p>
        </w:tc>
        <w:tc>
          <w:tcPr>
            <w:tcW w:w="668" w:type="dxa"/>
          </w:tcPr>
          <w:p w:rsidR="00870A98" w:rsidRPr="005D5F07" w:rsidRDefault="00870A98" w:rsidP="00E5046B">
            <w:pPr>
              <w:ind w:left="0" w:right="57" w:firstLine="0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100</w:t>
            </w:r>
          </w:p>
        </w:tc>
        <w:tc>
          <w:tcPr>
            <w:tcW w:w="668" w:type="dxa"/>
          </w:tcPr>
          <w:p w:rsidR="00870A98" w:rsidRPr="005D5F07" w:rsidRDefault="00870A98" w:rsidP="00E5046B">
            <w:pPr>
              <w:ind w:left="0" w:right="57" w:firstLine="0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100</w:t>
            </w:r>
          </w:p>
        </w:tc>
        <w:tc>
          <w:tcPr>
            <w:tcW w:w="668" w:type="dxa"/>
          </w:tcPr>
          <w:p w:rsidR="00870A98" w:rsidRPr="005D5F07" w:rsidRDefault="00870A98" w:rsidP="00E5046B">
            <w:pPr>
              <w:ind w:left="0" w:right="57" w:firstLine="0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100</w:t>
            </w:r>
          </w:p>
        </w:tc>
        <w:tc>
          <w:tcPr>
            <w:tcW w:w="669" w:type="dxa"/>
          </w:tcPr>
          <w:p w:rsidR="00870A98" w:rsidRPr="005D5F07" w:rsidRDefault="00870A98" w:rsidP="00E5046B">
            <w:pPr>
              <w:ind w:left="0" w:right="57" w:firstLine="0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  <w:lang w:val="en-US"/>
              </w:rPr>
            </w:pPr>
            <w:r w:rsidRPr="005D5F07"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  <w:lang w:val="en-US"/>
              </w:rPr>
              <w:t>100</w:t>
            </w:r>
          </w:p>
        </w:tc>
      </w:tr>
      <w:tr w:rsidR="005D5F07" w:rsidRPr="005D5F07" w:rsidTr="005D5F07">
        <w:tc>
          <w:tcPr>
            <w:tcW w:w="5070" w:type="dxa"/>
          </w:tcPr>
          <w:p w:rsidR="00870A98" w:rsidRPr="005D5F07" w:rsidRDefault="00870A98" w:rsidP="00E5046B">
            <w:pPr>
              <w:ind w:left="0" w:firstLine="284"/>
              <w:jc w:val="both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том числе:</w:t>
            </w:r>
          </w:p>
        </w:tc>
        <w:tc>
          <w:tcPr>
            <w:tcW w:w="668" w:type="dxa"/>
          </w:tcPr>
          <w:p w:rsidR="00870A98" w:rsidRPr="005D5F07" w:rsidRDefault="00870A98" w:rsidP="00E5046B">
            <w:pPr>
              <w:ind w:left="0" w:right="57" w:firstLine="0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668" w:type="dxa"/>
          </w:tcPr>
          <w:p w:rsidR="00870A98" w:rsidRPr="005D5F07" w:rsidRDefault="00870A98" w:rsidP="00E5046B">
            <w:pPr>
              <w:ind w:left="0" w:right="57" w:firstLine="0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668" w:type="dxa"/>
          </w:tcPr>
          <w:p w:rsidR="00870A98" w:rsidRPr="005D5F07" w:rsidRDefault="00870A98" w:rsidP="00E5046B">
            <w:pPr>
              <w:ind w:left="0" w:right="57" w:firstLine="0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668" w:type="dxa"/>
          </w:tcPr>
          <w:p w:rsidR="00870A98" w:rsidRPr="005D5F07" w:rsidRDefault="00870A98" w:rsidP="00E5046B">
            <w:pPr>
              <w:ind w:left="0" w:right="57" w:firstLine="0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668" w:type="dxa"/>
          </w:tcPr>
          <w:p w:rsidR="00870A98" w:rsidRPr="005D5F07" w:rsidRDefault="00870A98" w:rsidP="00E5046B">
            <w:pPr>
              <w:ind w:left="0" w:right="57" w:firstLine="0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668" w:type="dxa"/>
          </w:tcPr>
          <w:p w:rsidR="00870A98" w:rsidRPr="005D5F07" w:rsidRDefault="00870A98" w:rsidP="00E5046B">
            <w:pPr>
              <w:ind w:left="0" w:right="57" w:firstLine="0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669" w:type="dxa"/>
          </w:tcPr>
          <w:p w:rsidR="00870A98" w:rsidRPr="005D5F07" w:rsidRDefault="00870A98" w:rsidP="00E5046B">
            <w:pPr>
              <w:ind w:left="0" w:right="57" w:firstLine="0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5D5F07" w:rsidRPr="005D5F07" w:rsidTr="005D5F07">
        <w:tc>
          <w:tcPr>
            <w:tcW w:w="5070" w:type="dxa"/>
          </w:tcPr>
          <w:p w:rsidR="00870A98" w:rsidRPr="005D5F07" w:rsidRDefault="00870A98" w:rsidP="00E5046B">
            <w:pPr>
              <w:ind w:left="142" w:firstLine="0"/>
              <w:jc w:val="lef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страховые взносы для финансирования </w:t>
            </w:r>
            <w:r w:rsidR="005D5F07">
              <w:rPr>
                <w:rFonts w:ascii="Times New Roman" w:eastAsia="Calibri" w:hAnsi="Times New Roman" w:cs="Times New Roman"/>
                <w:sz w:val="24"/>
                <w:szCs w:val="24"/>
              </w:rPr>
              <w:br/>
            </w: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>страховой пенсии</w:t>
            </w:r>
          </w:p>
        </w:tc>
        <w:tc>
          <w:tcPr>
            <w:tcW w:w="668" w:type="dxa"/>
            <w:vAlign w:val="bottom"/>
          </w:tcPr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>54,4</w:t>
            </w:r>
          </w:p>
        </w:tc>
        <w:tc>
          <w:tcPr>
            <w:tcW w:w="668" w:type="dxa"/>
            <w:vAlign w:val="bottom"/>
          </w:tcPr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>62,2</w:t>
            </w:r>
          </w:p>
        </w:tc>
        <w:tc>
          <w:tcPr>
            <w:tcW w:w="668" w:type="dxa"/>
            <w:vAlign w:val="bottom"/>
          </w:tcPr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>59,9</w:t>
            </w:r>
          </w:p>
        </w:tc>
        <w:tc>
          <w:tcPr>
            <w:tcW w:w="668" w:type="dxa"/>
            <w:vAlign w:val="bottom"/>
          </w:tcPr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>68,6</w:t>
            </w:r>
          </w:p>
        </w:tc>
        <w:tc>
          <w:tcPr>
            <w:tcW w:w="668" w:type="dxa"/>
            <w:vAlign w:val="bottom"/>
          </w:tcPr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>97,0</w:t>
            </w:r>
          </w:p>
        </w:tc>
        <w:tc>
          <w:tcPr>
            <w:tcW w:w="668" w:type="dxa"/>
            <w:vAlign w:val="bottom"/>
          </w:tcPr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>98,2</w:t>
            </w:r>
          </w:p>
        </w:tc>
        <w:tc>
          <w:tcPr>
            <w:tcW w:w="669" w:type="dxa"/>
          </w:tcPr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>98,4</w:t>
            </w:r>
          </w:p>
        </w:tc>
      </w:tr>
      <w:tr w:rsidR="005D5F07" w:rsidRPr="005D5F07" w:rsidTr="005D5F07">
        <w:tc>
          <w:tcPr>
            <w:tcW w:w="5070" w:type="dxa"/>
          </w:tcPr>
          <w:p w:rsidR="00870A98" w:rsidRPr="005D5F07" w:rsidRDefault="00870A98" w:rsidP="00E5046B">
            <w:pPr>
              <w:ind w:left="142" w:firstLine="0"/>
              <w:jc w:val="lef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страховые взносы для финансирования </w:t>
            </w: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br/>
              <w:t>накопительной пенсии</w:t>
            </w:r>
          </w:p>
        </w:tc>
        <w:tc>
          <w:tcPr>
            <w:tcW w:w="668" w:type="dxa"/>
            <w:vAlign w:val="bottom"/>
          </w:tcPr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>11,5</w:t>
            </w:r>
          </w:p>
        </w:tc>
        <w:tc>
          <w:tcPr>
            <w:tcW w:w="668" w:type="dxa"/>
            <w:vAlign w:val="bottom"/>
          </w:tcPr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>9,8</w:t>
            </w:r>
          </w:p>
        </w:tc>
        <w:tc>
          <w:tcPr>
            <w:tcW w:w="668" w:type="dxa"/>
            <w:vAlign w:val="bottom"/>
          </w:tcPr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>10,6</w:t>
            </w:r>
          </w:p>
        </w:tc>
        <w:tc>
          <w:tcPr>
            <w:tcW w:w="668" w:type="dxa"/>
            <w:vAlign w:val="bottom"/>
          </w:tcPr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>12,2</w:t>
            </w:r>
          </w:p>
        </w:tc>
        <w:tc>
          <w:tcPr>
            <w:tcW w:w="668" w:type="dxa"/>
            <w:vAlign w:val="bottom"/>
          </w:tcPr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>0,9</w:t>
            </w:r>
          </w:p>
        </w:tc>
        <w:tc>
          <w:tcPr>
            <w:tcW w:w="668" w:type="dxa"/>
            <w:vAlign w:val="bottom"/>
          </w:tcPr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669" w:type="dxa"/>
          </w:tcPr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>0,0</w:t>
            </w:r>
          </w:p>
        </w:tc>
      </w:tr>
      <w:tr w:rsidR="005D5F07" w:rsidRPr="005D5F07" w:rsidTr="005D5F07">
        <w:tc>
          <w:tcPr>
            <w:tcW w:w="5070" w:type="dxa"/>
          </w:tcPr>
          <w:p w:rsidR="00870A98" w:rsidRPr="005D5F07" w:rsidRDefault="00870A98" w:rsidP="00E5046B">
            <w:pPr>
              <w:ind w:left="142" w:firstLine="0"/>
              <w:jc w:val="lef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средства федерального бюджета, </w:t>
            </w: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br/>
              <w:t xml:space="preserve">передаваемые бюджету Пенсионного </w:t>
            </w: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br/>
              <w:t>фонда Российской Федерации</w:t>
            </w:r>
          </w:p>
        </w:tc>
        <w:tc>
          <w:tcPr>
            <w:tcW w:w="668" w:type="dxa"/>
            <w:vAlign w:val="bottom"/>
          </w:tcPr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>32,6</w:t>
            </w:r>
          </w:p>
        </w:tc>
        <w:tc>
          <w:tcPr>
            <w:tcW w:w="668" w:type="dxa"/>
            <w:vAlign w:val="bottom"/>
          </w:tcPr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>26,9</w:t>
            </w:r>
          </w:p>
        </w:tc>
        <w:tc>
          <w:tcPr>
            <w:tcW w:w="668" w:type="dxa"/>
            <w:vAlign w:val="bottom"/>
          </w:tcPr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>28,4</w:t>
            </w:r>
          </w:p>
        </w:tc>
        <w:tc>
          <w:tcPr>
            <w:tcW w:w="668" w:type="dxa"/>
            <w:vAlign w:val="bottom"/>
          </w:tcPr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>17,7</w:t>
            </w:r>
          </w:p>
        </w:tc>
        <w:tc>
          <w:tcPr>
            <w:tcW w:w="668" w:type="dxa"/>
            <w:vAlign w:val="bottom"/>
          </w:tcPr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>0,1</w:t>
            </w:r>
          </w:p>
        </w:tc>
        <w:tc>
          <w:tcPr>
            <w:tcW w:w="668" w:type="dxa"/>
            <w:vAlign w:val="bottom"/>
          </w:tcPr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>0,1</w:t>
            </w:r>
          </w:p>
        </w:tc>
        <w:tc>
          <w:tcPr>
            <w:tcW w:w="669" w:type="dxa"/>
          </w:tcPr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>0,1</w:t>
            </w:r>
          </w:p>
        </w:tc>
      </w:tr>
      <w:tr w:rsidR="005D5F07" w:rsidRPr="005D5F07" w:rsidTr="005D5F07">
        <w:tc>
          <w:tcPr>
            <w:tcW w:w="5070" w:type="dxa"/>
            <w:vAlign w:val="bottom"/>
          </w:tcPr>
          <w:p w:rsidR="00870A98" w:rsidRPr="005D5F07" w:rsidRDefault="00870A98" w:rsidP="00E5046B">
            <w:pPr>
              <w:ind w:left="142" w:firstLine="0"/>
              <w:jc w:val="lef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прочее </w:t>
            </w:r>
          </w:p>
        </w:tc>
        <w:tc>
          <w:tcPr>
            <w:tcW w:w="668" w:type="dxa"/>
            <w:vAlign w:val="bottom"/>
          </w:tcPr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668" w:type="dxa"/>
            <w:vAlign w:val="bottom"/>
          </w:tcPr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>1,1</w:t>
            </w:r>
          </w:p>
        </w:tc>
        <w:tc>
          <w:tcPr>
            <w:tcW w:w="668" w:type="dxa"/>
            <w:vAlign w:val="bottom"/>
          </w:tcPr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668" w:type="dxa"/>
            <w:vAlign w:val="bottom"/>
          </w:tcPr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668" w:type="dxa"/>
            <w:vAlign w:val="bottom"/>
          </w:tcPr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>2,1</w:t>
            </w:r>
          </w:p>
        </w:tc>
        <w:tc>
          <w:tcPr>
            <w:tcW w:w="668" w:type="dxa"/>
            <w:vAlign w:val="bottom"/>
          </w:tcPr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>1,6</w:t>
            </w:r>
          </w:p>
        </w:tc>
        <w:tc>
          <w:tcPr>
            <w:tcW w:w="669" w:type="dxa"/>
          </w:tcPr>
          <w:p w:rsidR="00870A98" w:rsidRPr="005D5F07" w:rsidRDefault="00870A98" w:rsidP="00E5046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D5F07">
              <w:rPr>
                <w:rFonts w:ascii="Times New Roman" w:eastAsia="Calibri" w:hAnsi="Times New Roman" w:cs="Times New Roman"/>
                <w:sz w:val="24"/>
                <w:szCs w:val="24"/>
              </w:rPr>
              <w:t>1,4</w:t>
            </w:r>
          </w:p>
        </w:tc>
      </w:tr>
    </w:tbl>
    <w:p w:rsidR="00870A98" w:rsidRPr="005D5F07" w:rsidRDefault="00870A98" w:rsidP="00870A98">
      <w:pPr>
        <w:ind w:left="0"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870A98" w:rsidRPr="00A74CDC" w:rsidRDefault="00870A98" w:rsidP="00870A98">
      <w:pPr>
        <w:ind w:left="0" w:firstLine="709"/>
        <w:jc w:val="both"/>
        <w:rPr>
          <w:rFonts w:ascii="Arial" w:eastAsia="Times New Roman" w:hAnsi="Arial" w:cs="Arial"/>
          <w:color w:val="333333"/>
          <w:sz w:val="15"/>
          <w:szCs w:val="15"/>
          <w:lang w:eastAsia="ru-RU"/>
        </w:rPr>
      </w:pPr>
    </w:p>
    <w:p w:rsidR="00B21EAA" w:rsidRPr="005D5F07" w:rsidRDefault="00B21EAA" w:rsidP="00B21EAA">
      <w:pPr>
        <w:shd w:val="clear" w:color="auto" w:fill="FFFFFF"/>
        <w:spacing w:line="360" w:lineRule="auto"/>
        <w:ind w:left="0" w:firstLine="709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5D5F07">
        <w:rPr>
          <w:rFonts w:ascii="Times New Roman" w:hAnsi="Times New Roman" w:cs="Times New Roman"/>
          <w:sz w:val="24"/>
          <w:szCs w:val="24"/>
        </w:rPr>
        <w:t>На сегодняшний день образовалась международная классификация пенсионных си</w:t>
      </w:r>
      <w:r w:rsidRPr="005D5F07">
        <w:rPr>
          <w:rFonts w:ascii="Times New Roman" w:hAnsi="Times New Roman" w:cs="Times New Roman"/>
          <w:sz w:val="24"/>
          <w:szCs w:val="24"/>
        </w:rPr>
        <w:t>с</w:t>
      </w:r>
      <w:r w:rsidRPr="005D5F07">
        <w:rPr>
          <w:rFonts w:ascii="Times New Roman" w:hAnsi="Times New Roman" w:cs="Times New Roman"/>
          <w:sz w:val="24"/>
          <w:szCs w:val="24"/>
        </w:rPr>
        <w:t>тем, которая подразделяется на два типа: распределительная, где формирование текущих пенсионных выплат происходит за счёт пенсионных отчислений и накопительная (обяз</w:t>
      </w:r>
      <w:r w:rsidRPr="005D5F07">
        <w:rPr>
          <w:rFonts w:ascii="Times New Roman" w:hAnsi="Times New Roman" w:cs="Times New Roman"/>
          <w:sz w:val="24"/>
          <w:szCs w:val="24"/>
        </w:rPr>
        <w:t>а</w:t>
      </w:r>
      <w:r w:rsidRPr="005D5F07">
        <w:rPr>
          <w:rFonts w:ascii="Times New Roman" w:hAnsi="Times New Roman" w:cs="Times New Roman"/>
          <w:sz w:val="24"/>
          <w:szCs w:val="24"/>
        </w:rPr>
        <w:t>тельная и/или добровольная), в которой пенсионные отчисления аккумулируются на спец</w:t>
      </w:r>
      <w:r w:rsidRPr="005D5F07">
        <w:rPr>
          <w:rFonts w:ascii="Times New Roman" w:hAnsi="Times New Roman" w:cs="Times New Roman"/>
          <w:sz w:val="24"/>
          <w:szCs w:val="24"/>
        </w:rPr>
        <w:t>и</w:t>
      </w:r>
      <w:r w:rsidRPr="005D5F07">
        <w:rPr>
          <w:rFonts w:ascii="Times New Roman" w:hAnsi="Times New Roman" w:cs="Times New Roman"/>
          <w:sz w:val="24"/>
          <w:szCs w:val="24"/>
        </w:rPr>
        <w:t>альных личных счетах и направляются на финансовые рынки, после финансовых операций на которых полученный инвестиционный доход дополняет основную пенсию. [</w:t>
      </w:r>
      <w:r w:rsidR="00F13777">
        <w:rPr>
          <w:rFonts w:ascii="Times New Roman" w:hAnsi="Times New Roman" w:cs="Times New Roman"/>
          <w:sz w:val="24"/>
          <w:szCs w:val="24"/>
        </w:rPr>
        <w:t>5,</w:t>
      </w:r>
      <w:r w:rsidRPr="005D5F07">
        <w:rPr>
          <w:rFonts w:ascii="Times New Roman" w:hAnsi="Times New Roman" w:cs="Times New Roman"/>
          <w:sz w:val="24"/>
          <w:szCs w:val="24"/>
        </w:rPr>
        <w:t xml:space="preserve"> </w:t>
      </w:r>
      <w:r w:rsidRPr="00F13777">
        <w:rPr>
          <w:rFonts w:ascii="Times New Roman" w:hAnsi="Times New Roman" w:cs="Times New Roman"/>
          <w:sz w:val="24"/>
          <w:szCs w:val="24"/>
        </w:rPr>
        <w:t>с. 259</w:t>
      </w:r>
      <w:r w:rsidRPr="005D5F07">
        <w:rPr>
          <w:rFonts w:ascii="Times New Roman" w:hAnsi="Times New Roman" w:cs="Times New Roman"/>
          <w:sz w:val="24"/>
          <w:szCs w:val="24"/>
        </w:rPr>
        <w:t>].</w:t>
      </w:r>
    </w:p>
    <w:p w:rsidR="00B21EAA" w:rsidRPr="00F13777" w:rsidRDefault="00B21EAA" w:rsidP="00B21EAA">
      <w:pPr>
        <w:pStyle w:val="a3"/>
        <w:spacing w:before="0" w:beforeAutospacing="0" w:after="0" w:afterAutospacing="0" w:line="360" w:lineRule="auto"/>
        <w:ind w:firstLine="709"/>
        <w:jc w:val="both"/>
      </w:pPr>
      <w:r w:rsidRPr="005D5F07">
        <w:t>Как показывает мировой опыт, в реальности накопительные или распределительные типы как самостоятельные пенсионные системы существуют редко, так же как и модели, где параллельно функционируют обязательная и добровольная накопительная части. Среди г</w:t>
      </w:r>
      <w:r w:rsidRPr="005D5F07">
        <w:t>о</w:t>
      </w:r>
      <w:r w:rsidRPr="005D5F07">
        <w:t xml:space="preserve">сударств </w:t>
      </w:r>
      <w:r w:rsidRPr="005D5F07">
        <w:rPr>
          <w:bCs/>
          <w:shd w:val="clear" w:color="auto" w:fill="FFFFFF"/>
        </w:rPr>
        <w:t>Организации экономического сотрудничества и развития</w:t>
      </w:r>
      <w:r w:rsidRPr="005D5F07">
        <w:t xml:space="preserve"> исключением является только Норвегия, где такая комбинация под прямым управлением Министерства финансов </w:t>
      </w:r>
      <w:r w:rsidRPr="00F13777">
        <w:t>работает успешно [</w:t>
      </w:r>
      <w:r w:rsidR="00F13777" w:rsidRPr="00F13777">
        <w:t>1,</w:t>
      </w:r>
      <w:r w:rsidRPr="00F13777">
        <w:t xml:space="preserve"> с. 283]. </w:t>
      </w:r>
    </w:p>
    <w:p w:rsidR="00B21EAA" w:rsidRPr="00B21EAA" w:rsidRDefault="00B21EAA" w:rsidP="00B21EAA">
      <w:pPr>
        <w:spacing w:line="360" w:lineRule="auto"/>
        <w:ind w:left="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21EAA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B21EAA">
        <w:rPr>
          <w:rFonts w:ascii="Times New Roman" w:hAnsi="Times New Roman" w:cs="Times New Roman"/>
          <w:sz w:val="24"/>
          <w:szCs w:val="24"/>
        </w:rPr>
        <w:t>В соответствии с</w:t>
      </w:r>
      <w:r w:rsidRPr="00B21EAA">
        <w:rPr>
          <w:rStyle w:val="blk"/>
          <w:rFonts w:ascii="Times New Roman" w:hAnsi="Times New Roman" w:cs="Times New Roman"/>
          <w:sz w:val="24"/>
          <w:szCs w:val="24"/>
        </w:rPr>
        <w:t xml:space="preserve"> законодательными нормами в области пенсионного страхования, которые действуют с 1 января 2015 г., средства федерального бюджета, передаваемые п</w:t>
      </w:r>
      <w:r w:rsidRPr="00B21EAA">
        <w:rPr>
          <w:rStyle w:val="blk"/>
          <w:rFonts w:ascii="Times New Roman" w:hAnsi="Times New Roman" w:cs="Times New Roman"/>
          <w:sz w:val="24"/>
          <w:szCs w:val="24"/>
        </w:rPr>
        <w:t>о</w:t>
      </w:r>
      <w:r w:rsidRPr="00B21EAA">
        <w:rPr>
          <w:rStyle w:val="blk"/>
          <w:rFonts w:ascii="Times New Roman" w:hAnsi="Times New Roman" w:cs="Times New Roman"/>
          <w:sz w:val="24"/>
          <w:szCs w:val="24"/>
        </w:rPr>
        <w:t>средством межбюджетных трансфертов в Пенсионный фонд России на обязательное пенс</w:t>
      </w:r>
      <w:r w:rsidRPr="00B21EAA">
        <w:rPr>
          <w:rStyle w:val="blk"/>
          <w:rFonts w:ascii="Times New Roman" w:hAnsi="Times New Roman" w:cs="Times New Roman"/>
          <w:sz w:val="24"/>
          <w:szCs w:val="24"/>
        </w:rPr>
        <w:t>и</w:t>
      </w:r>
      <w:r w:rsidRPr="00B21EAA">
        <w:rPr>
          <w:rStyle w:val="blk"/>
          <w:rFonts w:ascii="Times New Roman" w:hAnsi="Times New Roman" w:cs="Times New Roman"/>
          <w:sz w:val="24"/>
          <w:szCs w:val="24"/>
        </w:rPr>
        <w:t>онное страхование, должны способствовать сбалансированности пенсионного бюджета. Данный подход не касается финансовых ресурсов накопительной составляющей.</w:t>
      </w:r>
    </w:p>
    <w:p w:rsidR="00A653A2" w:rsidRPr="00D33484" w:rsidRDefault="00C90202" w:rsidP="00554DBF">
      <w:pPr>
        <w:spacing w:line="360" w:lineRule="auto"/>
        <w:ind w:left="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33484">
        <w:rPr>
          <w:rFonts w:ascii="Times New Roman" w:hAnsi="Times New Roman" w:cs="Times New Roman"/>
          <w:color w:val="000000"/>
          <w:sz w:val="24"/>
          <w:szCs w:val="24"/>
        </w:rPr>
        <w:t>В структуре доходов Пенсионного фонда Республики Коми до 2014 г. 10-12% заним</w:t>
      </w:r>
      <w:r w:rsidRPr="00D33484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D33484">
        <w:rPr>
          <w:rFonts w:ascii="Times New Roman" w:hAnsi="Times New Roman" w:cs="Times New Roman"/>
          <w:color w:val="000000"/>
          <w:sz w:val="24"/>
          <w:szCs w:val="24"/>
        </w:rPr>
        <w:t>ли взносы на накопительную часть пенсии. Однако с 1 января 2014 г. Правительство РФ вв</w:t>
      </w:r>
      <w:r w:rsidRPr="00D33484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D33484">
        <w:rPr>
          <w:rFonts w:ascii="Times New Roman" w:hAnsi="Times New Roman" w:cs="Times New Roman"/>
          <w:color w:val="000000"/>
          <w:sz w:val="24"/>
          <w:szCs w:val="24"/>
        </w:rPr>
        <w:t>ло на этот элемент пенсионной системы мораторий, суть которого заключается перераспр</w:t>
      </w:r>
      <w:r w:rsidRPr="00D33484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D33484">
        <w:rPr>
          <w:rFonts w:ascii="Times New Roman" w:hAnsi="Times New Roman" w:cs="Times New Roman"/>
          <w:color w:val="000000"/>
          <w:sz w:val="24"/>
          <w:szCs w:val="24"/>
        </w:rPr>
        <w:t xml:space="preserve">делении накопительной части пенсионных взносов в пользу страховой. </w:t>
      </w:r>
    </w:p>
    <w:p w:rsidR="00C93CF6" w:rsidRPr="00471473" w:rsidRDefault="00C93CF6" w:rsidP="00554DBF">
      <w:pPr>
        <w:shd w:val="clear" w:color="auto" w:fill="FFFFFF"/>
        <w:spacing w:line="360" w:lineRule="auto"/>
        <w:ind w:left="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33484">
        <w:rPr>
          <w:rStyle w:val="blk"/>
          <w:rFonts w:ascii="Times New Roman" w:hAnsi="Times New Roman" w:cs="Times New Roman"/>
          <w:color w:val="000000"/>
          <w:sz w:val="24"/>
          <w:szCs w:val="24"/>
        </w:rPr>
        <w:t>Расходы бюджета Пенсионного фонда Российской Федерации осуществляются на о</w:t>
      </w:r>
      <w:r w:rsidRPr="00D33484">
        <w:rPr>
          <w:rStyle w:val="blk"/>
          <w:rFonts w:ascii="Times New Roman" w:hAnsi="Times New Roman" w:cs="Times New Roman"/>
          <w:color w:val="000000"/>
          <w:sz w:val="24"/>
          <w:szCs w:val="24"/>
        </w:rPr>
        <w:t>с</w:t>
      </w:r>
      <w:r w:rsidRPr="00D33484">
        <w:rPr>
          <w:rStyle w:val="blk"/>
          <w:rFonts w:ascii="Times New Roman" w:hAnsi="Times New Roman" w:cs="Times New Roman"/>
          <w:color w:val="000000"/>
          <w:sz w:val="24"/>
          <w:szCs w:val="24"/>
        </w:rPr>
        <w:t xml:space="preserve">новании данных о численности получателей соответствующих пенсий, а также их размеров. </w:t>
      </w:r>
      <w:r w:rsidRPr="00D33484">
        <w:rPr>
          <w:rStyle w:val="blk"/>
          <w:rFonts w:ascii="Times New Roman" w:hAnsi="Times New Roman" w:cs="Times New Roman"/>
          <w:color w:val="000000"/>
          <w:sz w:val="24"/>
          <w:szCs w:val="24"/>
        </w:rPr>
        <w:lastRenderedPageBreak/>
        <w:t>Расходы на выплату пенсий, финансируемые за счет страховых взносов на страховую пе</w:t>
      </w:r>
      <w:r w:rsidRPr="00D33484">
        <w:rPr>
          <w:rStyle w:val="blk"/>
          <w:rFonts w:ascii="Times New Roman" w:hAnsi="Times New Roman" w:cs="Times New Roman"/>
          <w:color w:val="000000"/>
          <w:sz w:val="24"/>
          <w:szCs w:val="24"/>
        </w:rPr>
        <w:t>н</w:t>
      </w:r>
      <w:r w:rsidRPr="00D33484">
        <w:rPr>
          <w:rStyle w:val="blk"/>
          <w:rFonts w:ascii="Times New Roman" w:hAnsi="Times New Roman" w:cs="Times New Roman"/>
          <w:color w:val="000000"/>
          <w:sz w:val="24"/>
          <w:szCs w:val="24"/>
        </w:rPr>
        <w:t xml:space="preserve">сию, будут определены с учетом реализации положений </w:t>
      </w:r>
      <w:r w:rsidRPr="00471473">
        <w:rPr>
          <w:rStyle w:val="blk"/>
          <w:rFonts w:ascii="Times New Roman" w:hAnsi="Times New Roman" w:cs="Times New Roman"/>
          <w:sz w:val="24"/>
          <w:szCs w:val="24"/>
        </w:rPr>
        <w:t>Федерального</w:t>
      </w:r>
      <w:r w:rsidRPr="00471473">
        <w:rPr>
          <w:rStyle w:val="apple-converted-space"/>
          <w:rFonts w:ascii="Times New Roman" w:hAnsi="Times New Roman" w:cs="Times New Roman"/>
          <w:sz w:val="24"/>
          <w:szCs w:val="24"/>
        </w:rPr>
        <w:t> </w:t>
      </w:r>
      <w:hyperlink r:id="rId11" w:history="1">
        <w:r w:rsidRPr="00471473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</w:rPr>
          <w:t>закона</w:t>
        </w:r>
      </w:hyperlink>
      <w:r w:rsidRPr="00471473">
        <w:rPr>
          <w:rStyle w:val="apple-converted-space"/>
          <w:rFonts w:ascii="Times New Roman" w:hAnsi="Times New Roman" w:cs="Times New Roman"/>
          <w:sz w:val="24"/>
          <w:szCs w:val="24"/>
        </w:rPr>
        <w:t> </w:t>
      </w:r>
      <w:r w:rsidRPr="00471473">
        <w:rPr>
          <w:rStyle w:val="blk"/>
          <w:rFonts w:ascii="Times New Roman" w:hAnsi="Times New Roman" w:cs="Times New Roman"/>
          <w:sz w:val="24"/>
          <w:szCs w:val="24"/>
        </w:rPr>
        <w:t>N 400-ФЗ</w:t>
      </w:r>
      <w:r w:rsidR="00777FE9" w:rsidRPr="00471473">
        <w:t>.</w:t>
      </w:r>
    </w:p>
    <w:p w:rsidR="00BA472E" w:rsidRPr="00D33484" w:rsidRDefault="00C90202" w:rsidP="00554DBF">
      <w:pPr>
        <w:spacing w:line="360" w:lineRule="auto"/>
        <w:ind w:left="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33484">
        <w:rPr>
          <w:rFonts w:ascii="Times New Roman" w:hAnsi="Times New Roman" w:cs="Times New Roman"/>
          <w:color w:val="000000"/>
          <w:sz w:val="24"/>
          <w:szCs w:val="24"/>
        </w:rPr>
        <w:t>Расходы Пенсионного фонда Республики Коми в 201</w:t>
      </w:r>
      <w:r w:rsidR="00D92629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D33484">
        <w:rPr>
          <w:rFonts w:ascii="Times New Roman" w:hAnsi="Times New Roman" w:cs="Times New Roman"/>
          <w:color w:val="000000"/>
          <w:sz w:val="24"/>
          <w:szCs w:val="24"/>
        </w:rPr>
        <w:t> г. составили 6</w:t>
      </w:r>
      <w:r w:rsidR="00D9262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D33484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D92629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Pr="00D33484">
        <w:rPr>
          <w:rFonts w:ascii="Times New Roman" w:hAnsi="Times New Roman" w:cs="Times New Roman"/>
          <w:color w:val="000000"/>
          <w:sz w:val="24"/>
          <w:szCs w:val="24"/>
        </w:rPr>
        <w:t xml:space="preserve"> млрд. руб., в структуре которых наибольший удельный вес приходится на выплату страховой пенсии. За исследуемый период их доля в 201</w:t>
      </w:r>
      <w:r w:rsidR="00D92629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D33484">
        <w:rPr>
          <w:rFonts w:ascii="Times New Roman" w:hAnsi="Times New Roman" w:cs="Times New Roman"/>
          <w:color w:val="000000"/>
          <w:sz w:val="24"/>
          <w:szCs w:val="24"/>
        </w:rPr>
        <w:t> г. достигла максимального зна</w:t>
      </w:r>
      <w:r w:rsidR="005625DF">
        <w:rPr>
          <w:rFonts w:ascii="Times New Roman" w:hAnsi="Times New Roman" w:cs="Times New Roman"/>
          <w:color w:val="000000"/>
          <w:sz w:val="24"/>
          <w:szCs w:val="24"/>
        </w:rPr>
        <w:t>чения – 85,</w:t>
      </w:r>
      <w:r w:rsidR="00D92629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="005625DF">
        <w:rPr>
          <w:rFonts w:ascii="Times New Roman" w:hAnsi="Times New Roman" w:cs="Times New Roman"/>
          <w:color w:val="000000"/>
          <w:sz w:val="24"/>
          <w:szCs w:val="24"/>
        </w:rPr>
        <w:t>%</w:t>
      </w:r>
      <w:r w:rsidRPr="00D33484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960E37" w:rsidRPr="00D33484" w:rsidRDefault="00C93CF6" w:rsidP="00554DBF">
      <w:pPr>
        <w:pStyle w:val="a3"/>
        <w:spacing w:before="0" w:beforeAutospacing="0" w:after="0" w:afterAutospacing="0" w:line="360" w:lineRule="auto"/>
        <w:ind w:firstLine="720"/>
        <w:jc w:val="both"/>
      </w:pPr>
      <w:bookmarkStart w:id="1" w:name="dst104399"/>
      <w:bookmarkStart w:id="2" w:name="dst104401"/>
      <w:bookmarkEnd w:id="1"/>
      <w:bookmarkEnd w:id="2"/>
      <w:r w:rsidRPr="00D33484">
        <w:rPr>
          <w:color w:val="000000"/>
        </w:rPr>
        <w:t xml:space="preserve">Устойчивую динамику роста имеет удельный вес расходов </w:t>
      </w:r>
      <w:r w:rsidRPr="00D33484">
        <w:t>на предоставление мат</w:t>
      </w:r>
      <w:r w:rsidRPr="00D33484">
        <w:t>е</w:t>
      </w:r>
      <w:r w:rsidRPr="00D33484">
        <w:t xml:space="preserve">ринского (семейного) капитала, величина которого выросла с 1,7% в 2010 г. до </w:t>
      </w:r>
      <w:r w:rsidR="00D92629">
        <w:t>4</w:t>
      </w:r>
      <w:r w:rsidRPr="00D33484">
        <w:t>% в 201</w:t>
      </w:r>
      <w:r w:rsidR="00D92629">
        <w:t>6</w:t>
      </w:r>
      <w:r w:rsidRPr="00D33484">
        <w:t> г.</w:t>
      </w:r>
    </w:p>
    <w:p w:rsidR="00C93CF6" w:rsidRPr="00D33484" w:rsidRDefault="00C93CF6" w:rsidP="00554DBF">
      <w:pPr>
        <w:pStyle w:val="a3"/>
        <w:spacing w:before="0" w:beforeAutospacing="0" w:after="0" w:afterAutospacing="0" w:line="360" w:lineRule="auto"/>
        <w:ind w:firstLine="720"/>
        <w:jc w:val="both"/>
      </w:pPr>
      <w:r w:rsidRPr="00D33484">
        <w:t>Как было сказано ранее, в связи с мораторием на накопительную часть пенсии</w:t>
      </w:r>
      <w:r w:rsidR="006D546A" w:rsidRPr="00D33484">
        <w:t>, с 2014 г. их выплата прекратилась, а до этого момента её удельный вес находился в пределах 7-7,5%.</w:t>
      </w:r>
    </w:p>
    <w:p w:rsidR="00757503" w:rsidRPr="00B21EAA" w:rsidRDefault="00A53FD7" w:rsidP="00554DBF">
      <w:pPr>
        <w:pStyle w:val="a3"/>
        <w:spacing w:before="0" w:beforeAutospacing="0" w:after="0" w:afterAutospacing="0" w:line="360" w:lineRule="auto"/>
        <w:ind w:firstLine="720"/>
        <w:jc w:val="both"/>
      </w:pPr>
      <w:r w:rsidRPr="00B21EAA">
        <w:t>Как и прежде, д</w:t>
      </w:r>
      <w:r w:rsidR="00960E37" w:rsidRPr="00B21EAA">
        <w:t>оходная часть бюджета не покрывает обязательств государства по пенсионному обеспечению населения</w:t>
      </w:r>
      <w:r w:rsidR="00757503" w:rsidRPr="00B21EAA">
        <w:t xml:space="preserve"> от собственных источников финансирования, в час</w:t>
      </w:r>
      <w:r w:rsidR="00757503" w:rsidRPr="00B21EAA">
        <w:t>т</w:t>
      </w:r>
      <w:r w:rsidR="00757503" w:rsidRPr="00B21EAA">
        <w:t>ности, от страховых взносов работодателей</w:t>
      </w:r>
      <w:r w:rsidR="00960E37" w:rsidRPr="00B21EAA">
        <w:t xml:space="preserve">. </w:t>
      </w:r>
      <w:r w:rsidR="00757503" w:rsidRPr="00B21EAA">
        <w:t xml:space="preserve">Основная нагрузка на устранение дефицита бюджета Пенсионного фонда Республики Коми возлагается на Федеральный бюджет РФ.  </w:t>
      </w:r>
    </w:p>
    <w:p w:rsidR="002917A8" w:rsidRPr="00B21EAA" w:rsidRDefault="00757503" w:rsidP="00554DBF">
      <w:pPr>
        <w:pStyle w:val="a3"/>
        <w:spacing w:before="0" w:beforeAutospacing="0" w:after="0" w:afterAutospacing="0" w:line="360" w:lineRule="auto"/>
        <w:ind w:firstLine="720"/>
        <w:jc w:val="both"/>
      </w:pPr>
      <w:r w:rsidRPr="00B21EAA">
        <w:t>Основными проблемами существующей пенсионной системы</w:t>
      </w:r>
      <w:r w:rsidR="00B92DC7" w:rsidRPr="00B21EAA">
        <w:t>,</w:t>
      </w:r>
      <w:r w:rsidRPr="00B21EAA">
        <w:t xml:space="preserve"> как на федеральном, так и на региональном уровне, являются: растущий дефицит бюджета Пенсионного фонда и низкий уровень обязательного пенсионного страхования. Поэтому пенсионное обеспечение с каждым годом приобретает все более актуальный характер. По мере изменения условий пе</w:t>
      </w:r>
      <w:r w:rsidRPr="00B21EAA">
        <w:t>н</w:t>
      </w:r>
      <w:r w:rsidRPr="00B21EAA">
        <w:t>сионного обеспечения требуется его совершенствование, в противном случае общество столкнется с серьезными социальными проблемами, масштаб которых трудно переоценить.</w:t>
      </w:r>
    </w:p>
    <w:p w:rsidR="00B46383" w:rsidRPr="00B46383" w:rsidRDefault="00F57088" w:rsidP="00B46383">
      <w:pPr>
        <w:spacing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46383">
        <w:rPr>
          <w:rFonts w:ascii="Times New Roman" w:hAnsi="Times New Roman" w:cs="Times New Roman"/>
          <w:b/>
          <w:sz w:val="24"/>
          <w:szCs w:val="24"/>
        </w:rPr>
        <w:t>Фонд социального страхования</w:t>
      </w:r>
      <w:r w:rsidR="002917A8" w:rsidRPr="00B46383">
        <w:rPr>
          <w:rFonts w:ascii="Times New Roman" w:hAnsi="Times New Roman" w:cs="Times New Roman"/>
          <w:b/>
          <w:sz w:val="24"/>
          <w:szCs w:val="24"/>
        </w:rPr>
        <w:t>.</w:t>
      </w:r>
      <w:r w:rsidR="002917A8">
        <w:rPr>
          <w:b/>
        </w:rPr>
        <w:t xml:space="preserve"> </w:t>
      </w:r>
      <w:r w:rsidR="00B46383" w:rsidRPr="00B46383">
        <w:rPr>
          <w:rFonts w:ascii="Times New Roman" w:hAnsi="Times New Roman" w:cs="Times New Roman"/>
          <w:sz w:val="24"/>
          <w:szCs w:val="24"/>
        </w:rPr>
        <w:t>За период 2010-2016 гг. изменение доходной и ра</w:t>
      </w:r>
      <w:r w:rsidR="00B46383" w:rsidRPr="00B46383">
        <w:rPr>
          <w:rFonts w:ascii="Times New Roman" w:hAnsi="Times New Roman" w:cs="Times New Roman"/>
          <w:sz w:val="24"/>
          <w:szCs w:val="24"/>
        </w:rPr>
        <w:t>с</w:t>
      </w:r>
      <w:r w:rsidR="00B46383" w:rsidRPr="00B46383">
        <w:rPr>
          <w:rFonts w:ascii="Times New Roman" w:hAnsi="Times New Roman" w:cs="Times New Roman"/>
          <w:sz w:val="24"/>
          <w:szCs w:val="24"/>
        </w:rPr>
        <w:t>ходной части бюджета ФСС Республики Коми имело равнонаправленную динамику. В н</w:t>
      </w:r>
      <w:r w:rsidR="00B46383" w:rsidRPr="00B46383">
        <w:rPr>
          <w:rFonts w:ascii="Times New Roman" w:hAnsi="Times New Roman" w:cs="Times New Roman"/>
          <w:sz w:val="24"/>
          <w:szCs w:val="24"/>
        </w:rPr>
        <w:t>о</w:t>
      </w:r>
      <w:r w:rsidR="00B46383" w:rsidRPr="00B46383">
        <w:rPr>
          <w:rFonts w:ascii="Times New Roman" w:hAnsi="Times New Roman" w:cs="Times New Roman"/>
          <w:sz w:val="24"/>
          <w:szCs w:val="24"/>
        </w:rPr>
        <w:t>минальном измерении доходы и расходы Фонда увеличились в 2016 г. относительно 2010 г. в 1,5 и 1,3 раза, соответственно, в реальном (проиндексированные на уровень инфляции) – на 5,5 и 18,4%, соответственно. Доля доходов Фонда в валовом региональном продукте на пр</w:t>
      </w:r>
      <w:r w:rsidR="00B46383" w:rsidRPr="00B46383">
        <w:rPr>
          <w:rFonts w:ascii="Times New Roman" w:hAnsi="Times New Roman" w:cs="Times New Roman"/>
          <w:sz w:val="24"/>
          <w:szCs w:val="24"/>
        </w:rPr>
        <w:t>о</w:t>
      </w:r>
      <w:r w:rsidR="00B46383" w:rsidRPr="00B46383">
        <w:rPr>
          <w:rFonts w:ascii="Times New Roman" w:hAnsi="Times New Roman" w:cs="Times New Roman"/>
          <w:sz w:val="24"/>
          <w:szCs w:val="24"/>
        </w:rPr>
        <w:t xml:space="preserve">тяжении исследуемого периода находилась в пределах 0,8-0,9%. (рис. 2). </w:t>
      </w:r>
    </w:p>
    <w:p w:rsidR="00B46383" w:rsidRPr="006F42E3" w:rsidRDefault="00B46383" w:rsidP="00B46383">
      <w:pPr>
        <w:pStyle w:val="a3"/>
        <w:spacing w:before="0" w:beforeAutospacing="0" w:after="0" w:afterAutospacing="0"/>
        <w:ind w:firstLine="709"/>
        <w:jc w:val="both"/>
        <w:rPr>
          <w:sz w:val="28"/>
          <w:szCs w:val="28"/>
        </w:rPr>
      </w:pPr>
    </w:p>
    <w:p w:rsidR="00B46383" w:rsidRDefault="00B46383" w:rsidP="00B46383">
      <w:pPr>
        <w:pStyle w:val="a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lastRenderedPageBreak/>
        <w:drawing>
          <wp:inline distT="0" distB="0" distL="0" distR="0">
            <wp:extent cx="5486400" cy="2628900"/>
            <wp:effectExtent l="0" t="0" r="0" b="0"/>
            <wp:docPr id="10" name="Диаграмма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B46383" w:rsidRDefault="00B46383" w:rsidP="00FE6031">
      <w:pPr>
        <w:ind w:left="0" w:firstLine="709"/>
        <w:jc w:val="center"/>
        <w:rPr>
          <w:sz w:val="28"/>
          <w:szCs w:val="28"/>
        </w:rPr>
      </w:pPr>
      <w:r w:rsidRPr="006F42E3">
        <w:rPr>
          <w:rFonts w:ascii="Times New Roman" w:hAnsi="Times New Roman" w:cs="Times New Roman"/>
          <w:color w:val="000000"/>
          <w:sz w:val="28"/>
          <w:szCs w:val="28"/>
        </w:rPr>
        <w:t xml:space="preserve">Рис. </w:t>
      </w:r>
      <w:r>
        <w:rPr>
          <w:rFonts w:ascii="Times New Roman" w:hAnsi="Times New Roman" w:cs="Times New Roman"/>
          <w:color w:val="000000"/>
          <w:sz w:val="28"/>
          <w:szCs w:val="28"/>
        </w:rPr>
        <w:t>2</w:t>
      </w:r>
      <w:r w:rsidRPr="006F42E3">
        <w:rPr>
          <w:rFonts w:ascii="Times New Roman" w:hAnsi="Times New Roman" w:cs="Times New Roman"/>
          <w:color w:val="000000"/>
          <w:sz w:val="28"/>
          <w:szCs w:val="28"/>
        </w:rPr>
        <w:t xml:space="preserve"> Динамика основных финансовых показателей ТФОМ в </w:t>
      </w:r>
      <w:r w:rsidRPr="006F42E3">
        <w:rPr>
          <w:rFonts w:ascii="Times New Roman" w:hAnsi="Times New Roman" w:cs="Times New Roman"/>
          <w:color w:val="000000"/>
          <w:sz w:val="28"/>
          <w:szCs w:val="28"/>
        </w:rPr>
        <w:br/>
        <w:t>Республике Коми за 2010-201</w:t>
      </w:r>
      <w:r>
        <w:rPr>
          <w:rFonts w:ascii="Times New Roman" w:hAnsi="Times New Roman" w:cs="Times New Roman"/>
          <w:color w:val="000000"/>
          <w:sz w:val="28"/>
          <w:szCs w:val="28"/>
        </w:rPr>
        <w:t>6</w:t>
      </w:r>
      <w:r w:rsidRPr="006F42E3">
        <w:rPr>
          <w:rFonts w:ascii="Times New Roman" w:hAnsi="Times New Roman" w:cs="Times New Roman"/>
          <w:color w:val="000000"/>
          <w:sz w:val="28"/>
          <w:szCs w:val="28"/>
        </w:rPr>
        <w:t xml:space="preserve"> гг. </w:t>
      </w:r>
      <w:r w:rsidRPr="006F42E3">
        <w:rPr>
          <w:rFonts w:ascii="Times New Roman" w:hAnsi="Times New Roman" w:cs="Times New Roman"/>
          <w:color w:val="000000"/>
          <w:sz w:val="28"/>
          <w:szCs w:val="28"/>
        </w:rPr>
        <w:br/>
      </w:r>
    </w:p>
    <w:p w:rsidR="00B46383" w:rsidRPr="00B46383" w:rsidRDefault="00B46383" w:rsidP="00B46383">
      <w:pPr>
        <w:pStyle w:val="a3"/>
        <w:spacing w:before="0" w:beforeAutospacing="0" w:after="0" w:afterAutospacing="0" w:line="360" w:lineRule="auto"/>
        <w:ind w:firstLine="709"/>
        <w:jc w:val="both"/>
      </w:pPr>
      <w:r w:rsidRPr="00B46383">
        <w:t>Следует отметить, что в реальном измерении в 2011-2016 гг. доходы ФСС Республики Коми имели разнонаправленную динамику. Между тем расходы, за исключением 2016 г., п</w:t>
      </w:r>
      <w:r w:rsidRPr="00B46383">
        <w:t>о</w:t>
      </w:r>
      <w:r w:rsidRPr="00B46383">
        <w:t>стоянно снижались. Данный факт говорит о некоторых балансовых диспропорциях в Фонде региона. Об этом же свидетельствует и показатель превышения расходов над доходами, к</w:t>
      </w:r>
      <w:r w:rsidRPr="00B46383">
        <w:t>о</w:t>
      </w:r>
      <w:r w:rsidRPr="00B46383">
        <w:t>торый до 2014 г. имел тенденцию к снижению, однако далее ситуация изменилась в худшую сторону. Такие перекосы свидетельствуют о низкой финансовой устойчивости и разбаланс</w:t>
      </w:r>
      <w:r w:rsidRPr="00B46383">
        <w:t>и</w:t>
      </w:r>
      <w:r w:rsidRPr="00B46383">
        <w:t>рованности ФСС региона.</w:t>
      </w:r>
    </w:p>
    <w:p w:rsidR="00B46383" w:rsidRPr="00B46383" w:rsidRDefault="00B46383" w:rsidP="00B46383">
      <w:pPr>
        <w:pStyle w:val="a3"/>
        <w:spacing w:before="0" w:beforeAutospacing="0" w:after="0" w:afterAutospacing="0" w:line="360" w:lineRule="auto"/>
        <w:ind w:firstLine="709"/>
        <w:jc w:val="both"/>
      </w:pPr>
      <w:r w:rsidRPr="00B46383">
        <w:t>Тенденция дефицита бюджета ФСС в целом по России обозначилась уже с 2001 г. И</w:t>
      </w:r>
      <w:r w:rsidRPr="00B46383">
        <w:t>с</w:t>
      </w:r>
      <w:r w:rsidRPr="00B46383">
        <w:t>ключение из системы обязательного социального страхования различных категорий рабо</w:t>
      </w:r>
      <w:r w:rsidRPr="00B46383">
        <w:t>т</w:t>
      </w:r>
      <w:r w:rsidRPr="00B46383">
        <w:t>ников, поэтапное сворачивание определенных видов деятельности, ограничение выплат по ряду обязательств – все эти и другие меры не позволили обеспечить сбалансированность ф</w:t>
      </w:r>
      <w:r w:rsidRPr="00B46383">
        <w:t>и</w:t>
      </w:r>
      <w:r w:rsidRPr="00B46383">
        <w:t>нансовых ресурсов и обязательств Фонда по настоящее время [</w:t>
      </w:r>
      <w:r w:rsidR="00F13777">
        <w:t>3</w:t>
      </w:r>
      <w:r w:rsidRPr="00B46383">
        <w:t>].</w:t>
      </w:r>
    </w:p>
    <w:p w:rsidR="00B46383" w:rsidRPr="00B46383" w:rsidRDefault="00B46383" w:rsidP="00B46383">
      <w:pPr>
        <w:pStyle w:val="a3"/>
        <w:spacing w:before="0" w:beforeAutospacing="0" w:after="0" w:afterAutospacing="0" w:line="360" w:lineRule="auto"/>
        <w:ind w:firstLine="709"/>
        <w:jc w:val="both"/>
      </w:pPr>
      <w:r w:rsidRPr="00B46383">
        <w:t>Общая сумма доходов ФСС Республики Коми в 2016 г. составляла 4,6 млрд. руб. В структуре поступлений наибольший удельный вес приходится на страховые взносы на об</w:t>
      </w:r>
      <w:r w:rsidRPr="00B46383">
        <w:t>я</w:t>
      </w:r>
      <w:r w:rsidRPr="00B46383">
        <w:t>зательное социальное страхование на случай временной нетрудоспособности и в связи с м</w:t>
      </w:r>
      <w:r w:rsidRPr="00B46383">
        <w:t>а</w:t>
      </w:r>
      <w:r w:rsidRPr="00B46383">
        <w:t xml:space="preserve">теринством, величина которых увеличилась с 68,6% в 2010 г. до 74,5% в 2016 г. (рис. 3). </w:t>
      </w:r>
    </w:p>
    <w:p w:rsidR="00B46383" w:rsidRDefault="00B46383" w:rsidP="00B46383">
      <w:pPr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>
            <wp:extent cx="6083300" cy="1689100"/>
            <wp:effectExtent l="0" t="0" r="0" b="0"/>
            <wp:docPr id="11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B46383" w:rsidRPr="008F2E6D" w:rsidRDefault="00B46383" w:rsidP="00B46383">
      <w:pPr>
        <w:ind w:left="0" w:firstLine="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8F2E6D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Рис. </w:t>
      </w:r>
      <w:r>
        <w:rPr>
          <w:rFonts w:ascii="Times New Roman" w:hAnsi="Times New Roman" w:cs="Times New Roman"/>
          <w:color w:val="000000"/>
          <w:sz w:val="28"/>
          <w:szCs w:val="28"/>
        </w:rPr>
        <w:t>3</w:t>
      </w:r>
      <w:r w:rsidRPr="008F2E6D">
        <w:rPr>
          <w:rFonts w:ascii="Times New Roman" w:hAnsi="Times New Roman" w:cs="Times New Roman"/>
          <w:color w:val="000000"/>
          <w:sz w:val="28"/>
          <w:szCs w:val="28"/>
        </w:rPr>
        <w:t xml:space="preserve"> Структура поступления средств в </w:t>
      </w:r>
      <w:r w:rsidRPr="008F2E6D">
        <w:rPr>
          <w:rFonts w:ascii="Times New Roman" w:hAnsi="Times New Roman" w:cs="Times New Roman"/>
          <w:sz w:val="28"/>
          <w:szCs w:val="28"/>
        </w:rPr>
        <w:t>ФСС</w:t>
      </w:r>
      <w:r w:rsidRPr="008F2E6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F2E6D">
        <w:rPr>
          <w:rFonts w:ascii="Times New Roman" w:hAnsi="Times New Roman" w:cs="Times New Roman"/>
          <w:color w:val="000000"/>
          <w:sz w:val="28"/>
          <w:szCs w:val="28"/>
        </w:rPr>
        <w:br/>
        <w:t xml:space="preserve">Республики Коми за 2010-2016 гг. </w:t>
      </w:r>
    </w:p>
    <w:p w:rsidR="00B46383" w:rsidRDefault="00B46383" w:rsidP="00B46383">
      <w:pPr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B46383" w:rsidRDefault="00B46383" w:rsidP="00B46383">
      <w:pPr>
        <w:spacing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46383">
        <w:rPr>
          <w:rFonts w:ascii="Times New Roman" w:hAnsi="Times New Roman" w:cs="Times New Roman"/>
          <w:color w:val="000000"/>
          <w:sz w:val="24"/>
          <w:szCs w:val="24"/>
        </w:rPr>
        <w:t xml:space="preserve">В целом доходная часть бюджета </w:t>
      </w:r>
      <w:r w:rsidRPr="00B46383">
        <w:rPr>
          <w:rFonts w:ascii="Times New Roman" w:hAnsi="Times New Roman" w:cs="Times New Roman"/>
          <w:sz w:val="24"/>
          <w:szCs w:val="24"/>
        </w:rPr>
        <w:t>ФСС</w:t>
      </w:r>
      <w:r w:rsidRPr="00B46383">
        <w:rPr>
          <w:rFonts w:ascii="Times New Roman" w:hAnsi="Times New Roman" w:cs="Times New Roman"/>
          <w:color w:val="000000"/>
          <w:sz w:val="24"/>
          <w:szCs w:val="24"/>
        </w:rPr>
        <w:t xml:space="preserve"> Республики Коми формируется за счет страх</w:t>
      </w:r>
      <w:r w:rsidRPr="00B46383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B46383">
        <w:rPr>
          <w:rFonts w:ascii="Times New Roman" w:hAnsi="Times New Roman" w:cs="Times New Roman"/>
          <w:color w:val="000000"/>
          <w:sz w:val="24"/>
          <w:szCs w:val="24"/>
        </w:rPr>
        <w:t xml:space="preserve">вых взносов организаций на социальное страхование, поступающая напрямую в Фонд. </w:t>
      </w:r>
      <w:r w:rsidRPr="00B46383">
        <w:rPr>
          <w:rFonts w:ascii="Times New Roman" w:hAnsi="Times New Roman" w:cs="Times New Roman"/>
          <w:sz w:val="24"/>
          <w:szCs w:val="24"/>
        </w:rPr>
        <w:t xml:space="preserve">Раньше к ним относился единый социальный налог и взносы на страхование от несчастных случаев на производстве и профессиональных заболеваний. С 2010 г. единый социальный налог отменен, преобразован в страховые взносы на случай временной нетрудоспособности и в связи с материнством. Поскольку тариф страховых взносов в ФСС остается неизменным – 2,9%, постольку и динамика доходов по единому социальному налогу и страховых взносов стабильна и </w:t>
      </w:r>
      <w:r w:rsidRPr="00B46383">
        <w:rPr>
          <w:rFonts w:ascii="Times New Roman" w:hAnsi="Times New Roman" w:cs="Times New Roman"/>
          <w:color w:val="000000"/>
          <w:sz w:val="24"/>
          <w:szCs w:val="24"/>
        </w:rPr>
        <w:t xml:space="preserve">на протяжении исследуемого периода колеблется в пределах 97-99%. </w:t>
      </w:r>
    </w:p>
    <w:p w:rsidR="00B46383" w:rsidRPr="00B46383" w:rsidRDefault="00B46383" w:rsidP="00B46383">
      <w:pPr>
        <w:spacing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46383">
        <w:rPr>
          <w:rFonts w:ascii="Times New Roman" w:hAnsi="Times New Roman" w:cs="Times New Roman"/>
          <w:color w:val="000000"/>
          <w:sz w:val="24"/>
          <w:szCs w:val="24"/>
        </w:rPr>
        <w:t>Расходы ФСС Республики Коми в 2016 г. составили 7,3 млрд. руб., структура которых состоит из двух компонентов  – расходов на социальное обеспечение населения и деятел</w:t>
      </w:r>
      <w:r w:rsidRPr="00B46383">
        <w:rPr>
          <w:rFonts w:ascii="Times New Roman" w:hAnsi="Times New Roman" w:cs="Times New Roman"/>
          <w:color w:val="000000"/>
          <w:sz w:val="24"/>
          <w:szCs w:val="24"/>
        </w:rPr>
        <w:t>ь</w:t>
      </w:r>
      <w:r w:rsidRPr="00B46383">
        <w:rPr>
          <w:rFonts w:ascii="Times New Roman" w:hAnsi="Times New Roman" w:cs="Times New Roman"/>
          <w:color w:val="000000"/>
          <w:sz w:val="24"/>
          <w:szCs w:val="24"/>
        </w:rPr>
        <w:t>ность органов управления фондом. Доля первых составляет 96,5% и на протяжении иссл</w:t>
      </w:r>
      <w:r w:rsidRPr="00B46383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B46383">
        <w:rPr>
          <w:rFonts w:ascii="Times New Roman" w:hAnsi="Times New Roman" w:cs="Times New Roman"/>
          <w:color w:val="000000"/>
          <w:sz w:val="24"/>
          <w:szCs w:val="24"/>
        </w:rPr>
        <w:t>дуемого периода остается практически неизменной. Среди расходов на социальное обесп</w:t>
      </w:r>
      <w:r w:rsidRPr="00B46383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B46383">
        <w:rPr>
          <w:rFonts w:ascii="Times New Roman" w:hAnsi="Times New Roman" w:cs="Times New Roman"/>
          <w:color w:val="000000"/>
          <w:sz w:val="24"/>
          <w:szCs w:val="24"/>
        </w:rPr>
        <w:t xml:space="preserve">чение наибольший удельный вес занимают </w:t>
      </w:r>
      <w:r w:rsidRPr="00B46383">
        <w:rPr>
          <w:rFonts w:ascii="Times New Roman" w:hAnsi="Times New Roman" w:cs="Times New Roman"/>
          <w:sz w:val="24"/>
          <w:szCs w:val="24"/>
        </w:rPr>
        <w:t>пособия по временной нетрудоспособности по обязательному социальному страхованию, которые снизились с 35,3% в 2010 г. до 30,3% в 2016 г. Существенную долю занимают и ежемесячные страховые выплаты, доля которых в общих расходах в 2016 г. составила 26,3%, увеличившись по сравнению с 2010 г. на 1,5 п.п.</w:t>
      </w:r>
    </w:p>
    <w:p w:rsidR="00B46383" w:rsidRPr="00B46383" w:rsidRDefault="00B46383" w:rsidP="00B46383">
      <w:pPr>
        <w:spacing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46383">
        <w:rPr>
          <w:rFonts w:ascii="Times New Roman" w:hAnsi="Times New Roman" w:cs="Times New Roman"/>
          <w:sz w:val="24"/>
          <w:szCs w:val="24"/>
        </w:rPr>
        <w:t>Разница между ресурсами и выплатами по социальному страхованию составляет об</w:t>
      </w:r>
      <w:r w:rsidRPr="00B46383">
        <w:rPr>
          <w:rFonts w:ascii="Times New Roman" w:hAnsi="Times New Roman" w:cs="Times New Roman"/>
          <w:sz w:val="24"/>
          <w:szCs w:val="24"/>
        </w:rPr>
        <w:t>ъ</w:t>
      </w:r>
      <w:r w:rsidRPr="00B46383">
        <w:rPr>
          <w:rFonts w:ascii="Times New Roman" w:hAnsi="Times New Roman" w:cs="Times New Roman"/>
          <w:sz w:val="24"/>
          <w:szCs w:val="24"/>
        </w:rPr>
        <w:t xml:space="preserve">ем транзакционных издержек, величина которых с 2011 по 2014 гг. имела тенденцию к росту, затем до 2016 г. </w:t>
      </w:r>
      <w:r w:rsidR="00C664F8">
        <w:rPr>
          <w:rFonts w:ascii="Times New Roman" w:hAnsi="Times New Roman" w:cs="Times New Roman"/>
          <w:sz w:val="24"/>
          <w:szCs w:val="24"/>
        </w:rPr>
        <w:t>о</w:t>
      </w:r>
      <w:r w:rsidRPr="00B46383">
        <w:rPr>
          <w:rFonts w:ascii="Times New Roman" w:hAnsi="Times New Roman" w:cs="Times New Roman"/>
          <w:sz w:val="24"/>
          <w:szCs w:val="24"/>
        </w:rPr>
        <w:t>на снижалась и составила 3,5%.</w:t>
      </w:r>
    </w:p>
    <w:p w:rsidR="00F85BBC" w:rsidRPr="00B46383" w:rsidRDefault="00C664F8" w:rsidP="00B46383">
      <w:pPr>
        <w:pStyle w:val="a3"/>
        <w:spacing w:before="0" w:beforeAutospacing="0" w:after="0" w:afterAutospacing="0" w:line="360" w:lineRule="auto"/>
        <w:ind w:firstLine="709"/>
        <w:jc w:val="both"/>
      </w:pPr>
      <w:r>
        <w:t>Таким образом,</w:t>
      </w:r>
      <w:r w:rsidR="00F85BBC" w:rsidRPr="00B46383">
        <w:t xml:space="preserve"> анализ</w:t>
      </w:r>
      <w:r>
        <w:t xml:space="preserve"> эффективности финансовой</w:t>
      </w:r>
      <w:r w:rsidR="00F85BBC" w:rsidRPr="00B46383">
        <w:t xml:space="preserve"> деятельности внебюджетных фо</w:t>
      </w:r>
      <w:r w:rsidR="00F85BBC" w:rsidRPr="00B46383">
        <w:t>н</w:t>
      </w:r>
      <w:r w:rsidR="00F85BBC" w:rsidRPr="00B46383">
        <w:t>дов Республики Коми за 2010-201</w:t>
      </w:r>
      <w:r>
        <w:t>6</w:t>
      </w:r>
      <w:r w:rsidR="00F85BBC" w:rsidRPr="00B46383">
        <w:t xml:space="preserve"> гг.</w:t>
      </w:r>
      <w:r>
        <w:t xml:space="preserve"> выявил </w:t>
      </w:r>
      <w:r w:rsidR="00F85BBC" w:rsidRPr="00B46383">
        <w:t xml:space="preserve"> </w:t>
      </w:r>
      <w:r w:rsidRPr="00B46383">
        <w:t>несбалансированн</w:t>
      </w:r>
      <w:r>
        <w:t>ость их</w:t>
      </w:r>
      <w:r w:rsidRPr="00B46383">
        <w:t xml:space="preserve"> бюджет</w:t>
      </w:r>
      <w:r>
        <w:t>ов.</w:t>
      </w:r>
      <w:r w:rsidRPr="00B46383">
        <w:t xml:space="preserve"> </w:t>
      </w:r>
      <w:r w:rsidR="00F85BBC" w:rsidRPr="00B46383">
        <w:t>Динам</w:t>
      </w:r>
      <w:r w:rsidR="00F85BBC" w:rsidRPr="00B46383">
        <w:t>и</w:t>
      </w:r>
      <w:r w:rsidR="00F85BBC" w:rsidRPr="00B46383">
        <w:t>ка доходов и расходов фондов свидетельствует о низкой эффективности их деятельности: недостаточном уровне страхового возмещения при одновременном сокращении собственных финансовых ресурсов и росте административных затрат страховых организаций.</w:t>
      </w:r>
    </w:p>
    <w:p w:rsidR="00F85BBC" w:rsidRDefault="00F85BBC" w:rsidP="00554DBF">
      <w:pPr>
        <w:spacing w:line="360" w:lineRule="auto"/>
        <w:ind w:left="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F85BBC">
        <w:rPr>
          <w:rFonts w:ascii="Times New Roman" w:hAnsi="Times New Roman" w:cs="Times New Roman"/>
          <w:sz w:val="24"/>
          <w:szCs w:val="24"/>
        </w:rPr>
        <w:t>Сложившиеся тенденции в области финансового обеспечения государственных вн</w:t>
      </w:r>
      <w:r w:rsidRPr="00F85BBC">
        <w:rPr>
          <w:rFonts w:ascii="Times New Roman" w:hAnsi="Times New Roman" w:cs="Times New Roman"/>
          <w:sz w:val="24"/>
          <w:szCs w:val="24"/>
        </w:rPr>
        <w:t>е</w:t>
      </w:r>
      <w:r w:rsidRPr="00F85BBC">
        <w:rPr>
          <w:rFonts w:ascii="Times New Roman" w:hAnsi="Times New Roman" w:cs="Times New Roman"/>
          <w:sz w:val="24"/>
          <w:szCs w:val="24"/>
        </w:rPr>
        <w:t>бюджетных фондов в среднесрочной перспективе приведут к обострению ситуации в уровне защиты населения от социальных рисков, особенно в области пенсионного обеспечения. С</w:t>
      </w:r>
      <w:r w:rsidRPr="00F85BBC">
        <w:rPr>
          <w:rFonts w:ascii="Times New Roman" w:hAnsi="Times New Roman" w:cs="Times New Roman"/>
          <w:sz w:val="24"/>
          <w:szCs w:val="24"/>
        </w:rPr>
        <w:t>о</w:t>
      </w:r>
      <w:r w:rsidRPr="00F85BBC">
        <w:rPr>
          <w:rFonts w:ascii="Times New Roman" w:hAnsi="Times New Roman" w:cs="Times New Roman"/>
          <w:sz w:val="24"/>
          <w:szCs w:val="24"/>
        </w:rPr>
        <w:t>вершенствование финансовой деятельности государственных внебюджетных фондов должно быть направлено на развитие страховых начал в целях увеличения страховых выплат и с</w:t>
      </w:r>
      <w:r w:rsidRPr="00F85BBC">
        <w:rPr>
          <w:rFonts w:ascii="Times New Roman" w:hAnsi="Times New Roman" w:cs="Times New Roman"/>
          <w:sz w:val="24"/>
          <w:szCs w:val="24"/>
        </w:rPr>
        <w:t>о</w:t>
      </w:r>
      <w:r w:rsidRPr="00F85BBC">
        <w:rPr>
          <w:rFonts w:ascii="Times New Roman" w:hAnsi="Times New Roman" w:cs="Times New Roman"/>
          <w:sz w:val="24"/>
          <w:szCs w:val="24"/>
        </w:rPr>
        <w:t>хранения финансовой устойчивости страховой системы.</w:t>
      </w:r>
    </w:p>
    <w:p w:rsidR="00C91DD1" w:rsidRDefault="00C91DD1" w:rsidP="00F85BBC">
      <w:pPr>
        <w:spacing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37ACB" w:rsidRDefault="00837ACB" w:rsidP="00F85BBC">
      <w:pPr>
        <w:spacing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01E23" w:rsidRPr="00837ACB" w:rsidRDefault="00001E23" w:rsidP="00F54DDE">
      <w:pPr>
        <w:ind w:left="0" w:firstLine="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D76C4">
        <w:rPr>
          <w:rFonts w:ascii="Times New Roman" w:hAnsi="Times New Roman" w:cs="Times New Roman"/>
          <w:b/>
          <w:sz w:val="24"/>
          <w:szCs w:val="24"/>
        </w:rPr>
        <w:lastRenderedPageBreak/>
        <w:t>Список</w:t>
      </w:r>
      <w:r w:rsidR="007D76C4" w:rsidRPr="00837AC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7D76C4" w:rsidRPr="007D76C4">
        <w:rPr>
          <w:rFonts w:ascii="Times New Roman" w:hAnsi="Times New Roman" w:cs="Times New Roman"/>
          <w:b/>
          <w:sz w:val="24"/>
          <w:szCs w:val="24"/>
        </w:rPr>
        <w:t>литературы</w:t>
      </w:r>
    </w:p>
    <w:p w:rsidR="00563407" w:rsidRPr="00837ACB" w:rsidRDefault="00563407" w:rsidP="00F54DDE">
      <w:pPr>
        <w:ind w:left="0" w:firstLine="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FE6031" w:rsidRPr="00837ACB" w:rsidRDefault="00837ACB" w:rsidP="00837ACB">
      <w:pPr>
        <w:spacing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37ACB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r w:rsidR="00FE6031" w:rsidRPr="00837ACB">
        <w:rPr>
          <w:rFonts w:ascii="Times New Roman" w:hAnsi="Times New Roman" w:cs="Times New Roman"/>
          <w:sz w:val="24"/>
          <w:szCs w:val="24"/>
          <w:lang w:val="en-US"/>
        </w:rPr>
        <w:t>Rozanov A. Public pension fund management: best practice and international experience / A. Rozanov // Asian Economic Policy Review. – 2015. – № 10. – P. 275–295.</w:t>
      </w:r>
    </w:p>
    <w:p w:rsidR="00FE6031" w:rsidRPr="00837ACB" w:rsidRDefault="00837ACB" w:rsidP="00837ACB">
      <w:pPr>
        <w:spacing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FE6031" w:rsidRPr="00837ACB">
        <w:rPr>
          <w:rFonts w:ascii="Times New Roman" w:hAnsi="Times New Roman" w:cs="Times New Roman"/>
          <w:sz w:val="24"/>
          <w:szCs w:val="24"/>
        </w:rPr>
        <w:t>Государственные</w:t>
      </w:r>
      <w:r w:rsidR="00FE6031" w:rsidRPr="00E561C4">
        <w:rPr>
          <w:rFonts w:ascii="Times New Roman" w:hAnsi="Times New Roman" w:cs="Times New Roman"/>
          <w:sz w:val="24"/>
          <w:szCs w:val="24"/>
        </w:rPr>
        <w:t xml:space="preserve"> </w:t>
      </w:r>
      <w:r w:rsidR="00FE6031" w:rsidRPr="00837ACB">
        <w:rPr>
          <w:rFonts w:ascii="Times New Roman" w:hAnsi="Times New Roman" w:cs="Times New Roman"/>
          <w:sz w:val="24"/>
          <w:szCs w:val="24"/>
        </w:rPr>
        <w:t>и</w:t>
      </w:r>
      <w:r w:rsidR="00FE6031" w:rsidRPr="00E561C4">
        <w:rPr>
          <w:rFonts w:ascii="Times New Roman" w:hAnsi="Times New Roman" w:cs="Times New Roman"/>
          <w:sz w:val="24"/>
          <w:szCs w:val="24"/>
        </w:rPr>
        <w:t xml:space="preserve"> </w:t>
      </w:r>
      <w:r w:rsidR="00FE6031" w:rsidRPr="00837ACB">
        <w:rPr>
          <w:rFonts w:ascii="Times New Roman" w:hAnsi="Times New Roman" w:cs="Times New Roman"/>
          <w:sz w:val="24"/>
          <w:szCs w:val="24"/>
        </w:rPr>
        <w:t>муниципальные</w:t>
      </w:r>
      <w:r w:rsidR="00FE6031" w:rsidRPr="00E561C4">
        <w:rPr>
          <w:rFonts w:ascii="Times New Roman" w:hAnsi="Times New Roman" w:cs="Times New Roman"/>
          <w:sz w:val="24"/>
          <w:szCs w:val="24"/>
        </w:rPr>
        <w:t xml:space="preserve"> </w:t>
      </w:r>
      <w:r w:rsidR="00FE6031" w:rsidRPr="00837ACB">
        <w:rPr>
          <w:rFonts w:ascii="Times New Roman" w:hAnsi="Times New Roman" w:cs="Times New Roman"/>
          <w:sz w:val="24"/>
          <w:szCs w:val="24"/>
        </w:rPr>
        <w:t>финансы</w:t>
      </w:r>
      <w:r w:rsidR="00FE6031" w:rsidRPr="00E561C4">
        <w:rPr>
          <w:rFonts w:ascii="Times New Roman" w:hAnsi="Times New Roman" w:cs="Times New Roman"/>
          <w:sz w:val="24"/>
          <w:szCs w:val="24"/>
        </w:rPr>
        <w:t xml:space="preserve">. </w:t>
      </w:r>
      <w:r w:rsidR="00FE6031" w:rsidRPr="00837ACB">
        <w:rPr>
          <w:rFonts w:ascii="Times New Roman" w:hAnsi="Times New Roman" w:cs="Times New Roman"/>
          <w:sz w:val="24"/>
          <w:szCs w:val="24"/>
        </w:rPr>
        <w:t>Электронный</w:t>
      </w:r>
      <w:r w:rsidR="00FE6031" w:rsidRPr="00E561C4">
        <w:rPr>
          <w:rFonts w:ascii="Times New Roman" w:hAnsi="Times New Roman" w:cs="Times New Roman"/>
          <w:sz w:val="24"/>
          <w:szCs w:val="24"/>
        </w:rPr>
        <w:t xml:space="preserve"> </w:t>
      </w:r>
      <w:r w:rsidR="00FE6031" w:rsidRPr="00837ACB">
        <w:rPr>
          <w:rFonts w:ascii="Times New Roman" w:hAnsi="Times New Roman" w:cs="Times New Roman"/>
          <w:sz w:val="24"/>
          <w:szCs w:val="24"/>
        </w:rPr>
        <w:t>ресурс</w:t>
      </w:r>
      <w:r w:rsidR="00FE6031" w:rsidRPr="00E561C4">
        <w:rPr>
          <w:rFonts w:ascii="Times New Roman" w:hAnsi="Times New Roman" w:cs="Times New Roman"/>
          <w:sz w:val="24"/>
          <w:szCs w:val="24"/>
        </w:rPr>
        <w:t xml:space="preserve">. </w:t>
      </w:r>
      <w:r w:rsidR="00FE6031" w:rsidRPr="00E561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</w:t>
      </w:r>
      <w:r w:rsidR="00FE6031" w:rsidRPr="00837AC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URL</w:t>
      </w:r>
      <w:r w:rsidR="00FE6031" w:rsidRPr="00E561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r w:rsidR="00FE6031" w:rsidRPr="00E561C4">
        <w:rPr>
          <w:rFonts w:ascii="Times New Roman" w:hAnsi="Times New Roman" w:cs="Times New Roman"/>
          <w:sz w:val="24"/>
          <w:szCs w:val="24"/>
        </w:rPr>
        <w:t xml:space="preserve"> </w:t>
      </w:r>
      <w:hyperlink r:id="rId14" w:history="1">
        <w:r w:rsidR="00FE6031" w:rsidRPr="00837ACB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</w:rPr>
          <w:t>http://www.grandars.ru/student/finansy/pensionnyy-fond.html</w:t>
        </w:r>
      </w:hyperlink>
    </w:p>
    <w:p w:rsidR="00FE6031" w:rsidRPr="00837ACB" w:rsidRDefault="00837ACB" w:rsidP="00837ACB">
      <w:pPr>
        <w:spacing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3. </w:t>
      </w:r>
      <w:r w:rsidR="00FE6031" w:rsidRPr="00837ACB">
        <w:rPr>
          <w:rFonts w:ascii="Times New Roman" w:hAnsi="Times New Roman" w:cs="Times New Roman"/>
          <w:bCs/>
          <w:sz w:val="24"/>
          <w:szCs w:val="24"/>
        </w:rPr>
        <w:t>Касачева О.В. Обеспечение сбалансированности финансовых потоков фонда соц</w:t>
      </w:r>
      <w:r w:rsidR="00FE6031" w:rsidRPr="00837ACB">
        <w:rPr>
          <w:rFonts w:ascii="Times New Roman" w:hAnsi="Times New Roman" w:cs="Times New Roman"/>
          <w:bCs/>
          <w:sz w:val="24"/>
          <w:szCs w:val="24"/>
        </w:rPr>
        <w:t>и</w:t>
      </w:r>
      <w:r w:rsidR="00FE6031" w:rsidRPr="00837ACB">
        <w:rPr>
          <w:rFonts w:ascii="Times New Roman" w:hAnsi="Times New Roman" w:cs="Times New Roman"/>
          <w:bCs/>
          <w:sz w:val="24"/>
          <w:szCs w:val="24"/>
        </w:rPr>
        <w:t>ального страхования Российской Федерации на современном этапе // В</w:t>
      </w:r>
      <w:r w:rsidR="00FE6031" w:rsidRPr="00837ACB">
        <w:rPr>
          <w:rFonts w:ascii="Times New Roman" w:hAnsi="Times New Roman" w:cs="Times New Roman"/>
          <w:sz w:val="24"/>
          <w:szCs w:val="24"/>
        </w:rPr>
        <w:t>естник Томского г</w:t>
      </w:r>
      <w:r w:rsidR="00FE6031" w:rsidRPr="00837ACB">
        <w:rPr>
          <w:rFonts w:ascii="Times New Roman" w:hAnsi="Times New Roman" w:cs="Times New Roman"/>
          <w:sz w:val="24"/>
          <w:szCs w:val="24"/>
        </w:rPr>
        <w:t>о</w:t>
      </w:r>
      <w:r w:rsidR="00FE6031" w:rsidRPr="00837ACB">
        <w:rPr>
          <w:rFonts w:ascii="Times New Roman" w:hAnsi="Times New Roman" w:cs="Times New Roman"/>
          <w:sz w:val="24"/>
          <w:szCs w:val="24"/>
        </w:rPr>
        <w:t>сударственного университета. 2012. №2(18)</w:t>
      </w:r>
    </w:p>
    <w:p w:rsidR="00FE6031" w:rsidRPr="00837ACB" w:rsidRDefault="00837ACB" w:rsidP="00837ACB">
      <w:pPr>
        <w:spacing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4. </w:t>
      </w:r>
      <w:r w:rsidR="00FE6031" w:rsidRPr="00837AC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Основные направления бюджетной политики на 2015 год и на плановый период 2016 и 2017 годов – URL: </w:t>
      </w:r>
      <w:hyperlink r:id="rId15" w:history="1">
        <w:r w:rsidR="00FE6031" w:rsidRPr="00837ACB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http://www.consultant.ru/</w:t>
        </w:r>
      </w:hyperlink>
    </w:p>
    <w:p w:rsidR="00FE6031" w:rsidRPr="00837ACB" w:rsidRDefault="00837ACB" w:rsidP="00837ACB">
      <w:pPr>
        <w:spacing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FE6031" w:rsidRPr="00837ACB">
        <w:rPr>
          <w:rFonts w:ascii="Times New Roman" w:hAnsi="Times New Roman" w:cs="Times New Roman"/>
          <w:sz w:val="24"/>
          <w:szCs w:val="24"/>
        </w:rPr>
        <w:t>Пудовкин А.В. Мировой опыт использования добровольных и обязательных нак</w:t>
      </w:r>
      <w:r w:rsidR="00FE6031" w:rsidRPr="00837ACB">
        <w:rPr>
          <w:rFonts w:ascii="Times New Roman" w:hAnsi="Times New Roman" w:cs="Times New Roman"/>
          <w:sz w:val="24"/>
          <w:szCs w:val="24"/>
        </w:rPr>
        <w:t>о</w:t>
      </w:r>
      <w:r w:rsidR="00FE6031" w:rsidRPr="00837ACB">
        <w:rPr>
          <w:rFonts w:ascii="Times New Roman" w:hAnsi="Times New Roman" w:cs="Times New Roman"/>
          <w:sz w:val="24"/>
          <w:szCs w:val="24"/>
        </w:rPr>
        <w:t>пительных пенсионных систем: уроки для России / А.В. Пудовкин // Вестник МГИМО. – 2016. – №3 (48).</w:t>
      </w:r>
    </w:p>
    <w:p w:rsidR="00837ACB" w:rsidRDefault="00837ACB" w:rsidP="00837AC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7ACB" w:rsidRDefault="00837ACB" w:rsidP="00837AC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7ACB" w:rsidRDefault="00837ACB" w:rsidP="00837AC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7ACB" w:rsidRDefault="00837ACB" w:rsidP="00837AC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7ACB" w:rsidRDefault="00837ACB" w:rsidP="00837AC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7ACB" w:rsidRDefault="00837ACB" w:rsidP="00837AC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7ACB" w:rsidRDefault="00837ACB" w:rsidP="00837AC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7ACB" w:rsidRDefault="00837ACB" w:rsidP="00837AC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7ACB" w:rsidRDefault="00837ACB" w:rsidP="00837AC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7ACB" w:rsidRDefault="00837ACB" w:rsidP="00837AC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7ACB" w:rsidRDefault="00837ACB" w:rsidP="00837AC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7ACB" w:rsidRDefault="00837ACB" w:rsidP="00837AC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7ACB" w:rsidRDefault="00837ACB" w:rsidP="00837AC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7ACB" w:rsidRDefault="00837ACB" w:rsidP="00837AC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7ACB" w:rsidRDefault="00837ACB" w:rsidP="00837AC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7ACB" w:rsidRDefault="00837ACB" w:rsidP="00837AC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7ACB" w:rsidRDefault="00837ACB" w:rsidP="00837AC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7ACB" w:rsidRDefault="00837ACB" w:rsidP="00837AC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7ACB" w:rsidRDefault="00837ACB" w:rsidP="00837AC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7ACB" w:rsidRDefault="00837ACB" w:rsidP="00837AC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7ACB" w:rsidRDefault="00837ACB" w:rsidP="00837AC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7ACB" w:rsidRPr="00915E8C" w:rsidRDefault="00837ACB" w:rsidP="00837ACB">
      <w:pPr>
        <w:spacing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915E8C">
        <w:rPr>
          <w:rFonts w:ascii="Times New Roman" w:eastAsia="Calibri" w:hAnsi="Times New Roman" w:cs="Times New Roman"/>
          <w:b/>
          <w:sz w:val="24"/>
          <w:szCs w:val="24"/>
        </w:rPr>
        <w:lastRenderedPageBreak/>
        <w:t>Информация об авторе на русском языке</w:t>
      </w:r>
    </w:p>
    <w:p w:rsidR="00837ACB" w:rsidRPr="00837ACB" w:rsidRDefault="00837ACB" w:rsidP="00837ACB">
      <w:pPr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Колечков Дмитрий Васильевич</w:t>
      </w:r>
      <w:r w:rsidRPr="00915E8C">
        <w:rPr>
          <w:rFonts w:ascii="Times New Roman" w:eastAsia="Calibri" w:hAnsi="Times New Roman" w:cs="Times New Roman"/>
          <w:sz w:val="24"/>
          <w:szCs w:val="24"/>
        </w:rPr>
        <w:t xml:space="preserve"> (</w:t>
      </w:r>
      <w:r>
        <w:rPr>
          <w:rFonts w:ascii="Times New Roman" w:eastAsia="Calibri" w:hAnsi="Times New Roman" w:cs="Times New Roman"/>
          <w:sz w:val="24"/>
          <w:szCs w:val="24"/>
        </w:rPr>
        <w:t>Россия</w:t>
      </w:r>
      <w:r w:rsidRPr="00915E8C">
        <w:rPr>
          <w:rFonts w:ascii="Times New Roman" w:eastAsia="Calibri" w:hAnsi="Times New Roman" w:cs="Times New Roman"/>
          <w:sz w:val="24"/>
          <w:szCs w:val="24"/>
        </w:rPr>
        <w:t>, г</w:t>
      </w:r>
      <w:r>
        <w:rPr>
          <w:rFonts w:ascii="Times New Roman" w:eastAsia="Calibri" w:hAnsi="Times New Roman" w:cs="Times New Roman"/>
          <w:sz w:val="24"/>
          <w:szCs w:val="24"/>
        </w:rPr>
        <w:t>. Сыктывкар</w:t>
      </w:r>
      <w:r w:rsidRPr="00915E8C">
        <w:rPr>
          <w:rFonts w:ascii="Times New Roman" w:eastAsia="Calibri" w:hAnsi="Times New Roman" w:cs="Times New Roman"/>
          <w:sz w:val="24"/>
          <w:szCs w:val="24"/>
        </w:rPr>
        <w:t>) –</w:t>
      </w:r>
      <w:r>
        <w:rPr>
          <w:rFonts w:ascii="Times New Roman" w:eastAsia="Calibri" w:hAnsi="Times New Roman" w:cs="Times New Roman"/>
          <w:sz w:val="24"/>
          <w:szCs w:val="24"/>
        </w:rPr>
        <w:t xml:space="preserve"> кандидат экономических н</w:t>
      </w:r>
      <w:r>
        <w:rPr>
          <w:rFonts w:ascii="Times New Roman" w:eastAsia="Calibri" w:hAnsi="Times New Roman" w:cs="Times New Roman"/>
          <w:sz w:val="24"/>
          <w:szCs w:val="24"/>
        </w:rPr>
        <w:t>а</w:t>
      </w:r>
      <w:r>
        <w:rPr>
          <w:rFonts w:ascii="Times New Roman" w:eastAsia="Calibri" w:hAnsi="Times New Roman" w:cs="Times New Roman"/>
          <w:sz w:val="24"/>
          <w:szCs w:val="24"/>
        </w:rPr>
        <w:t>ук, старший научный работник</w:t>
      </w:r>
      <w:r w:rsidRPr="00915E8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837ACB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Институт </w:t>
      </w:r>
      <w:r w:rsidRPr="00837ACB">
        <w:rPr>
          <w:rFonts w:ascii="Times New Roman" w:hAnsi="Times New Roman" w:cs="Times New Roman"/>
          <w:color w:val="000000"/>
          <w:sz w:val="24"/>
          <w:szCs w:val="24"/>
        </w:rPr>
        <w:t>социально-экономических и энергетических пр</w:t>
      </w:r>
      <w:r w:rsidRPr="00837ACB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837ACB">
        <w:rPr>
          <w:rFonts w:ascii="Times New Roman" w:hAnsi="Times New Roman" w:cs="Times New Roman"/>
          <w:color w:val="000000"/>
          <w:sz w:val="24"/>
          <w:szCs w:val="24"/>
        </w:rPr>
        <w:t xml:space="preserve">блем Севера Коми НЦ </w:t>
      </w:r>
      <w:r w:rsidRPr="00837ACB">
        <w:rPr>
          <w:rFonts w:ascii="Times New Roman" w:eastAsia="Calibri" w:hAnsi="Times New Roman" w:cs="Times New Roman"/>
          <w:color w:val="000000"/>
          <w:sz w:val="24"/>
          <w:szCs w:val="24"/>
        </w:rPr>
        <w:t>УрО РАН</w:t>
      </w:r>
      <w:r w:rsidRPr="00915E8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837ACB">
        <w:rPr>
          <w:rFonts w:ascii="Times New Roman" w:eastAsia="Calibri" w:hAnsi="Times New Roman" w:cs="Times New Roman"/>
          <w:sz w:val="24"/>
          <w:szCs w:val="24"/>
        </w:rPr>
        <w:t>(</w:t>
      </w:r>
      <w:r w:rsidRPr="00837ACB">
        <w:rPr>
          <w:rFonts w:ascii="Times New Roman" w:hAnsi="Times New Roman" w:cs="Times New Roman"/>
          <w:sz w:val="24"/>
          <w:szCs w:val="24"/>
          <w:shd w:val="clear" w:color="auto" w:fill="FFFFFF"/>
        </w:rPr>
        <w:t>ул. Коммунистическая, д. 26,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837ACB">
        <w:rPr>
          <w:rFonts w:ascii="Times New Roman" w:hAnsi="Times New Roman" w:cs="Times New Roman"/>
          <w:sz w:val="24"/>
          <w:szCs w:val="24"/>
          <w:shd w:val="clear" w:color="auto" w:fill="FFFFFF"/>
        </w:rPr>
        <w:t>г. Сыктывкар,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837ACB">
        <w:rPr>
          <w:rFonts w:ascii="Times New Roman" w:hAnsi="Times New Roman" w:cs="Times New Roman"/>
          <w:sz w:val="24"/>
          <w:szCs w:val="24"/>
          <w:shd w:val="clear" w:color="auto" w:fill="FFFFFF"/>
        </w:rPr>
        <w:t>Республика Коми,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837ACB">
        <w:rPr>
          <w:rFonts w:ascii="Times New Roman" w:hAnsi="Times New Roman" w:cs="Times New Roman"/>
          <w:sz w:val="24"/>
          <w:szCs w:val="24"/>
          <w:shd w:val="clear" w:color="auto" w:fill="FFFFFF"/>
        </w:rPr>
        <w:t>167982, Россия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Pr="00837ACB">
        <w:rPr>
          <w:rFonts w:ascii="Times New Roman" w:eastAsia="Calibri" w:hAnsi="Times New Roman" w:cs="Times New Roman"/>
          <w:sz w:val="24"/>
          <w:szCs w:val="24"/>
        </w:rPr>
        <w:t xml:space="preserve"> </w:t>
      </w:r>
      <w:hyperlink r:id="rId16" w:history="1">
        <w:r w:rsidRPr="00837ACB">
          <w:rPr>
            <w:rStyle w:val="a8"/>
            <w:rFonts w:ascii="Times New Roman" w:hAnsi="Times New Roman" w:cs="Times New Roman"/>
            <w:color w:val="auto"/>
            <w:sz w:val="24"/>
            <w:szCs w:val="24"/>
            <w:shd w:val="clear" w:color="auto" w:fill="FFFFFF"/>
          </w:rPr>
          <w:t>iespn@ksc.komisc.ru</w:t>
        </w:r>
      </w:hyperlink>
      <w:r w:rsidRPr="00837ACB">
        <w:rPr>
          <w:rFonts w:ascii="Times New Roman" w:eastAsia="Calibri" w:hAnsi="Times New Roman" w:cs="Times New Roman"/>
          <w:sz w:val="24"/>
          <w:szCs w:val="24"/>
        </w:rPr>
        <w:t>).</w:t>
      </w:r>
    </w:p>
    <w:p w:rsidR="00B04637" w:rsidRDefault="00B04637" w:rsidP="00837ACB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837ACB" w:rsidRPr="00E561C4" w:rsidRDefault="00B04637" w:rsidP="00837ACB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Kolechkov</w:t>
      </w:r>
      <w:r w:rsidRPr="00E561C4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D</w:t>
      </w:r>
      <w:r w:rsidRPr="00E561C4">
        <w:rPr>
          <w:rFonts w:ascii="Times New Roman" w:eastAsia="Calibri" w:hAnsi="Times New Roman" w:cs="Times New Roman"/>
          <w:b/>
          <w:sz w:val="24"/>
          <w:szCs w:val="24"/>
          <w:lang w:val="en-US"/>
        </w:rPr>
        <w:t>.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V</w:t>
      </w:r>
      <w:r w:rsidRPr="00E561C4">
        <w:rPr>
          <w:rFonts w:ascii="Times New Roman" w:eastAsia="Calibri" w:hAnsi="Times New Roman" w:cs="Times New Roman"/>
          <w:b/>
          <w:sz w:val="24"/>
          <w:szCs w:val="24"/>
          <w:lang w:val="en-US"/>
        </w:rPr>
        <w:t>.</w:t>
      </w:r>
      <w:r w:rsidR="00837ACB" w:rsidRPr="00E561C4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</w:p>
    <w:p w:rsidR="00837ACB" w:rsidRDefault="00B04637" w:rsidP="00837ACB">
      <w:pPr>
        <w:spacing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E561C4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EFFICIENCY OF FINANCIAL RESOURCES OF OFF-BUDGET FUNDS OF THE KOMI REPUBLIC </w:t>
      </w:r>
    </w:p>
    <w:p w:rsidR="00B04637" w:rsidRPr="00B04637" w:rsidRDefault="00B04637" w:rsidP="00837ACB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B04637" w:rsidRPr="00B04637" w:rsidRDefault="00B04637" w:rsidP="00B04637">
      <w:pPr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  <w:r w:rsidRPr="00B04637">
        <w:rPr>
          <w:rFonts w:ascii="Times New Roman" w:eastAsia="Times New Roman" w:hAnsi="Times New Roman" w:cs="Times New Roman"/>
          <w:b/>
          <w:i/>
          <w:sz w:val="24"/>
          <w:szCs w:val="24"/>
          <w:lang w:val="en-US" w:eastAsia="ru-RU"/>
        </w:rPr>
        <w:t>Summary.</w:t>
      </w:r>
      <w:r w:rsidRPr="00B04637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 In article questions of formation and effective use of financial resources of state non-budgetary funds of the Republic of Komi for 2010-2016 are considered. The analysis has r</w:t>
      </w:r>
      <w:r w:rsidRPr="00B04637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e</w:t>
      </w:r>
      <w:r w:rsidRPr="00B04637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vealed imbalance of their budgets and low efficiency of financial activity.</w:t>
      </w:r>
    </w:p>
    <w:p w:rsidR="00837ACB" w:rsidRPr="00B04637" w:rsidRDefault="00B04637" w:rsidP="00B04637">
      <w:pPr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  <w:r w:rsidRPr="00B04637">
        <w:rPr>
          <w:rFonts w:ascii="Times New Roman" w:eastAsia="Times New Roman" w:hAnsi="Times New Roman" w:cs="Times New Roman"/>
          <w:b/>
          <w:i/>
          <w:sz w:val="24"/>
          <w:szCs w:val="24"/>
          <w:lang w:val="en-US" w:eastAsia="ru-RU"/>
        </w:rPr>
        <w:t>Keywords.</w:t>
      </w:r>
      <w:r w:rsidRPr="00B04637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 Off-budget funds, efficiency, income and expenses, balance of the budget, budget deficit.</w:t>
      </w:r>
    </w:p>
    <w:p w:rsidR="00B04637" w:rsidRDefault="00B04637" w:rsidP="00837ACB">
      <w:pPr>
        <w:spacing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:rsidR="00837ACB" w:rsidRPr="00B04637" w:rsidRDefault="00B04637" w:rsidP="00B04637">
      <w:pPr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04637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Information on the author. </w:t>
      </w:r>
      <w:r w:rsidRPr="00ED5D13">
        <w:rPr>
          <w:rFonts w:ascii="Times New Roman" w:hAnsi="Times New Roman" w:cs="Times New Roman"/>
          <w:sz w:val="28"/>
          <w:szCs w:val="28"/>
          <w:lang w:val="en-US"/>
        </w:rPr>
        <w:t>Kolechkov Dmitr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ED5D13">
        <w:rPr>
          <w:rFonts w:ascii="Times New Roman" w:hAnsi="Times New Roman" w:cs="Times New Roman"/>
          <w:sz w:val="28"/>
          <w:szCs w:val="28"/>
          <w:lang w:val="en-US"/>
        </w:rPr>
        <w:t>y Vasilyevich, Candidate of Ec</w:t>
      </w:r>
      <w:r w:rsidRPr="00ED5D13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ED5D13">
        <w:rPr>
          <w:rFonts w:ascii="Times New Roman" w:hAnsi="Times New Roman" w:cs="Times New Roman"/>
          <w:sz w:val="28"/>
          <w:szCs w:val="28"/>
          <w:lang w:val="en-US"/>
        </w:rPr>
        <w:t>nomic Sciences,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04637">
        <w:rPr>
          <w:rFonts w:ascii="Times New Roman" w:hAnsi="Times New Roman" w:cs="Times New Roman"/>
          <w:sz w:val="28"/>
          <w:szCs w:val="28"/>
          <w:lang w:val="en-US"/>
        </w:rPr>
        <w:t xml:space="preserve">senior research associate, 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970F88">
        <w:rPr>
          <w:rFonts w:ascii="Times New Roman" w:hAnsi="Times New Roman" w:cs="Times New Roman"/>
          <w:sz w:val="28"/>
          <w:szCs w:val="28"/>
          <w:lang w:val="en-US"/>
        </w:rPr>
        <w:t>ocial and economic problems of the North, Komi Scientific Center, Ural Branch of the Russian Academy of Sciences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B04637">
        <w:rPr>
          <w:rFonts w:ascii="Times New Roman" w:hAnsi="Times New Roman" w:cs="Times New Roman"/>
          <w:sz w:val="28"/>
          <w:szCs w:val="28"/>
          <w:lang w:val="en-US"/>
        </w:rPr>
        <w:t>Kommunisticheskaya St., 26, Syktyvkar, Komi Republic, 167982, Russia, iespn@ksc.komisc.ru</w:t>
      </w:r>
      <w:r>
        <w:rPr>
          <w:rFonts w:ascii="Times New Roman" w:hAnsi="Times New Roman" w:cs="Times New Roman"/>
          <w:sz w:val="28"/>
          <w:szCs w:val="28"/>
          <w:lang w:val="en-US"/>
        </w:rPr>
        <w:t>).</w:t>
      </w:r>
    </w:p>
    <w:p w:rsidR="00B04637" w:rsidRDefault="00B04637" w:rsidP="00B04637">
      <w:pPr>
        <w:spacing w:line="360" w:lineRule="auto"/>
        <w:ind w:left="0" w:firstLine="709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L</w:t>
      </w:r>
      <w:r w:rsidRPr="00E561C4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ist of references.</w:t>
      </w:r>
    </w:p>
    <w:p w:rsidR="00B04637" w:rsidRPr="00B04637" w:rsidRDefault="00B04637" w:rsidP="00B04637">
      <w:pPr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046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1. Rozanov A. Public pension fund management: best practice and international experience / A. Rozanov // Asian Economic Policy Review. – 2015. – № 10. – P. 275</w:t>
      </w:r>
      <w:r w:rsidRPr="00E561C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-</w:t>
      </w:r>
      <w:r w:rsidRPr="00B046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295.</w:t>
      </w:r>
    </w:p>
    <w:p w:rsidR="00B04637" w:rsidRPr="00B04637" w:rsidRDefault="00B04637" w:rsidP="00B04637">
      <w:pPr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046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2. Public and municipal finances. Electronic resource. – URL: http://www.grandars.ru/student/finansy/pensionnyy-fond.html</w:t>
      </w:r>
    </w:p>
    <w:p w:rsidR="00B04637" w:rsidRPr="00B04637" w:rsidRDefault="00B04637" w:rsidP="00B04637">
      <w:pPr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046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3. Kasacheva O.V. Ensuring balance of financial flows of fund of social insurance of the Russian Federation at the present stage//the Bulletin of the Tomsk state university. 2012. No. 2(18)</w:t>
      </w:r>
    </w:p>
    <w:p w:rsidR="00B04637" w:rsidRPr="00B04637" w:rsidRDefault="00B04637" w:rsidP="00B04637">
      <w:pPr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046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4. The main directions of the budgetary policy for 2015 and for planning period of 2016 and 2017 – URL: http://www.consultant.ru/</w:t>
      </w:r>
    </w:p>
    <w:p w:rsidR="00837ACB" w:rsidRPr="00B04637" w:rsidRDefault="00B04637" w:rsidP="00B04637">
      <w:pPr>
        <w:spacing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046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5. Pudovkin A.V. International experience of use of voluntary and obligatory funded pension systems: lessons for Russia / A.V. Pudovkin//the Messenger of MGIMO. – 2016. – No. 3 (48).</w:t>
      </w:r>
    </w:p>
    <w:sectPr w:rsidR="00837ACB" w:rsidRPr="00B04637" w:rsidSect="00D92629">
      <w:footerReference w:type="default" r:id="rId1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687E" w:rsidRDefault="000C687E" w:rsidP="000E31A7">
      <w:r>
        <w:separator/>
      </w:r>
    </w:p>
  </w:endnote>
  <w:endnote w:type="continuationSeparator" w:id="1">
    <w:p w:rsidR="000C687E" w:rsidRDefault="000C687E" w:rsidP="000E31A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46B" w:rsidRDefault="00E5046B">
    <w:pPr>
      <w:pStyle w:val="af2"/>
    </w:pPr>
  </w:p>
  <w:p w:rsidR="00E5046B" w:rsidRDefault="00E5046B">
    <w:pPr>
      <w:pStyle w:val="af2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687E" w:rsidRDefault="000C687E" w:rsidP="000E31A7">
      <w:r>
        <w:separator/>
      </w:r>
    </w:p>
  </w:footnote>
  <w:footnote w:type="continuationSeparator" w:id="1">
    <w:p w:rsidR="000C687E" w:rsidRDefault="000C687E" w:rsidP="000E31A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4D6FDA"/>
    <w:multiLevelType w:val="hybridMultilevel"/>
    <w:tmpl w:val="14F2EA4A"/>
    <w:lvl w:ilvl="0" w:tplc="B3484B9E">
      <w:start w:val="1"/>
      <w:numFmt w:val="decimal"/>
      <w:lvlText w:val="%1."/>
      <w:lvlJc w:val="left"/>
      <w:pPr>
        <w:ind w:left="720" w:hanging="360"/>
      </w:pPr>
      <w:rPr>
        <w:i w:val="0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EC1938"/>
    <w:multiLevelType w:val="multilevel"/>
    <w:tmpl w:val="6E38B97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63107F8"/>
    <w:multiLevelType w:val="hybridMultilevel"/>
    <w:tmpl w:val="49DE5522"/>
    <w:lvl w:ilvl="0" w:tplc="5B46E6E8">
      <w:start w:val="1"/>
      <w:numFmt w:val="decimal"/>
      <w:lvlText w:val="%1."/>
      <w:lvlJc w:val="left"/>
      <w:pPr>
        <w:ind w:left="928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28E80E4E"/>
    <w:multiLevelType w:val="multilevel"/>
    <w:tmpl w:val="B29A63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3BB1138"/>
    <w:multiLevelType w:val="multilevel"/>
    <w:tmpl w:val="8BF837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1E20C03"/>
    <w:multiLevelType w:val="hybridMultilevel"/>
    <w:tmpl w:val="F1B68DD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381304F"/>
    <w:multiLevelType w:val="hybridMultilevel"/>
    <w:tmpl w:val="0F94E6A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5CBE2369"/>
    <w:multiLevelType w:val="multilevel"/>
    <w:tmpl w:val="692AD8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7390673"/>
    <w:multiLevelType w:val="multilevel"/>
    <w:tmpl w:val="44EA23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8"/>
  </w:num>
  <w:num w:numId="5">
    <w:abstractNumId w:val="0"/>
  </w:num>
  <w:num w:numId="6">
    <w:abstractNumId w:val="6"/>
  </w:num>
  <w:num w:numId="7">
    <w:abstractNumId w:val="2"/>
  </w:num>
  <w:num w:numId="8">
    <w:abstractNumId w:val="7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hyphenationZone w:val="357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41A71"/>
    <w:rsid w:val="000002E4"/>
    <w:rsid w:val="00001139"/>
    <w:rsid w:val="00001E23"/>
    <w:rsid w:val="00001E62"/>
    <w:rsid w:val="00001F73"/>
    <w:rsid w:val="000033C6"/>
    <w:rsid w:val="00003E28"/>
    <w:rsid w:val="00004F0D"/>
    <w:rsid w:val="0000556B"/>
    <w:rsid w:val="00005D40"/>
    <w:rsid w:val="0000605E"/>
    <w:rsid w:val="00007D9E"/>
    <w:rsid w:val="000117A9"/>
    <w:rsid w:val="00012FFA"/>
    <w:rsid w:val="00013FA9"/>
    <w:rsid w:val="00015F34"/>
    <w:rsid w:val="000160AB"/>
    <w:rsid w:val="000163CC"/>
    <w:rsid w:val="00017324"/>
    <w:rsid w:val="000204AA"/>
    <w:rsid w:val="00021F90"/>
    <w:rsid w:val="00022512"/>
    <w:rsid w:val="00023F75"/>
    <w:rsid w:val="00024A5C"/>
    <w:rsid w:val="00024F1F"/>
    <w:rsid w:val="00026D6B"/>
    <w:rsid w:val="000277B8"/>
    <w:rsid w:val="00030284"/>
    <w:rsid w:val="000308F4"/>
    <w:rsid w:val="00030AA3"/>
    <w:rsid w:val="00030F28"/>
    <w:rsid w:val="000314CE"/>
    <w:rsid w:val="00031EE9"/>
    <w:rsid w:val="000334EE"/>
    <w:rsid w:val="00033CE1"/>
    <w:rsid w:val="00035AAE"/>
    <w:rsid w:val="00035F52"/>
    <w:rsid w:val="000406AB"/>
    <w:rsid w:val="0004099F"/>
    <w:rsid w:val="00041436"/>
    <w:rsid w:val="0004162D"/>
    <w:rsid w:val="0004295D"/>
    <w:rsid w:val="0004297B"/>
    <w:rsid w:val="00042BA9"/>
    <w:rsid w:val="000430CE"/>
    <w:rsid w:val="00043122"/>
    <w:rsid w:val="000436AC"/>
    <w:rsid w:val="00046992"/>
    <w:rsid w:val="000479AA"/>
    <w:rsid w:val="00047B56"/>
    <w:rsid w:val="000506B5"/>
    <w:rsid w:val="00051DBA"/>
    <w:rsid w:val="00053234"/>
    <w:rsid w:val="00054C43"/>
    <w:rsid w:val="000550F3"/>
    <w:rsid w:val="00055704"/>
    <w:rsid w:val="00055C1E"/>
    <w:rsid w:val="0005696C"/>
    <w:rsid w:val="000576FA"/>
    <w:rsid w:val="00060DC2"/>
    <w:rsid w:val="000613A8"/>
    <w:rsid w:val="00062C25"/>
    <w:rsid w:val="00065159"/>
    <w:rsid w:val="00065F24"/>
    <w:rsid w:val="00066341"/>
    <w:rsid w:val="00067599"/>
    <w:rsid w:val="00067A77"/>
    <w:rsid w:val="00067A84"/>
    <w:rsid w:val="00067E8B"/>
    <w:rsid w:val="0007041D"/>
    <w:rsid w:val="000707CA"/>
    <w:rsid w:val="0007179E"/>
    <w:rsid w:val="00073348"/>
    <w:rsid w:val="00074919"/>
    <w:rsid w:val="000750C1"/>
    <w:rsid w:val="00075A87"/>
    <w:rsid w:val="000763B6"/>
    <w:rsid w:val="00076AE7"/>
    <w:rsid w:val="0008056C"/>
    <w:rsid w:val="0008139F"/>
    <w:rsid w:val="00083ED2"/>
    <w:rsid w:val="00084ABF"/>
    <w:rsid w:val="00084C10"/>
    <w:rsid w:val="00084D05"/>
    <w:rsid w:val="0008514F"/>
    <w:rsid w:val="00085294"/>
    <w:rsid w:val="0008579B"/>
    <w:rsid w:val="000869F1"/>
    <w:rsid w:val="00090813"/>
    <w:rsid w:val="00091038"/>
    <w:rsid w:val="00091829"/>
    <w:rsid w:val="00092B26"/>
    <w:rsid w:val="00093904"/>
    <w:rsid w:val="00093CCA"/>
    <w:rsid w:val="000956F6"/>
    <w:rsid w:val="00096A21"/>
    <w:rsid w:val="000971D7"/>
    <w:rsid w:val="000A070E"/>
    <w:rsid w:val="000A0AAB"/>
    <w:rsid w:val="000A2111"/>
    <w:rsid w:val="000A2752"/>
    <w:rsid w:val="000A56B9"/>
    <w:rsid w:val="000A6189"/>
    <w:rsid w:val="000A7964"/>
    <w:rsid w:val="000B2D68"/>
    <w:rsid w:val="000B6065"/>
    <w:rsid w:val="000B63EA"/>
    <w:rsid w:val="000C1291"/>
    <w:rsid w:val="000C197D"/>
    <w:rsid w:val="000C1EE3"/>
    <w:rsid w:val="000C2481"/>
    <w:rsid w:val="000C5072"/>
    <w:rsid w:val="000C60D4"/>
    <w:rsid w:val="000C687E"/>
    <w:rsid w:val="000C69D8"/>
    <w:rsid w:val="000D103E"/>
    <w:rsid w:val="000D1314"/>
    <w:rsid w:val="000D157B"/>
    <w:rsid w:val="000D2F72"/>
    <w:rsid w:val="000D3195"/>
    <w:rsid w:val="000D5CDC"/>
    <w:rsid w:val="000D78F6"/>
    <w:rsid w:val="000E046A"/>
    <w:rsid w:val="000E0E23"/>
    <w:rsid w:val="000E24A9"/>
    <w:rsid w:val="000E2CFA"/>
    <w:rsid w:val="000E2F6F"/>
    <w:rsid w:val="000E3022"/>
    <w:rsid w:val="000E31A7"/>
    <w:rsid w:val="000E4172"/>
    <w:rsid w:val="000E6BFD"/>
    <w:rsid w:val="000E7234"/>
    <w:rsid w:val="000E7981"/>
    <w:rsid w:val="000F01DA"/>
    <w:rsid w:val="000F09A3"/>
    <w:rsid w:val="000F0CCF"/>
    <w:rsid w:val="000F14B1"/>
    <w:rsid w:val="000F1B98"/>
    <w:rsid w:val="000F238C"/>
    <w:rsid w:val="000F43A1"/>
    <w:rsid w:val="000F49E7"/>
    <w:rsid w:val="000F4F0C"/>
    <w:rsid w:val="000F5040"/>
    <w:rsid w:val="000F52C0"/>
    <w:rsid w:val="000F537D"/>
    <w:rsid w:val="000F6B93"/>
    <w:rsid w:val="001009B8"/>
    <w:rsid w:val="00100CCF"/>
    <w:rsid w:val="00101E12"/>
    <w:rsid w:val="00104081"/>
    <w:rsid w:val="0010451E"/>
    <w:rsid w:val="001048C9"/>
    <w:rsid w:val="001058D3"/>
    <w:rsid w:val="00110F4D"/>
    <w:rsid w:val="00114A6E"/>
    <w:rsid w:val="0011666B"/>
    <w:rsid w:val="001206F4"/>
    <w:rsid w:val="00121E16"/>
    <w:rsid w:val="00123A56"/>
    <w:rsid w:val="00123C97"/>
    <w:rsid w:val="00124010"/>
    <w:rsid w:val="0012507C"/>
    <w:rsid w:val="00125A88"/>
    <w:rsid w:val="00127EBE"/>
    <w:rsid w:val="00127EE9"/>
    <w:rsid w:val="00127FFC"/>
    <w:rsid w:val="001309AC"/>
    <w:rsid w:val="00130FE7"/>
    <w:rsid w:val="0013265A"/>
    <w:rsid w:val="00132E63"/>
    <w:rsid w:val="00133445"/>
    <w:rsid w:val="00135779"/>
    <w:rsid w:val="00136EC6"/>
    <w:rsid w:val="0014112F"/>
    <w:rsid w:val="001418ED"/>
    <w:rsid w:val="00141E44"/>
    <w:rsid w:val="00142376"/>
    <w:rsid w:val="00143F6A"/>
    <w:rsid w:val="00144815"/>
    <w:rsid w:val="00144C1E"/>
    <w:rsid w:val="00144C56"/>
    <w:rsid w:val="001479E1"/>
    <w:rsid w:val="001518AA"/>
    <w:rsid w:val="00151DA2"/>
    <w:rsid w:val="00153897"/>
    <w:rsid w:val="00153E99"/>
    <w:rsid w:val="00155CC5"/>
    <w:rsid w:val="00156926"/>
    <w:rsid w:val="001617CA"/>
    <w:rsid w:val="00163864"/>
    <w:rsid w:val="0016443D"/>
    <w:rsid w:val="00165D17"/>
    <w:rsid w:val="001673F4"/>
    <w:rsid w:val="00167A54"/>
    <w:rsid w:val="00170DF7"/>
    <w:rsid w:val="00175EDC"/>
    <w:rsid w:val="00176990"/>
    <w:rsid w:val="00183636"/>
    <w:rsid w:val="00184482"/>
    <w:rsid w:val="00185A67"/>
    <w:rsid w:val="0018675A"/>
    <w:rsid w:val="00186C4E"/>
    <w:rsid w:val="0018715F"/>
    <w:rsid w:val="001874D5"/>
    <w:rsid w:val="00191116"/>
    <w:rsid w:val="001941AE"/>
    <w:rsid w:val="00194E3F"/>
    <w:rsid w:val="001963CD"/>
    <w:rsid w:val="00196446"/>
    <w:rsid w:val="00196AD8"/>
    <w:rsid w:val="00197A00"/>
    <w:rsid w:val="001A02B2"/>
    <w:rsid w:val="001A0E9B"/>
    <w:rsid w:val="001A26ED"/>
    <w:rsid w:val="001A55B7"/>
    <w:rsid w:val="001A625D"/>
    <w:rsid w:val="001A7F02"/>
    <w:rsid w:val="001B2ECC"/>
    <w:rsid w:val="001B3B67"/>
    <w:rsid w:val="001B4429"/>
    <w:rsid w:val="001B47C6"/>
    <w:rsid w:val="001C29DC"/>
    <w:rsid w:val="001C3633"/>
    <w:rsid w:val="001C4828"/>
    <w:rsid w:val="001C6410"/>
    <w:rsid w:val="001C67F7"/>
    <w:rsid w:val="001C78AE"/>
    <w:rsid w:val="001D0DEE"/>
    <w:rsid w:val="001D440B"/>
    <w:rsid w:val="001D53DA"/>
    <w:rsid w:val="001D63A7"/>
    <w:rsid w:val="001D63B1"/>
    <w:rsid w:val="001D712B"/>
    <w:rsid w:val="001D767D"/>
    <w:rsid w:val="001E02D3"/>
    <w:rsid w:val="001E15D7"/>
    <w:rsid w:val="001E2906"/>
    <w:rsid w:val="001E341F"/>
    <w:rsid w:val="001E35EA"/>
    <w:rsid w:val="001E4507"/>
    <w:rsid w:val="001E4624"/>
    <w:rsid w:val="001E5152"/>
    <w:rsid w:val="001E5C4C"/>
    <w:rsid w:val="001E5FFC"/>
    <w:rsid w:val="001F0F4D"/>
    <w:rsid w:val="001F1C1B"/>
    <w:rsid w:val="001F396B"/>
    <w:rsid w:val="001F3AA4"/>
    <w:rsid w:val="001F3FB5"/>
    <w:rsid w:val="001F4A60"/>
    <w:rsid w:val="001F68B0"/>
    <w:rsid w:val="001F6D98"/>
    <w:rsid w:val="001F6DC6"/>
    <w:rsid w:val="001F7F17"/>
    <w:rsid w:val="00200920"/>
    <w:rsid w:val="00200C5E"/>
    <w:rsid w:val="0020134B"/>
    <w:rsid w:val="002016AC"/>
    <w:rsid w:val="00201C9F"/>
    <w:rsid w:val="00203AA5"/>
    <w:rsid w:val="00206D83"/>
    <w:rsid w:val="00207F92"/>
    <w:rsid w:val="00210B3A"/>
    <w:rsid w:val="00210C4E"/>
    <w:rsid w:val="00211C0B"/>
    <w:rsid w:val="00211D0A"/>
    <w:rsid w:val="00212BFB"/>
    <w:rsid w:val="00214A56"/>
    <w:rsid w:val="00214BBC"/>
    <w:rsid w:val="00214E8B"/>
    <w:rsid w:val="002158B1"/>
    <w:rsid w:val="00215C7F"/>
    <w:rsid w:val="002164D5"/>
    <w:rsid w:val="00217B7D"/>
    <w:rsid w:val="00220081"/>
    <w:rsid w:val="00221F06"/>
    <w:rsid w:val="00222A60"/>
    <w:rsid w:val="00224009"/>
    <w:rsid w:val="00224284"/>
    <w:rsid w:val="002243EF"/>
    <w:rsid w:val="00224995"/>
    <w:rsid w:val="0022516A"/>
    <w:rsid w:val="00226647"/>
    <w:rsid w:val="00226EA3"/>
    <w:rsid w:val="00230ED9"/>
    <w:rsid w:val="002324E7"/>
    <w:rsid w:val="00232E62"/>
    <w:rsid w:val="0023438A"/>
    <w:rsid w:val="00234589"/>
    <w:rsid w:val="00234BAB"/>
    <w:rsid w:val="00235DFB"/>
    <w:rsid w:val="00240C19"/>
    <w:rsid w:val="00241670"/>
    <w:rsid w:val="00241C70"/>
    <w:rsid w:val="00242414"/>
    <w:rsid w:val="002427B1"/>
    <w:rsid w:val="00244E76"/>
    <w:rsid w:val="00245EEA"/>
    <w:rsid w:val="0024653C"/>
    <w:rsid w:val="00246CEC"/>
    <w:rsid w:val="00246E32"/>
    <w:rsid w:val="002514E1"/>
    <w:rsid w:val="00252F5C"/>
    <w:rsid w:val="002536A6"/>
    <w:rsid w:val="00253D0B"/>
    <w:rsid w:val="002540F7"/>
    <w:rsid w:val="00255182"/>
    <w:rsid w:val="0025535A"/>
    <w:rsid w:val="00257D13"/>
    <w:rsid w:val="00257E56"/>
    <w:rsid w:val="002605D8"/>
    <w:rsid w:val="00261C13"/>
    <w:rsid w:val="00262675"/>
    <w:rsid w:val="0026364F"/>
    <w:rsid w:val="00264C74"/>
    <w:rsid w:val="00265C5D"/>
    <w:rsid w:val="00267DB9"/>
    <w:rsid w:val="00270A8C"/>
    <w:rsid w:val="00270BC2"/>
    <w:rsid w:val="00270F60"/>
    <w:rsid w:val="0027256D"/>
    <w:rsid w:val="00274293"/>
    <w:rsid w:val="00275019"/>
    <w:rsid w:val="002774D2"/>
    <w:rsid w:val="002813B7"/>
    <w:rsid w:val="00281D4E"/>
    <w:rsid w:val="002822C2"/>
    <w:rsid w:val="00282517"/>
    <w:rsid w:val="00282E91"/>
    <w:rsid w:val="00285270"/>
    <w:rsid w:val="0028547C"/>
    <w:rsid w:val="002858B9"/>
    <w:rsid w:val="00287D5D"/>
    <w:rsid w:val="002917A8"/>
    <w:rsid w:val="00292013"/>
    <w:rsid w:val="0029254E"/>
    <w:rsid w:val="00292C65"/>
    <w:rsid w:val="00292FAB"/>
    <w:rsid w:val="00293712"/>
    <w:rsid w:val="00294386"/>
    <w:rsid w:val="00296A7A"/>
    <w:rsid w:val="00296CDE"/>
    <w:rsid w:val="00296FA0"/>
    <w:rsid w:val="002976BB"/>
    <w:rsid w:val="002A09FC"/>
    <w:rsid w:val="002A0C0F"/>
    <w:rsid w:val="002A2D8C"/>
    <w:rsid w:val="002A2F1C"/>
    <w:rsid w:val="002A5F82"/>
    <w:rsid w:val="002A60C1"/>
    <w:rsid w:val="002A655F"/>
    <w:rsid w:val="002A6BBE"/>
    <w:rsid w:val="002A709A"/>
    <w:rsid w:val="002A7577"/>
    <w:rsid w:val="002B052F"/>
    <w:rsid w:val="002B1F78"/>
    <w:rsid w:val="002B28FD"/>
    <w:rsid w:val="002B2CAB"/>
    <w:rsid w:val="002B3721"/>
    <w:rsid w:val="002B3FDC"/>
    <w:rsid w:val="002B40D1"/>
    <w:rsid w:val="002B5758"/>
    <w:rsid w:val="002B5DD9"/>
    <w:rsid w:val="002B6532"/>
    <w:rsid w:val="002B69D3"/>
    <w:rsid w:val="002B78C3"/>
    <w:rsid w:val="002B7D8D"/>
    <w:rsid w:val="002C01E0"/>
    <w:rsid w:val="002C13C1"/>
    <w:rsid w:val="002C43C5"/>
    <w:rsid w:val="002C7213"/>
    <w:rsid w:val="002D11F5"/>
    <w:rsid w:val="002D1AD8"/>
    <w:rsid w:val="002E08B5"/>
    <w:rsid w:val="002E1D49"/>
    <w:rsid w:val="002E3388"/>
    <w:rsid w:val="002E3EFB"/>
    <w:rsid w:val="002E4AB9"/>
    <w:rsid w:val="002E5D91"/>
    <w:rsid w:val="002E76FC"/>
    <w:rsid w:val="002E7E15"/>
    <w:rsid w:val="002F06BC"/>
    <w:rsid w:val="002F0DE6"/>
    <w:rsid w:val="002F3931"/>
    <w:rsid w:val="002F43A5"/>
    <w:rsid w:val="002F4EB3"/>
    <w:rsid w:val="002F6F11"/>
    <w:rsid w:val="003003CE"/>
    <w:rsid w:val="00300A1D"/>
    <w:rsid w:val="00300E19"/>
    <w:rsid w:val="00303366"/>
    <w:rsid w:val="003042B1"/>
    <w:rsid w:val="0030639E"/>
    <w:rsid w:val="003072FE"/>
    <w:rsid w:val="00310C9F"/>
    <w:rsid w:val="003110B5"/>
    <w:rsid w:val="00311D69"/>
    <w:rsid w:val="003120D8"/>
    <w:rsid w:val="003162E9"/>
    <w:rsid w:val="003176D9"/>
    <w:rsid w:val="00317712"/>
    <w:rsid w:val="00322C00"/>
    <w:rsid w:val="00323AFE"/>
    <w:rsid w:val="00323FD8"/>
    <w:rsid w:val="00324F11"/>
    <w:rsid w:val="00325F49"/>
    <w:rsid w:val="00326562"/>
    <w:rsid w:val="00326AA1"/>
    <w:rsid w:val="00326FDD"/>
    <w:rsid w:val="00327493"/>
    <w:rsid w:val="00327E69"/>
    <w:rsid w:val="003324B6"/>
    <w:rsid w:val="00334BEA"/>
    <w:rsid w:val="00334FEB"/>
    <w:rsid w:val="00335314"/>
    <w:rsid w:val="00335C5B"/>
    <w:rsid w:val="003371C5"/>
    <w:rsid w:val="003406FC"/>
    <w:rsid w:val="003412B8"/>
    <w:rsid w:val="00341CF1"/>
    <w:rsid w:val="00341D22"/>
    <w:rsid w:val="003421F6"/>
    <w:rsid w:val="0034315F"/>
    <w:rsid w:val="0034344D"/>
    <w:rsid w:val="00343A27"/>
    <w:rsid w:val="00343CD8"/>
    <w:rsid w:val="00344EF1"/>
    <w:rsid w:val="003454AE"/>
    <w:rsid w:val="003476E4"/>
    <w:rsid w:val="00347F3A"/>
    <w:rsid w:val="00350FA1"/>
    <w:rsid w:val="00351F53"/>
    <w:rsid w:val="0035271B"/>
    <w:rsid w:val="0035655D"/>
    <w:rsid w:val="0035679A"/>
    <w:rsid w:val="00356EB5"/>
    <w:rsid w:val="00356FFA"/>
    <w:rsid w:val="00357C92"/>
    <w:rsid w:val="00360557"/>
    <w:rsid w:val="00363555"/>
    <w:rsid w:val="00363660"/>
    <w:rsid w:val="00364CE5"/>
    <w:rsid w:val="0036523A"/>
    <w:rsid w:val="0036633A"/>
    <w:rsid w:val="003669C5"/>
    <w:rsid w:val="003705AB"/>
    <w:rsid w:val="00370C29"/>
    <w:rsid w:val="00371AA1"/>
    <w:rsid w:val="003725BB"/>
    <w:rsid w:val="00373236"/>
    <w:rsid w:val="00376D97"/>
    <w:rsid w:val="00376E9A"/>
    <w:rsid w:val="00377080"/>
    <w:rsid w:val="00383227"/>
    <w:rsid w:val="0038322D"/>
    <w:rsid w:val="003839EE"/>
    <w:rsid w:val="0038638A"/>
    <w:rsid w:val="00386948"/>
    <w:rsid w:val="003879DB"/>
    <w:rsid w:val="0039068E"/>
    <w:rsid w:val="003909D6"/>
    <w:rsid w:val="00390C97"/>
    <w:rsid w:val="00390EC5"/>
    <w:rsid w:val="00391494"/>
    <w:rsid w:val="0039194C"/>
    <w:rsid w:val="00392140"/>
    <w:rsid w:val="00392E70"/>
    <w:rsid w:val="003947B1"/>
    <w:rsid w:val="00394A57"/>
    <w:rsid w:val="003954A7"/>
    <w:rsid w:val="00396442"/>
    <w:rsid w:val="003A08D1"/>
    <w:rsid w:val="003A1F6A"/>
    <w:rsid w:val="003A22E8"/>
    <w:rsid w:val="003A2672"/>
    <w:rsid w:val="003A52F4"/>
    <w:rsid w:val="003A605E"/>
    <w:rsid w:val="003A63F4"/>
    <w:rsid w:val="003A676F"/>
    <w:rsid w:val="003A6805"/>
    <w:rsid w:val="003A77E7"/>
    <w:rsid w:val="003A7FA7"/>
    <w:rsid w:val="003B04AC"/>
    <w:rsid w:val="003B061F"/>
    <w:rsid w:val="003B18CE"/>
    <w:rsid w:val="003B24B4"/>
    <w:rsid w:val="003B2BF5"/>
    <w:rsid w:val="003B3E46"/>
    <w:rsid w:val="003B53C8"/>
    <w:rsid w:val="003B56D8"/>
    <w:rsid w:val="003B5E14"/>
    <w:rsid w:val="003B61D8"/>
    <w:rsid w:val="003B7325"/>
    <w:rsid w:val="003B783B"/>
    <w:rsid w:val="003B78F5"/>
    <w:rsid w:val="003C1780"/>
    <w:rsid w:val="003C340B"/>
    <w:rsid w:val="003C57D2"/>
    <w:rsid w:val="003C653B"/>
    <w:rsid w:val="003C662B"/>
    <w:rsid w:val="003C6B1E"/>
    <w:rsid w:val="003D0919"/>
    <w:rsid w:val="003D459C"/>
    <w:rsid w:val="003D48DC"/>
    <w:rsid w:val="003D58AC"/>
    <w:rsid w:val="003D6269"/>
    <w:rsid w:val="003D6AE7"/>
    <w:rsid w:val="003D6E2F"/>
    <w:rsid w:val="003D7035"/>
    <w:rsid w:val="003D7B48"/>
    <w:rsid w:val="003D7CF4"/>
    <w:rsid w:val="003D7E13"/>
    <w:rsid w:val="003D7FE9"/>
    <w:rsid w:val="003E07DE"/>
    <w:rsid w:val="003E11E9"/>
    <w:rsid w:val="003E15A2"/>
    <w:rsid w:val="003E217D"/>
    <w:rsid w:val="003E24B0"/>
    <w:rsid w:val="003E32AD"/>
    <w:rsid w:val="003E3455"/>
    <w:rsid w:val="003E4CE1"/>
    <w:rsid w:val="003E6088"/>
    <w:rsid w:val="003E7349"/>
    <w:rsid w:val="003F017F"/>
    <w:rsid w:val="003F0C8B"/>
    <w:rsid w:val="003F100E"/>
    <w:rsid w:val="003F16CC"/>
    <w:rsid w:val="003F1710"/>
    <w:rsid w:val="003F2C53"/>
    <w:rsid w:val="003F5766"/>
    <w:rsid w:val="003F5FE2"/>
    <w:rsid w:val="003F6246"/>
    <w:rsid w:val="003F6EA7"/>
    <w:rsid w:val="004006C6"/>
    <w:rsid w:val="0040186F"/>
    <w:rsid w:val="00402910"/>
    <w:rsid w:val="00402B05"/>
    <w:rsid w:val="00403424"/>
    <w:rsid w:val="0040388F"/>
    <w:rsid w:val="00404C85"/>
    <w:rsid w:val="004103AA"/>
    <w:rsid w:val="00410D15"/>
    <w:rsid w:val="00411A45"/>
    <w:rsid w:val="00411CA3"/>
    <w:rsid w:val="0041259C"/>
    <w:rsid w:val="00413EC8"/>
    <w:rsid w:val="00414662"/>
    <w:rsid w:val="00415F2E"/>
    <w:rsid w:val="00420E1C"/>
    <w:rsid w:val="004251B3"/>
    <w:rsid w:val="00426160"/>
    <w:rsid w:val="004329C7"/>
    <w:rsid w:val="00432B21"/>
    <w:rsid w:val="00434C8F"/>
    <w:rsid w:val="0043672A"/>
    <w:rsid w:val="00436E8A"/>
    <w:rsid w:val="004416AA"/>
    <w:rsid w:val="00444DE0"/>
    <w:rsid w:val="00447358"/>
    <w:rsid w:val="0045304E"/>
    <w:rsid w:val="00453160"/>
    <w:rsid w:val="00461AD3"/>
    <w:rsid w:val="00462724"/>
    <w:rsid w:val="00463A7F"/>
    <w:rsid w:val="004669EE"/>
    <w:rsid w:val="00466B9B"/>
    <w:rsid w:val="004703D5"/>
    <w:rsid w:val="00471473"/>
    <w:rsid w:val="00471D51"/>
    <w:rsid w:val="004729C8"/>
    <w:rsid w:val="0047522D"/>
    <w:rsid w:val="00476286"/>
    <w:rsid w:val="004765F3"/>
    <w:rsid w:val="0047728B"/>
    <w:rsid w:val="00477479"/>
    <w:rsid w:val="004779A8"/>
    <w:rsid w:val="00480593"/>
    <w:rsid w:val="00482391"/>
    <w:rsid w:val="004829E7"/>
    <w:rsid w:val="004832C1"/>
    <w:rsid w:val="00485530"/>
    <w:rsid w:val="00485774"/>
    <w:rsid w:val="00485AAF"/>
    <w:rsid w:val="00485D4C"/>
    <w:rsid w:val="00486042"/>
    <w:rsid w:val="00487F44"/>
    <w:rsid w:val="00491B88"/>
    <w:rsid w:val="00495003"/>
    <w:rsid w:val="00496B1D"/>
    <w:rsid w:val="004A00A4"/>
    <w:rsid w:val="004A0C9A"/>
    <w:rsid w:val="004A1CD6"/>
    <w:rsid w:val="004A1F19"/>
    <w:rsid w:val="004A3758"/>
    <w:rsid w:val="004A407D"/>
    <w:rsid w:val="004A4265"/>
    <w:rsid w:val="004A4AFA"/>
    <w:rsid w:val="004A5D04"/>
    <w:rsid w:val="004A5E1C"/>
    <w:rsid w:val="004A62A5"/>
    <w:rsid w:val="004A77C2"/>
    <w:rsid w:val="004B140D"/>
    <w:rsid w:val="004B459A"/>
    <w:rsid w:val="004B4B43"/>
    <w:rsid w:val="004B5BE8"/>
    <w:rsid w:val="004B6AC6"/>
    <w:rsid w:val="004B6C59"/>
    <w:rsid w:val="004B6CDC"/>
    <w:rsid w:val="004B734B"/>
    <w:rsid w:val="004C096C"/>
    <w:rsid w:val="004C21B6"/>
    <w:rsid w:val="004C34E5"/>
    <w:rsid w:val="004C350E"/>
    <w:rsid w:val="004C391C"/>
    <w:rsid w:val="004C502B"/>
    <w:rsid w:val="004C645C"/>
    <w:rsid w:val="004C6D38"/>
    <w:rsid w:val="004C7741"/>
    <w:rsid w:val="004C7FF5"/>
    <w:rsid w:val="004D2406"/>
    <w:rsid w:val="004D25E3"/>
    <w:rsid w:val="004D2BE9"/>
    <w:rsid w:val="004D2CC0"/>
    <w:rsid w:val="004D3841"/>
    <w:rsid w:val="004D4FD9"/>
    <w:rsid w:val="004D5CFC"/>
    <w:rsid w:val="004D661D"/>
    <w:rsid w:val="004D71F3"/>
    <w:rsid w:val="004E0400"/>
    <w:rsid w:val="004E0CFE"/>
    <w:rsid w:val="004E0EC8"/>
    <w:rsid w:val="004E55FD"/>
    <w:rsid w:val="004E620F"/>
    <w:rsid w:val="004E6C3C"/>
    <w:rsid w:val="004E78FC"/>
    <w:rsid w:val="004F04A1"/>
    <w:rsid w:val="004F1F43"/>
    <w:rsid w:val="004F1F5B"/>
    <w:rsid w:val="004F34D1"/>
    <w:rsid w:val="004F4F18"/>
    <w:rsid w:val="004F54A4"/>
    <w:rsid w:val="004F7C56"/>
    <w:rsid w:val="00500A05"/>
    <w:rsid w:val="00501779"/>
    <w:rsid w:val="005021FA"/>
    <w:rsid w:val="0050273C"/>
    <w:rsid w:val="005037C4"/>
    <w:rsid w:val="00503DA1"/>
    <w:rsid w:val="00504F91"/>
    <w:rsid w:val="00505ACC"/>
    <w:rsid w:val="00505F8B"/>
    <w:rsid w:val="00506791"/>
    <w:rsid w:val="0050681A"/>
    <w:rsid w:val="00507486"/>
    <w:rsid w:val="00507598"/>
    <w:rsid w:val="00510972"/>
    <w:rsid w:val="00510EE9"/>
    <w:rsid w:val="00511E18"/>
    <w:rsid w:val="00512088"/>
    <w:rsid w:val="00513DE8"/>
    <w:rsid w:val="00514D46"/>
    <w:rsid w:val="00516119"/>
    <w:rsid w:val="005172D8"/>
    <w:rsid w:val="00517FB7"/>
    <w:rsid w:val="0052028E"/>
    <w:rsid w:val="00522811"/>
    <w:rsid w:val="0052348A"/>
    <w:rsid w:val="0052408C"/>
    <w:rsid w:val="00524204"/>
    <w:rsid w:val="0052467E"/>
    <w:rsid w:val="00524D60"/>
    <w:rsid w:val="00525557"/>
    <w:rsid w:val="005259B8"/>
    <w:rsid w:val="00526AE4"/>
    <w:rsid w:val="00526B1F"/>
    <w:rsid w:val="00526CE6"/>
    <w:rsid w:val="005271B8"/>
    <w:rsid w:val="00527620"/>
    <w:rsid w:val="0052798E"/>
    <w:rsid w:val="005302B0"/>
    <w:rsid w:val="00531F08"/>
    <w:rsid w:val="005326B9"/>
    <w:rsid w:val="00533CDE"/>
    <w:rsid w:val="00534192"/>
    <w:rsid w:val="00534D86"/>
    <w:rsid w:val="0053533A"/>
    <w:rsid w:val="0053611B"/>
    <w:rsid w:val="00537CC9"/>
    <w:rsid w:val="005408D9"/>
    <w:rsid w:val="005414D9"/>
    <w:rsid w:val="0054169D"/>
    <w:rsid w:val="00541B3C"/>
    <w:rsid w:val="005429C8"/>
    <w:rsid w:val="00544995"/>
    <w:rsid w:val="005458B2"/>
    <w:rsid w:val="005460F0"/>
    <w:rsid w:val="005473D7"/>
    <w:rsid w:val="00550894"/>
    <w:rsid w:val="00551FF8"/>
    <w:rsid w:val="005529CE"/>
    <w:rsid w:val="00553760"/>
    <w:rsid w:val="00553BC8"/>
    <w:rsid w:val="005543C8"/>
    <w:rsid w:val="00554502"/>
    <w:rsid w:val="00554DBF"/>
    <w:rsid w:val="00555191"/>
    <w:rsid w:val="00556E4C"/>
    <w:rsid w:val="0056216C"/>
    <w:rsid w:val="005625DF"/>
    <w:rsid w:val="00562F53"/>
    <w:rsid w:val="00563407"/>
    <w:rsid w:val="00565FEF"/>
    <w:rsid w:val="00566FFC"/>
    <w:rsid w:val="005670E8"/>
    <w:rsid w:val="0056710D"/>
    <w:rsid w:val="0057070A"/>
    <w:rsid w:val="005707F7"/>
    <w:rsid w:val="00571FB9"/>
    <w:rsid w:val="0057206F"/>
    <w:rsid w:val="0057284A"/>
    <w:rsid w:val="00574BE2"/>
    <w:rsid w:val="00574E37"/>
    <w:rsid w:val="00580322"/>
    <w:rsid w:val="005805E9"/>
    <w:rsid w:val="00580B86"/>
    <w:rsid w:val="00581A58"/>
    <w:rsid w:val="00581BED"/>
    <w:rsid w:val="00582047"/>
    <w:rsid w:val="005832C1"/>
    <w:rsid w:val="00583574"/>
    <w:rsid w:val="00586024"/>
    <w:rsid w:val="005865C9"/>
    <w:rsid w:val="00586BFD"/>
    <w:rsid w:val="00587E18"/>
    <w:rsid w:val="0059026D"/>
    <w:rsid w:val="0059085A"/>
    <w:rsid w:val="00590B8F"/>
    <w:rsid w:val="0059102F"/>
    <w:rsid w:val="0059244D"/>
    <w:rsid w:val="00592EAE"/>
    <w:rsid w:val="005932A6"/>
    <w:rsid w:val="005942E0"/>
    <w:rsid w:val="005946C4"/>
    <w:rsid w:val="00594C47"/>
    <w:rsid w:val="005953C6"/>
    <w:rsid w:val="00595B03"/>
    <w:rsid w:val="00596368"/>
    <w:rsid w:val="005974D3"/>
    <w:rsid w:val="00597FDE"/>
    <w:rsid w:val="005A4253"/>
    <w:rsid w:val="005A468C"/>
    <w:rsid w:val="005A4D20"/>
    <w:rsid w:val="005A60A8"/>
    <w:rsid w:val="005A792A"/>
    <w:rsid w:val="005A7A35"/>
    <w:rsid w:val="005B0B61"/>
    <w:rsid w:val="005B27A8"/>
    <w:rsid w:val="005B29CD"/>
    <w:rsid w:val="005B3D99"/>
    <w:rsid w:val="005B42C1"/>
    <w:rsid w:val="005B4893"/>
    <w:rsid w:val="005B4DC8"/>
    <w:rsid w:val="005C0B9B"/>
    <w:rsid w:val="005C2651"/>
    <w:rsid w:val="005C2DE3"/>
    <w:rsid w:val="005C3266"/>
    <w:rsid w:val="005C6013"/>
    <w:rsid w:val="005C640C"/>
    <w:rsid w:val="005C70DB"/>
    <w:rsid w:val="005C7B4D"/>
    <w:rsid w:val="005C7B72"/>
    <w:rsid w:val="005D0D0E"/>
    <w:rsid w:val="005D18A2"/>
    <w:rsid w:val="005D2C49"/>
    <w:rsid w:val="005D3CE3"/>
    <w:rsid w:val="005D46C4"/>
    <w:rsid w:val="005D488F"/>
    <w:rsid w:val="005D4BB1"/>
    <w:rsid w:val="005D562F"/>
    <w:rsid w:val="005D5F07"/>
    <w:rsid w:val="005D6707"/>
    <w:rsid w:val="005E00F4"/>
    <w:rsid w:val="005E067D"/>
    <w:rsid w:val="005E3235"/>
    <w:rsid w:val="005E3801"/>
    <w:rsid w:val="005E4043"/>
    <w:rsid w:val="005E6095"/>
    <w:rsid w:val="005E65A7"/>
    <w:rsid w:val="005E69F3"/>
    <w:rsid w:val="005E6D22"/>
    <w:rsid w:val="005E7C13"/>
    <w:rsid w:val="005F0E4A"/>
    <w:rsid w:val="005F40C7"/>
    <w:rsid w:val="005F4CC3"/>
    <w:rsid w:val="005F79A2"/>
    <w:rsid w:val="005F7E7A"/>
    <w:rsid w:val="006014E0"/>
    <w:rsid w:val="00602780"/>
    <w:rsid w:val="00602F19"/>
    <w:rsid w:val="006039CA"/>
    <w:rsid w:val="00604EB6"/>
    <w:rsid w:val="00605BAF"/>
    <w:rsid w:val="00605C11"/>
    <w:rsid w:val="00606AE8"/>
    <w:rsid w:val="00607189"/>
    <w:rsid w:val="006122FC"/>
    <w:rsid w:val="0061232C"/>
    <w:rsid w:val="00613C47"/>
    <w:rsid w:val="0061497A"/>
    <w:rsid w:val="00615A06"/>
    <w:rsid w:val="00615A8E"/>
    <w:rsid w:val="00615EE6"/>
    <w:rsid w:val="00616629"/>
    <w:rsid w:val="006171D2"/>
    <w:rsid w:val="0061757E"/>
    <w:rsid w:val="00620B34"/>
    <w:rsid w:val="0062142E"/>
    <w:rsid w:val="006219B6"/>
    <w:rsid w:val="00621EE1"/>
    <w:rsid w:val="00621F04"/>
    <w:rsid w:val="006222B5"/>
    <w:rsid w:val="00623A12"/>
    <w:rsid w:val="00623A7C"/>
    <w:rsid w:val="00624591"/>
    <w:rsid w:val="00625842"/>
    <w:rsid w:val="00625DD2"/>
    <w:rsid w:val="00630A8D"/>
    <w:rsid w:val="00630ED8"/>
    <w:rsid w:val="00632B7E"/>
    <w:rsid w:val="00633731"/>
    <w:rsid w:val="00635EDC"/>
    <w:rsid w:val="0063627B"/>
    <w:rsid w:val="0063676B"/>
    <w:rsid w:val="00636C71"/>
    <w:rsid w:val="00640C29"/>
    <w:rsid w:val="006421CC"/>
    <w:rsid w:val="0064254D"/>
    <w:rsid w:val="00642A23"/>
    <w:rsid w:val="00642CF6"/>
    <w:rsid w:val="00643DF3"/>
    <w:rsid w:val="006450D1"/>
    <w:rsid w:val="006452FD"/>
    <w:rsid w:val="0064548C"/>
    <w:rsid w:val="00646592"/>
    <w:rsid w:val="006465A5"/>
    <w:rsid w:val="00646DC9"/>
    <w:rsid w:val="00647DEE"/>
    <w:rsid w:val="006504C2"/>
    <w:rsid w:val="00651277"/>
    <w:rsid w:val="00651BDB"/>
    <w:rsid w:val="00653F49"/>
    <w:rsid w:val="006546ED"/>
    <w:rsid w:val="00657801"/>
    <w:rsid w:val="0066162D"/>
    <w:rsid w:val="0066192C"/>
    <w:rsid w:val="00661EFC"/>
    <w:rsid w:val="00665BAF"/>
    <w:rsid w:val="00665BD5"/>
    <w:rsid w:val="00670885"/>
    <w:rsid w:val="00670D25"/>
    <w:rsid w:val="00671E72"/>
    <w:rsid w:val="00672C21"/>
    <w:rsid w:val="006741C1"/>
    <w:rsid w:val="00675100"/>
    <w:rsid w:val="00675AB2"/>
    <w:rsid w:val="00675F74"/>
    <w:rsid w:val="00676119"/>
    <w:rsid w:val="00676D5B"/>
    <w:rsid w:val="00680327"/>
    <w:rsid w:val="0068093C"/>
    <w:rsid w:val="00680B65"/>
    <w:rsid w:val="00681ED7"/>
    <w:rsid w:val="00684134"/>
    <w:rsid w:val="0068592B"/>
    <w:rsid w:val="00685D44"/>
    <w:rsid w:val="0068693A"/>
    <w:rsid w:val="00686D09"/>
    <w:rsid w:val="00687E78"/>
    <w:rsid w:val="00690164"/>
    <w:rsid w:val="00690D9C"/>
    <w:rsid w:val="00693002"/>
    <w:rsid w:val="00695664"/>
    <w:rsid w:val="00695678"/>
    <w:rsid w:val="00695768"/>
    <w:rsid w:val="00695C95"/>
    <w:rsid w:val="00696482"/>
    <w:rsid w:val="0069724D"/>
    <w:rsid w:val="00697597"/>
    <w:rsid w:val="006A2CF6"/>
    <w:rsid w:val="006A3C57"/>
    <w:rsid w:val="006A4517"/>
    <w:rsid w:val="006A4AB6"/>
    <w:rsid w:val="006A6483"/>
    <w:rsid w:val="006A7FDA"/>
    <w:rsid w:val="006B1593"/>
    <w:rsid w:val="006B2FE6"/>
    <w:rsid w:val="006B3722"/>
    <w:rsid w:val="006B5513"/>
    <w:rsid w:val="006B582D"/>
    <w:rsid w:val="006B59C8"/>
    <w:rsid w:val="006B5F02"/>
    <w:rsid w:val="006B6067"/>
    <w:rsid w:val="006B7163"/>
    <w:rsid w:val="006B77AB"/>
    <w:rsid w:val="006C1071"/>
    <w:rsid w:val="006C15CB"/>
    <w:rsid w:val="006C3D4E"/>
    <w:rsid w:val="006C4F36"/>
    <w:rsid w:val="006C5766"/>
    <w:rsid w:val="006C664F"/>
    <w:rsid w:val="006C66F0"/>
    <w:rsid w:val="006C717F"/>
    <w:rsid w:val="006C71B0"/>
    <w:rsid w:val="006D16E2"/>
    <w:rsid w:val="006D22B5"/>
    <w:rsid w:val="006D3943"/>
    <w:rsid w:val="006D546A"/>
    <w:rsid w:val="006D6F94"/>
    <w:rsid w:val="006D7E9E"/>
    <w:rsid w:val="006E0266"/>
    <w:rsid w:val="006E1796"/>
    <w:rsid w:val="006E3A57"/>
    <w:rsid w:val="006E3B33"/>
    <w:rsid w:val="006E4428"/>
    <w:rsid w:val="006E529D"/>
    <w:rsid w:val="006E5BA8"/>
    <w:rsid w:val="006E68DF"/>
    <w:rsid w:val="006F09F9"/>
    <w:rsid w:val="006F0B5F"/>
    <w:rsid w:val="006F13E7"/>
    <w:rsid w:val="006F24D8"/>
    <w:rsid w:val="006F36E6"/>
    <w:rsid w:val="006F6457"/>
    <w:rsid w:val="006F64EC"/>
    <w:rsid w:val="006F6C30"/>
    <w:rsid w:val="006F79EF"/>
    <w:rsid w:val="00700B6F"/>
    <w:rsid w:val="00702074"/>
    <w:rsid w:val="00703A31"/>
    <w:rsid w:val="00704C5C"/>
    <w:rsid w:val="007053C5"/>
    <w:rsid w:val="007062C2"/>
    <w:rsid w:val="0070671E"/>
    <w:rsid w:val="00706773"/>
    <w:rsid w:val="0070709C"/>
    <w:rsid w:val="0070714D"/>
    <w:rsid w:val="007075A8"/>
    <w:rsid w:val="0070777C"/>
    <w:rsid w:val="00712B45"/>
    <w:rsid w:val="00713EB7"/>
    <w:rsid w:val="007149C8"/>
    <w:rsid w:val="00714A99"/>
    <w:rsid w:val="00714C4C"/>
    <w:rsid w:val="00714EF2"/>
    <w:rsid w:val="00714FFB"/>
    <w:rsid w:val="007159E2"/>
    <w:rsid w:val="007165AB"/>
    <w:rsid w:val="00716E4C"/>
    <w:rsid w:val="00717D88"/>
    <w:rsid w:val="00717FCD"/>
    <w:rsid w:val="00720258"/>
    <w:rsid w:val="007209CA"/>
    <w:rsid w:val="00720A09"/>
    <w:rsid w:val="007217FC"/>
    <w:rsid w:val="00723A8D"/>
    <w:rsid w:val="00724889"/>
    <w:rsid w:val="00724A7B"/>
    <w:rsid w:val="00724B00"/>
    <w:rsid w:val="00725E2F"/>
    <w:rsid w:val="007269A1"/>
    <w:rsid w:val="00726F1E"/>
    <w:rsid w:val="007270F8"/>
    <w:rsid w:val="00727724"/>
    <w:rsid w:val="00727DCF"/>
    <w:rsid w:val="00727F79"/>
    <w:rsid w:val="00730579"/>
    <w:rsid w:val="00730787"/>
    <w:rsid w:val="00733B5A"/>
    <w:rsid w:val="00735112"/>
    <w:rsid w:val="00741346"/>
    <w:rsid w:val="00743BF7"/>
    <w:rsid w:val="0074596C"/>
    <w:rsid w:val="007461E3"/>
    <w:rsid w:val="00746902"/>
    <w:rsid w:val="00746E54"/>
    <w:rsid w:val="00746F06"/>
    <w:rsid w:val="0075499E"/>
    <w:rsid w:val="00754CBD"/>
    <w:rsid w:val="00755C9C"/>
    <w:rsid w:val="00755F3A"/>
    <w:rsid w:val="00756BB0"/>
    <w:rsid w:val="00757038"/>
    <w:rsid w:val="00757503"/>
    <w:rsid w:val="00760B5E"/>
    <w:rsid w:val="00760B63"/>
    <w:rsid w:val="00764F24"/>
    <w:rsid w:val="00765347"/>
    <w:rsid w:val="00767523"/>
    <w:rsid w:val="00771343"/>
    <w:rsid w:val="00772109"/>
    <w:rsid w:val="00773345"/>
    <w:rsid w:val="00773E0E"/>
    <w:rsid w:val="00774EE6"/>
    <w:rsid w:val="007762BB"/>
    <w:rsid w:val="007766C5"/>
    <w:rsid w:val="00777FE9"/>
    <w:rsid w:val="00781411"/>
    <w:rsid w:val="00781487"/>
    <w:rsid w:val="00781F45"/>
    <w:rsid w:val="00782309"/>
    <w:rsid w:val="00782EFC"/>
    <w:rsid w:val="0078329A"/>
    <w:rsid w:val="0078334C"/>
    <w:rsid w:val="0078343E"/>
    <w:rsid w:val="00783E12"/>
    <w:rsid w:val="007842E0"/>
    <w:rsid w:val="007854D5"/>
    <w:rsid w:val="00786ACC"/>
    <w:rsid w:val="00790B66"/>
    <w:rsid w:val="00790DC5"/>
    <w:rsid w:val="0079134D"/>
    <w:rsid w:val="0079147D"/>
    <w:rsid w:val="007925A0"/>
    <w:rsid w:val="007939A4"/>
    <w:rsid w:val="00794D49"/>
    <w:rsid w:val="007952BD"/>
    <w:rsid w:val="00795A75"/>
    <w:rsid w:val="00796363"/>
    <w:rsid w:val="00797A81"/>
    <w:rsid w:val="00797BA0"/>
    <w:rsid w:val="00797FEF"/>
    <w:rsid w:val="007A0339"/>
    <w:rsid w:val="007A05AB"/>
    <w:rsid w:val="007A0A5F"/>
    <w:rsid w:val="007A119E"/>
    <w:rsid w:val="007A1E19"/>
    <w:rsid w:val="007A2CF9"/>
    <w:rsid w:val="007A441A"/>
    <w:rsid w:val="007A44C2"/>
    <w:rsid w:val="007A46C6"/>
    <w:rsid w:val="007A5344"/>
    <w:rsid w:val="007A64B1"/>
    <w:rsid w:val="007A6B8A"/>
    <w:rsid w:val="007B163D"/>
    <w:rsid w:val="007B2385"/>
    <w:rsid w:val="007B61F8"/>
    <w:rsid w:val="007B6C82"/>
    <w:rsid w:val="007C05EC"/>
    <w:rsid w:val="007C5046"/>
    <w:rsid w:val="007C6CEB"/>
    <w:rsid w:val="007C6D30"/>
    <w:rsid w:val="007C761E"/>
    <w:rsid w:val="007D09B4"/>
    <w:rsid w:val="007D1362"/>
    <w:rsid w:val="007D1480"/>
    <w:rsid w:val="007D18BF"/>
    <w:rsid w:val="007D19E6"/>
    <w:rsid w:val="007D5931"/>
    <w:rsid w:val="007D65A5"/>
    <w:rsid w:val="007D76C4"/>
    <w:rsid w:val="007D7CA7"/>
    <w:rsid w:val="007E04BA"/>
    <w:rsid w:val="007E078C"/>
    <w:rsid w:val="007E0F5A"/>
    <w:rsid w:val="007E1432"/>
    <w:rsid w:val="007E183D"/>
    <w:rsid w:val="007E23B3"/>
    <w:rsid w:val="007E2833"/>
    <w:rsid w:val="007E42B3"/>
    <w:rsid w:val="007E60EC"/>
    <w:rsid w:val="007F13CD"/>
    <w:rsid w:val="007F32DE"/>
    <w:rsid w:val="007F3689"/>
    <w:rsid w:val="007F5AD3"/>
    <w:rsid w:val="007F7305"/>
    <w:rsid w:val="007F79E1"/>
    <w:rsid w:val="007F7F44"/>
    <w:rsid w:val="00803914"/>
    <w:rsid w:val="0080425C"/>
    <w:rsid w:val="0080783E"/>
    <w:rsid w:val="00807C70"/>
    <w:rsid w:val="00811FF6"/>
    <w:rsid w:val="008124E7"/>
    <w:rsid w:val="0081339F"/>
    <w:rsid w:val="00813ED0"/>
    <w:rsid w:val="00814235"/>
    <w:rsid w:val="0081489C"/>
    <w:rsid w:val="00815592"/>
    <w:rsid w:val="008158B4"/>
    <w:rsid w:val="00817915"/>
    <w:rsid w:val="0081794F"/>
    <w:rsid w:val="00821D64"/>
    <w:rsid w:val="00822B41"/>
    <w:rsid w:val="00823AD4"/>
    <w:rsid w:val="00824AB7"/>
    <w:rsid w:val="00824DF7"/>
    <w:rsid w:val="00826ADA"/>
    <w:rsid w:val="00827848"/>
    <w:rsid w:val="00827EAA"/>
    <w:rsid w:val="00830CA5"/>
    <w:rsid w:val="008317D2"/>
    <w:rsid w:val="00835751"/>
    <w:rsid w:val="0083607F"/>
    <w:rsid w:val="00837ACB"/>
    <w:rsid w:val="008431A9"/>
    <w:rsid w:val="00843374"/>
    <w:rsid w:val="00843DA7"/>
    <w:rsid w:val="00843EA1"/>
    <w:rsid w:val="008449C4"/>
    <w:rsid w:val="00845997"/>
    <w:rsid w:val="00845DFD"/>
    <w:rsid w:val="008466C5"/>
    <w:rsid w:val="0084729A"/>
    <w:rsid w:val="008472C6"/>
    <w:rsid w:val="00850021"/>
    <w:rsid w:val="0085080C"/>
    <w:rsid w:val="00851336"/>
    <w:rsid w:val="00856998"/>
    <w:rsid w:val="00857664"/>
    <w:rsid w:val="0085796C"/>
    <w:rsid w:val="00861DA4"/>
    <w:rsid w:val="00864DD6"/>
    <w:rsid w:val="008659C6"/>
    <w:rsid w:val="00865D44"/>
    <w:rsid w:val="00865EE5"/>
    <w:rsid w:val="00870A98"/>
    <w:rsid w:val="008719A5"/>
    <w:rsid w:val="00871C35"/>
    <w:rsid w:val="00872BB4"/>
    <w:rsid w:val="0087343D"/>
    <w:rsid w:val="00874BCF"/>
    <w:rsid w:val="00875248"/>
    <w:rsid w:val="008753DB"/>
    <w:rsid w:val="00875E92"/>
    <w:rsid w:val="00877065"/>
    <w:rsid w:val="00880531"/>
    <w:rsid w:val="008809D9"/>
    <w:rsid w:val="00881085"/>
    <w:rsid w:val="00881EE4"/>
    <w:rsid w:val="008830F5"/>
    <w:rsid w:val="00883705"/>
    <w:rsid w:val="00884C32"/>
    <w:rsid w:val="00884E11"/>
    <w:rsid w:val="00885343"/>
    <w:rsid w:val="00885A9C"/>
    <w:rsid w:val="008910F3"/>
    <w:rsid w:val="00891594"/>
    <w:rsid w:val="008924FD"/>
    <w:rsid w:val="00894374"/>
    <w:rsid w:val="00894706"/>
    <w:rsid w:val="00895113"/>
    <w:rsid w:val="008952F8"/>
    <w:rsid w:val="00896AB1"/>
    <w:rsid w:val="00897404"/>
    <w:rsid w:val="008A04A3"/>
    <w:rsid w:val="008A091D"/>
    <w:rsid w:val="008A0CCD"/>
    <w:rsid w:val="008A106E"/>
    <w:rsid w:val="008A2ABB"/>
    <w:rsid w:val="008A3476"/>
    <w:rsid w:val="008A42AE"/>
    <w:rsid w:val="008A4F56"/>
    <w:rsid w:val="008A5F28"/>
    <w:rsid w:val="008A627F"/>
    <w:rsid w:val="008A6B65"/>
    <w:rsid w:val="008A6B9D"/>
    <w:rsid w:val="008B0B20"/>
    <w:rsid w:val="008B0DFC"/>
    <w:rsid w:val="008B16CE"/>
    <w:rsid w:val="008B1ADD"/>
    <w:rsid w:val="008B22B0"/>
    <w:rsid w:val="008B3510"/>
    <w:rsid w:val="008B4832"/>
    <w:rsid w:val="008B4BF6"/>
    <w:rsid w:val="008B6824"/>
    <w:rsid w:val="008C22C6"/>
    <w:rsid w:val="008C2DEF"/>
    <w:rsid w:val="008C38F9"/>
    <w:rsid w:val="008C3CC7"/>
    <w:rsid w:val="008C41B4"/>
    <w:rsid w:val="008C6B90"/>
    <w:rsid w:val="008C6CCA"/>
    <w:rsid w:val="008C7B09"/>
    <w:rsid w:val="008D0BBB"/>
    <w:rsid w:val="008D0F1B"/>
    <w:rsid w:val="008D1B06"/>
    <w:rsid w:val="008D281A"/>
    <w:rsid w:val="008D3EB2"/>
    <w:rsid w:val="008D3EFB"/>
    <w:rsid w:val="008D4A48"/>
    <w:rsid w:val="008D5307"/>
    <w:rsid w:val="008D6CBC"/>
    <w:rsid w:val="008D6F6D"/>
    <w:rsid w:val="008D6FB7"/>
    <w:rsid w:val="008E132D"/>
    <w:rsid w:val="008E35B7"/>
    <w:rsid w:val="008E5377"/>
    <w:rsid w:val="008E553D"/>
    <w:rsid w:val="008E5DFE"/>
    <w:rsid w:val="008E6C00"/>
    <w:rsid w:val="008E7D50"/>
    <w:rsid w:val="008E7E02"/>
    <w:rsid w:val="008F08D9"/>
    <w:rsid w:val="008F10DE"/>
    <w:rsid w:val="008F18CE"/>
    <w:rsid w:val="008F293F"/>
    <w:rsid w:val="008F2C20"/>
    <w:rsid w:val="008F2C32"/>
    <w:rsid w:val="008F40A4"/>
    <w:rsid w:val="008F441D"/>
    <w:rsid w:val="008F59FD"/>
    <w:rsid w:val="008F5FDC"/>
    <w:rsid w:val="00903EAB"/>
    <w:rsid w:val="00905530"/>
    <w:rsid w:val="0090576A"/>
    <w:rsid w:val="00905921"/>
    <w:rsid w:val="00905BA8"/>
    <w:rsid w:val="009113D8"/>
    <w:rsid w:val="00912DA4"/>
    <w:rsid w:val="00914265"/>
    <w:rsid w:val="00914F7C"/>
    <w:rsid w:val="0091544E"/>
    <w:rsid w:val="0091646C"/>
    <w:rsid w:val="0091658E"/>
    <w:rsid w:val="00916DB4"/>
    <w:rsid w:val="00917C52"/>
    <w:rsid w:val="00917DDC"/>
    <w:rsid w:val="00920EBE"/>
    <w:rsid w:val="009217EF"/>
    <w:rsid w:val="0092184F"/>
    <w:rsid w:val="00922D0B"/>
    <w:rsid w:val="00922FE9"/>
    <w:rsid w:val="00924171"/>
    <w:rsid w:val="00924A79"/>
    <w:rsid w:val="00924AB4"/>
    <w:rsid w:val="009253C0"/>
    <w:rsid w:val="00927572"/>
    <w:rsid w:val="009327AE"/>
    <w:rsid w:val="00934116"/>
    <w:rsid w:val="009353B7"/>
    <w:rsid w:val="00936A1F"/>
    <w:rsid w:val="0093752C"/>
    <w:rsid w:val="00937777"/>
    <w:rsid w:val="00940050"/>
    <w:rsid w:val="00942B86"/>
    <w:rsid w:val="009434AA"/>
    <w:rsid w:val="00944D71"/>
    <w:rsid w:val="0094506F"/>
    <w:rsid w:val="00947662"/>
    <w:rsid w:val="00947A8E"/>
    <w:rsid w:val="00950FB9"/>
    <w:rsid w:val="00951719"/>
    <w:rsid w:val="00951750"/>
    <w:rsid w:val="0095324D"/>
    <w:rsid w:val="00953DFB"/>
    <w:rsid w:val="00954BF1"/>
    <w:rsid w:val="00957E37"/>
    <w:rsid w:val="00957F90"/>
    <w:rsid w:val="00960E37"/>
    <w:rsid w:val="0096183A"/>
    <w:rsid w:val="00965AB0"/>
    <w:rsid w:val="009675AE"/>
    <w:rsid w:val="00970DB6"/>
    <w:rsid w:val="00971251"/>
    <w:rsid w:val="009729EA"/>
    <w:rsid w:val="00972D5B"/>
    <w:rsid w:val="00973806"/>
    <w:rsid w:val="00974298"/>
    <w:rsid w:val="009749A2"/>
    <w:rsid w:val="009777E5"/>
    <w:rsid w:val="00980196"/>
    <w:rsid w:val="0098098D"/>
    <w:rsid w:val="00981C29"/>
    <w:rsid w:val="00981DE1"/>
    <w:rsid w:val="00982CA7"/>
    <w:rsid w:val="00983285"/>
    <w:rsid w:val="00983AD8"/>
    <w:rsid w:val="00983FF4"/>
    <w:rsid w:val="0098461B"/>
    <w:rsid w:val="009853C1"/>
    <w:rsid w:val="00985882"/>
    <w:rsid w:val="00991C3C"/>
    <w:rsid w:val="00991D45"/>
    <w:rsid w:val="00992A34"/>
    <w:rsid w:val="00993444"/>
    <w:rsid w:val="00994109"/>
    <w:rsid w:val="00994248"/>
    <w:rsid w:val="0099505A"/>
    <w:rsid w:val="00995F5D"/>
    <w:rsid w:val="009A0CD1"/>
    <w:rsid w:val="009A2516"/>
    <w:rsid w:val="009A5B83"/>
    <w:rsid w:val="009A790C"/>
    <w:rsid w:val="009B06F7"/>
    <w:rsid w:val="009B11E7"/>
    <w:rsid w:val="009B2DB2"/>
    <w:rsid w:val="009B2E85"/>
    <w:rsid w:val="009B362D"/>
    <w:rsid w:val="009B70AC"/>
    <w:rsid w:val="009B765A"/>
    <w:rsid w:val="009C04E0"/>
    <w:rsid w:val="009C216B"/>
    <w:rsid w:val="009C263C"/>
    <w:rsid w:val="009C2B33"/>
    <w:rsid w:val="009C4151"/>
    <w:rsid w:val="009C6163"/>
    <w:rsid w:val="009C7161"/>
    <w:rsid w:val="009C787A"/>
    <w:rsid w:val="009D0D05"/>
    <w:rsid w:val="009D128B"/>
    <w:rsid w:val="009D1325"/>
    <w:rsid w:val="009D273C"/>
    <w:rsid w:val="009D2A63"/>
    <w:rsid w:val="009D3EE3"/>
    <w:rsid w:val="009D411C"/>
    <w:rsid w:val="009D59C0"/>
    <w:rsid w:val="009D67C3"/>
    <w:rsid w:val="009D79AD"/>
    <w:rsid w:val="009E0EB2"/>
    <w:rsid w:val="009E2260"/>
    <w:rsid w:val="009E2CBE"/>
    <w:rsid w:val="009E3034"/>
    <w:rsid w:val="009E3184"/>
    <w:rsid w:val="009E4141"/>
    <w:rsid w:val="009E4638"/>
    <w:rsid w:val="009E5637"/>
    <w:rsid w:val="009E7505"/>
    <w:rsid w:val="009F0FB7"/>
    <w:rsid w:val="009F153A"/>
    <w:rsid w:val="009F546A"/>
    <w:rsid w:val="009F582C"/>
    <w:rsid w:val="009F5E54"/>
    <w:rsid w:val="009F7127"/>
    <w:rsid w:val="00A00B69"/>
    <w:rsid w:val="00A01BEF"/>
    <w:rsid w:val="00A01DC6"/>
    <w:rsid w:val="00A0245F"/>
    <w:rsid w:val="00A02FF9"/>
    <w:rsid w:val="00A03021"/>
    <w:rsid w:val="00A03ED8"/>
    <w:rsid w:val="00A047B1"/>
    <w:rsid w:val="00A05247"/>
    <w:rsid w:val="00A0555D"/>
    <w:rsid w:val="00A05AF3"/>
    <w:rsid w:val="00A06DF0"/>
    <w:rsid w:val="00A107E1"/>
    <w:rsid w:val="00A10F57"/>
    <w:rsid w:val="00A123BF"/>
    <w:rsid w:val="00A12421"/>
    <w:rsid w:val="00A128D7"/>
    <w:rsid w:val="00A15736"/>
    <w:rsid w:val="00A20F59"/>
    <w:rsid w:val="00A2181B"/>
    <w:rsid w:val="00A235C8"/>
    <w:rsid w:val="00A237B8"/>
    <w:rsid w:val="00A23937"/>
    <w:rsid w:val="00A2429B"/>
    <w:rsid w:val="00A24A1B"/>
    <w:rsid w:val="00A24E02"/>
    <w:rsid w:val="00A2574C"/>
    <w:rsid w:val="00A25A3B"/>
    <w:rsid w:val="00A26437"/>
    <w:rsid w:val="00A269D7"/>
    <w:rsid w:val="00A26B9C"/>
    <w:rsid w:val="00A30480"/>
    <w:rsid w:val="00A30D24"/>
    <w:rsid w:val="00A311D5"/>
    <w:rsid w:val="00A31BF1"/>
    <w:rsid w:val="00A31EBC"/>
    <w:rsid w:val="00A3206C"/>
    <w:rsid w:val="00A32343"/>
    <w:rsid w:val="00A33861"/>
    <w:rsid w:val="00A33BE1"/>
    <w:rsid w:val="00A3467C"/>
    <w:rsid w:val="00A354B2"/>
    <w:rsid w:val="00A3751E"/>
    <w:rsid w:val="00A37779"/>
    <w:rsid w:val="00A40186"/>
    <w:rsid w:val="00A4163D"/>
    <w:rsid w:val="00A425D5"/>
    <w:rsid w:val="00A43388"/>
    <w:rsid w:val="00A438CF"/>
    <w:rsid w:val="00A43A17"/>
    <w:rsid w:val="00A45021"/>
    <w:rsid w:val="00A45E08"/>
    <w:rsid w:val="00A46271"/>
    <w:rsid w:val="00A46860"/>
    <w:rsid w:val="00A46B26"/>
    <w:rsid w:val="00A505DF"/>
    <w:rsid w:val="00A5107A"/>
    <w:rsid w:val="00A511EB"/>
    <w:rsid w:val="00A522B4"/>
    <w:rsid w:val="00A52E04"/>
    <w:rsid w:val="00A53FD7"/>
    <w:rsid w:val="00A54829"/>
    <w:rsid w:val="00A54D5D"/>
    <w:rsid w:val="00A550B2"/>
    <w:rsid w:val="00A55DE7"/>
    <w:rsid w:val="00A60396"/>
    <w:rsid w:val="00A61008"/>
    <w:rsid w:val="00A61C64"/>
    <w:rsid w:val="00A625AA"/>
    <w:rsid w:val="00A628F4"/>
    <w:rsid w:val="00A62B28"/>
    <w:rsid w:val="00A6358D"/>
    <w:rsid w:val="00A645CA"/>
    <w:rsid w:val="00A64993"/>
    <w:rsid w:val="00A653A2"/>
    <w:rsid w:val="00A66858"/>
    <w:rsid w:val="00A707D6"/>
    <w:rsid w:val="00A70FD7"/>
    <w:rsid w:val="00A71103"/>
    <w:rsid w:val="00A713D1"/>
    <w:rsid w:val="00A7183F"/>
    <w:rsid w:val="00A72003"/>
    <w:rsid w:val="00A72CE0"/>
    <w:rsid w:val="00A737EE"/>
    <w:rsid w:val="00A7491B"/>
    <w:rsid w:val="00A74CDC"/>
    <w:rsid w:val="00A7636D"/>
    <w:rsid w:val="00A8206C"/>
    <w:rsid w:val="00A82C6D"/>
    <w:rsid w:val="00A83061"/>
    <w:rsid w:val="00A83366"/>
    <w:rsid w:val="00A83C59"/>
    <w:rsid w:val="00A84060"/>
    <w:rsid w:val="00A86071"/>
    <w:rsid w:val="00A87EE8"/>
    <w:rsid w:val="00A91C85"/>
    <w:rsid w:val="00A91C92"/>
    <w:rsid w:val="00A93592"/>
    <w:rsid w:val="00A969D9"/>
    <w:rsid w:val="00A97067"/>
    <w:rsid w:val="00A9711B"/>
    <w:rsid w:val="00AA0374"/>
    <w:rsid w:val="00AA3410"/>
    <w:rsid w:val="00AA4038"/>
    <w:rsid w:val="00AA4793"/>
    <w:rsid w:val="00AA4A9A"/>
    <w:rsid w:val="00AA4E5F"/>
    <w:rsid w:val="00AA60F9"/>
    <w:rsid w:val="00AA680A"/>
    <w:rsid w:val="00AA751F"/>
    <w:rsid w:val="00AA7AA1"/>
    <w:rsid w:val="00AB0433"/>
    <w:rsid w:val="00AB0EF7"/>
    <w:rsid w:val="00AB22A1"/>
    <w:rsid w:val="00AB2502"/>
    <w:rsid w:val="00AC1284"/>
    <w:rsid w:val="00AC1807"/>
    <w:rsid w:val="00AC3832"/>
    <w:rsid w:val="00AC3DA2"/>
    <w:rsid w:val="00AC4200"/>
    <w:rsid w:val="00AC423C"/>
    <w:rsid w:val="00AC454D"/>
    <w:rsid w:val="00AC462B"/>
    <w:rsid w:val="00AC627B"/>
    <w:rsid w:val="00AC68EB"/>
    <w:rsid w:val="00AC6D36"/>
    <w:rsid w:val="00AC71FC"/>
    <w:rsid w:val="00AC77DC"/>
    <w:rsid w:val="00AD03D9"/>
    <w:rsid w:val="00AD03F1"/>
    <w:rsid w:val="00AD0F14"/>
    <w:rsid w:val="00AD237B"/>
    <w:rsid w:val="00AD4522"/>
    <w:rsid w:val="00AD4818"/>
    <w:rsid w:val="00AD75DB"/>
    <w:rsid w:val="00AD7CFB"/>
    <w:rsid w:val="00AD7DC0"/>
    <w:rsid w:val="00AE0045"/>
    <w:rsid w:val="00AE011D"/>
    <w:rsid w:val="00AE021A"/>
    <w:rsid w:val="00AE0F70"/>
    <w:rsid w:val="00AE2DB0"/>
    <w:rsid w:val="00AE3126"/>
    <w:rsid w:val="00AE49E0"/>
    <w:rsid w:val="00AE78C7"/>
    <w:rsid w:val="00AF0CA5"/>
    <w:rsid w:val="00AF1450"/>
    <w:rsid w:val="00AF1AD4"/>
    <w:rsid w:val="00AF35D4"/>
    <w:rsid w:val="00AF4534"/>
    <w:rsid w:val="00AF4DD0"/>
    <w:rsid w:val="00AF4E4C"/>
    <w:rsid w:val="00AF6FF2"/>
    <w:rsid w:val="00AF77C7"/>
    <w:rsid w:val="00AF7A05"/>
    <w:rsid w:val="00B00964"/>
    <w:rsid w:val="00B01834"/>
    <w:rsid w:val="00B0185D"/>
    <w:rsid w:val="00B02B11"/>
    <w:rsid w:val="00B02EA1"/>
    <w:rsid w:val="00B03FD9"/>
    <w:rsid w:val="00B04637"/>
    <w:rsid w:val="00B051E1"/>
    <w:rsid w:val="00B065AA"/>
    <w:rsid w:val="00B06FFF"/>
    <w:rsid w:val="00B0752F"/>
    <w:rsid w:val="00B12315"/>
    <w:rsid w:val="00B129EB"/>
    <w:rsid w:val="00B1446B"/>
    <w:rsid w:val="00B17605"/>
    <w:rsid w:val="00B218D1"/>
    <w:rsid w:val="00B21EAA"/>
    <w:rsid w:val="00B22508"/>
    <w:rsid w:val="00B23A95"/>
    <w:rsid w:val="00B24A90"/>
    <w:rsid w:val="00B2674D"/>
    <w:rsid w:val="00B27132"/>
    <w:rsid w:val="00B27BC6"/>
    <w:rsid w:val="00B307A7"/>
    <w:rsid w:val="00B332D4"/>
    <w:rsid w:val="00B33914"/>
    <w:rsid w:val="00B34788"/>
    <w:rsid w:val="00B36A64"/>
    <w:rsid w:val="00B37C08"/>
    <w:rsid w:val="00B37EB4"/>
    <w:rsid w:val="00B401D9"/>
    <w:rsid w:val="00B406CC"/>
    <w:rsid w:val="00B407AB"/>
    <w:rsid w:val="00B40E52"/>
    <w:rsid w:val="00B40EA9"/>
    <w:rsid w:val="00B4113E"/>
    <w:rsid w:val="00B44405"/>
    <w:rsid w:val="00B44789"/>
    <w:rsid w:val="00B4510A"/>
    <w:rsid w:val="00B45C32"/>
    <w:rsid w:val="00B46019"/>
    <w:rsid w:val="00B46383"/>
    <w:rsid w:val="00B475C5"/>
    <w:rsid w:val="00B566B7"/>
    <w:rsid w:val="00B6095F"/>
    <w:rsid w:val="00B61837"/>
    <w:rsid w:val="00B6195C"/>
    <w:rsid w:val="00B62641"/>
    <w:rsid w:val="00B63028"/>
    <w:rsid w:val="00B6422B"/>
    <w:rsid w:val="00B6553A"/>
    <w:rsid w:val="00B6554A"/>
    <w:rsid w:val="00B66612"/>
    <w:rsid w:val="00B676F7"/>
    <w:rsid w:val="00B70081"/>
    <w:rsid w:val="00B70805"/>
    <w:rsid w:val="00B720AC"/>
    <w:rsid w:val="00B72F9A"/>
    <w:rsid w:val="00B73651"/>
    <w:rsid w:val="00B74171"/>
    <w:rsid w:val="00B74A25"/>
    <w:rsid w:val="00B75111"/>
    <w:rsid w:val="00B757C8"/>
    <w:rsid w:val="00B761C7"/>
    <w:rsid w:val="00B77B39"/>
    <w:rsid w:val="00B81CCB"/>
    <w:rsid w:val="00B81F9C"/>
    <w:rsid w:val="00B8219F"/>
    <w:rsid w:val="00B8263E"/>
    <w:rsid w:val="00B843F2"/>
    <w:rsid w:val="00B84F3D"/>
    <w:rsid w:val="00B85FD6"/>
    <w:rsid w:val="00B876A9"/>
    <w:rsid w:val="00B87A4A"/>
    <w:rsid w:val="00B91CEB"/>
    <w:rsid w:val="00B92266"/>
    <w:rsid w:val="00B92295"/>
    <w:rsid w:val="00B925F4"/>
    <w:rsid w:val="00B92DC7"/>
    <w:rsid w:val="00B93983"/>
    <w:rsid w:val="00B93C17"/>
    <w:rsid w:val="00B96751"/>
    <w:rsid w:val="00B96C87"/>
    <w:rsid w:val="00B97C83"/>
    <w:rsid w:val="00BA170A"/>
    <w:rsid w:val="00BA1F7A"/>
    <w:rsid w:val="00BA2467"/>
    <w:rsid w:val="00BA472E"/>
    <w:rsid w:val="00BA5687"/>
    <w:rsid w:val="00BA6418"/>
    <w:rsid w:val="00BA7270"/>
    <w:rsid w:val="00BB00FF"/>
    <w:rsid w:val="00BB2C2E"/>
    <w:rsid w:val="00BB3B75"/>
    <w:rsid w:val="00BB4199"/>
    <w:rsid w:val="00BB46F3"/>
    <w:rsid w:val="00BB471D"/>
    <w:rsid w:val="00BB5217"/>
    <w:rsid w:val="00BB5D3E"/>
    <w:rsid w:val="00BB5F3B"/>
    <w:rsid w:val="00BB753E"/>
    <w:rsid w:val="00BC0230"/>
    <w:rsid w:val="00BC1260"/>
    <w:rsid w:val="00BC31FF"/>
    <w:rsid w:val="00BC4767"/>
    <w:rsid w:val="00BC52D7"/>
    <w:rsid w:val="00BC6D52"/>
    <w:rsid w:val="00BC6D5C"/>
    <w:rsid w:val="00BC711D"/>
    <w:rsid w:val="00BC7883"/>
    <w:rsid w:val="00BD11DA"/>
    <w:rsid w:val="00BD3DD0"/>
    <w:rsid w:val="00BD4296"/>
    <w:rsid w:val="00BD4F8D"/>
    <w:rsid w:val="00BD6495"/>
    <w:rsid w:val="00BD7FB5"/>
    <w:rsid w:val="00BE0DC9"/>
    <w:rsid w:val="00BE1994"/>
    <w:rsid w:val="00BE19DD"/>
    <w:rsid w:val="00BE21D1"/>
    <w:rsid w:val="00BE7B7C"/>
    <w:rsid w:val="00BF1CB6"/>
    <w:rsid w:val="00BF1F1B"/>
    <w:rsid w:val="00BF3757"/>
    <w:rsid w:val="00BF38E4"/>
    <w:rsid w:val="00BF79E1"/>
    <w:rsid w:val="00C001FD"/>
    <w:rsid w:val="00C0021A"/>
    <w:rsid w:val="00C0119E"/>
    <w:rsid w:val="00C04103"/>
    <w:rsid w:val="00C04200"/>
    <w:rsid w:val="00C05B93"/>
    <w:rsid w:val="00C0683E"/>
    <w:rsid w:val="00C1119D"/>
    <w:rsid w:val="00C1151B"/>
    <w:rsid w:val="00C11D85"/>
    <w:rsid w:val="00C12437"/>
    <w:rsid w:val="00C12844"/>
    <w:rsid w:val="00C148C9"/>
    <w:rsid w:val="00C15556"/>
    <w:rsid w:val="00C1663F"/>
    <w:rsid w:val="00C17E58"/>
    <w:rsid w:val="00C20649"/>
    <w:rsid w:val="00C221B2"/>
    <w:rsid w:val="00C22835"/>
    <w:rsid w:val="00C22CE8"/>
    <w:rsid w:val="00C22E73"/>
    <w:rsid w:val="00C23364"/>
    <w:rsid w:val="00C23E6B"/>
    <w:rsid w:val="00C24175"/>
    <w:rsid w:val="00C24914"/>
    <w:rsid w:val="00C24ADB"/>
    <w:rsid w:val="00C27133"/>
    <w:rsid w:val="00C27790"/>
    <w:rsid w:val="00C31FFA"/>
    <w:rsid w:val="00C320C6"/>
    <w:rsid w:val="00C326DC"/>
    <w:rsid w:val="00C32E35"/>
    <w:rsid w:val="00C336F4"/>
    <w:rsid w:val="00C340DD"/>
    <w:rsid w:val="00C3497C"/>
    <w:rsid w:val="00C36B43"/>
    <w:rsid w:val="00C4402F"/>
    <w:rsid w:val="00C465A5"/>
    <w:rsid w:val="00C47B19"/>
    <w:rsid w:val="00C504D0"/>
    <w:rsid w:val="00C50574"/>
    <w:rsid w:val="00C50758"/>
    <w:rsid w:val="00C521F5"/>
    <w:rsid w:val="00C56279"/>
    <w:rsid w:val="00C56A0E"/>
    <w:rsid w:val="00C57A37"/>
    <w:rsid w:val="00C62287"/>
    <w:rsid w:val="00C62628"/>
    <w:rsid w:val="00C64581"/>
    <w:rsid w:val="00C65978"/>
    <w:rsid w:val="00C66474"/>
    <w:rsid w:val="00C664F8"/>
    <w:rsid w:val="00C66E01"/>
    <w:rsid w:val="00C67170"/>
    <w:rsid w:val="00C7117F"/>
    <w:rsid w:val="00C714A6"/>
    <w:rsid w:val="00C75923"/>
    <w:rsid w:val="00C75BF4"/>
    <w:rsid w:val="00C80F2F"/>
    <w:rsid w:val="00C821D4"/>
    <w:rsid w:val="00C877F8"/>
    <w:rsid w:val="00C90202"/>
    <w:rsid w:val="00C91523"/>
    <w:rsid w:val="00C91DD1"/>
    <w:rsid w:val="00C92ED5"/>
    <w:rsid w:val="00C93613"/>
    <w:rsid w:val="00C93BEB"/>
    <w:rsid w:val="00C93CF6"/>
    <w:rsid w:val="00C9406B"/>
    <w:rsid w:val="00C9442F"/>
    <w:rsid w:val="00C9522F"/>
    <w:rsid w:val="00C95ED2"/>
    <w:rsid w:val="00C96256"/>
    <w:rsid w:val="00C970EC"/>
    <w:rsid w:val="00C97187"/>
    <w:rsid w:val="00C9736F"/>
    <w:rsid w:val="00CA0C37"/>
    <w:rsid w:val="00CA1E6F"/>
    <w:rsid w:val="00CA2B79"/>
    <w:rsid w:val="00CA362F"/>
    <w:rsid w:val="00CA3A72"/>
    <w:rsid w:val="00CA598A"/>
    <w:rsid w:val="00CA65DC"/>
    <w:rsid w:val="00CB005F"/>
    <w:rsid w:val="00CB1EF0"/>
    <w:rsid w:val="00CB1F61"/>
    <w:rsid w:val="00CB2BF3"/>
    <w:rsid w:val="00CB2CF0"/>
    <w:rsid w:val="00CB453C"/>
    <w:rsid w:val="00CB5D40"/>
    <w:rsid w:val="00CB73F5"/>
    <w:rsid w:val="00CC118A"/>
    <w:rsid w:val="00CC1B2F"/>
    <w:rsid w:val="00CC2C83"/>
    <w:rsid w:val="00CC4439"/>
    <w:rsid w:val="00CC5A50"/>
    <w:rsid w:val="00CC5C91"/>
    <w:rsid w:val="00CC5E1C"/>
    <w:rsid w:val="00CC610E"/>
    <w:rsid w:val="00CD06A1"/>
    <w:rsid w:val="00CD291E"/>
    <w:rsid w:val="00CD2C7A"/>
    <w:rsid w:val="00CD2E6D"/>
    <w:rsid w:val="00CD3FEA"/>
    <w:rsid w:val="00CD552A"/>
    <w:rsid w:val="00CD6D32"/>
    <w:rsid w:val="00CD75A6"/>
    <w:rsid w:val="00CE0D20"/>
    <w:rsid w:val="00CE0F15"/>
    <w:rsid w:val="00CE105C"/>
    <w:rsid w:val="00CE16EA"/>
    <w:rsid w:val="00CE1CA2"/>
    <w:rsid w:val="00CE375D"/>
    <w:rsid w:val="00CE4074"/>
    <w:rsid w:val="00CE5B23"/>
    <w:rsid w:val="00CE66B2"/>
    <w:rsid w:val="00CE7930"/>
    <w:rsid w:val="00CF08A1"/>
    <w:rsid w:val="00CF11F3"/>
    <w:rsid w:val="00CF1DF7"/>
    <w:rsid w:val="00CF419D"/>
    <w:rsid w:val="00CF4567"/>
    <w:rsid w:val="00CF5481"/>
    <w:rsid w:val="00CF7B38"/>
    <w:rsid w:val="00D01686"/>
    <w:rsid w:val="00D01DF3"/>
    <w:rsid w:val="00D04FE7"/>
    <w:rsid w:val="00D059F0"/>
    <w:rsid w:val="00D06981"/>
    <w:rsid w:val="00D06B20"/>
    <w:rsid w:val="00D10D80"/>
    <w:rsid w:val="00D14AE2"/>
    <w:rsid w:val="00D158E0"/>
    <w:rsid w:val="00D15A4A"/>
    <w:rsid w:val="00D15B53"/>
    <w:rsid w:val="00D16FDB"/>
    <w:rsid w:val="00D206A6"/>
    <w:rsid w:val="00D21252"/>
    <w:rsid w:val="00D213BA"/>
    <w:rsid w:val="00D214FA"/>
    <w:rsid w:val="00D234F4"/>
    <w:rsid w:val="00D235AE"/>
    <w:rsid w:val="00D239B3"/>
    <w:rsid w:val="00D23BF8"/>
    <w:rsid w:val="00D248BB"/>
    <w:rsid w:val="00D25388"/>
    <w:rsid w:val="00D262F3"/>
    <w:rsid w:val="00D2639C"/>
    <w:rsid w:val="00D26C9E"/>
    <w:rsid w:val="00D26EE7"/>
    <w:rsid w:val="00D277D1"/>
    <w:rsid w:val="00D27B6C"/>
    <w:rsid w:val="00D304BB"/>
    <w:rsid w:val="00D31E09"/>
    <w:rsid w:val="00D33208"/>
    <w:rsid w:val="00D33484"/>
    <w:rsid w:val="00D405CF"/>
    <w:rsid w:val="00D40A55"/>
    <w:rsid w:val="00D40EC7"/>
    <w:rsid w:val="00D4100D"/>
    <w:rsid w:val="00D43C8A"/>
    <w:rsid w:val="00D442BE"/>
    <w:rsid w:val="00D462B0"/>
    <w:rsid w:val="00D464E1"/>
    <w:rsid w:val="00D46EB3"/>
    <w:rsid w:val="00D473B1"/>
    <w:rsid w:val="00D4783B"/>
    <w:rsid w:val="00D50AEE"/>
    <w:rsid w:val="00D534A7"/>
    <w:rsid w:val="00D54394"/>
    <w:rsid w:val="00D565C0"/>
    <w:rsid w:val="00D56664"/>
    <w:rsid w:val="00D56E9C"/>
    <w:rsid w:val="00D571F9"/>
    <w:rsid w:val="00D574F9"/>
    <w:rsid w:val="00D57CEB"/>
    <w:rsid w:val="00D61106"/>
    <w:rsid w:val="00D61AE2"/>
    <w:rsid w:val="00D620F0"/>
    <w:rsid w:val="00D62733"/>
    <w:rsid w:val="00D6337F"/>
    <w:rsid w:val="00D633FD"/>
    <w:rsid w:val="00D63773"/>
    <w:rsid w:val="00D64C93"/>
    <w:rsid w:val="00D6707A"/>
    <w:rsid w:val="00D672F2"/>
    <w:rsid w:val="00D675F1"/>
    <w:rsid w:val="00D67AAE"/>
    <w:rsid w:val="00D67C6D"/>
    <w:rsid w:val="00D70B25"/>
    <w:rsid w:val="00D70D69"/>
    <w:rsid w:val="00D70E07"/>
    <w:rsid w:val="00D71629"/>
    <w:rsid w:val="00D7380B"/>
    <w:rsid w:val="00D758D6"/>
    <w:rsid w:val="00D761D0"/>
    <w:rsid w:val="00D76AE1"/>
    <w:rsid w:val="00D76CBC"/>
    <w:rsid w:val="00D800B5"/>
    <w:rsid w:val="00D804EA"/>
    <w:rsid w:val="00D80589"/>
    <w:rsid w:val="00D8351B"/>
    <w:rsid w:val="00D847ED"/>
    <w:rsid w:val="00D85156"/>
    <w:rsid w:val="00D8518C"/>
    <w:rsid w:val="00D86BF6"/>
    <w:rsid w:val="00D86D9E"/>
    <w:rsid w:val="00D87139"/>
    <w:rsid w:val="00D8743B"/>
    <w:rsid w:val="00D90429"/>
    <w:rsid w:val="00D91091"/>
    <w:rsid w:val="00D91BA3"/>
    <w:rsid w:val="00D92629"/>
    <w:rsid w:val="00D9333D"/>
    <w:rsid w:val="00D93660"/>
    <w:rsid w:val="00D96436"/>
    <w:rsid w:val="00D969E3"/>
    <w:rsid w:val="00DA14E1"/>
    <w:rsid w:val="00DA177B"/>
    <w:rsid w:val="00DA24DE"/>
    <w:rsid w:val="00DA50B3"/>
    <w:rsid w:val="00DA5867"/>
    <w:rsid w:val="00DA63FC"/>
    <w:rsid w:val="00DA6B0E"/>
    <w:rsid w:val="00DA7AC3"/>
    <w:rsid w:val="00DA7F07"/>
    <w:rsid w:val="00DB0109"/>
    <w:rsid w:val="00DB1ED4"/>
    <w:rsid w:val="00DB30A9"/>
    <w:rsid w:val="00DB3C0B"/>
    <w:rsid w:val="00DB6A54"/>
    <w:rsid w:val="00DC1F29"/>
    <w:rsid w:val="00DC55BB"/>
    <w:rsid w:val="00DC5880"/>
    <w:rsid w:val="00DC59CE"/>
    <w:rsid w:val="00DC5DC9"/>
    <w:rsid w:val="00DC60E8"/>
    <w:rsid w:val="00DD0E57"/>
    <w:rsid w:val="00DD1376"/>
    <w:rsid w:val="00DD32C1"/>
    <w:rsid w:val="00DD47D3"/>
    <w:rsid w:val="00DD798B"/>
    <w:rsid w:val="00DE1BAA"/>
    <w:rsid w:val="00DE28D7"/>
    <w:rsid w:val="00DE2D58"/>
    <w:rsid w:val="00DE3155"/>
    <w:rsid w:val="00DE3B90"/>
    <w:rsid w:val="00DE4EF7"/>
    <w:rsid w:val="00DE52B4"/>
    <w:rsid w:val="00DE5C68"/>
    <w:rsid w:val="00DE602A"/>
    <w:rsid w:val="00DE619B"/>
    <w:rsid w:val="00DE6789"/>
    <w:rsid w:val="00DF01FF"/>
    <w:rsid w:val="00DF1A28"/>
    <w:rsid w:val="00DF22A1"/>
    <w:rsid w:val="00DF4021"/>
    <w:rsid w:val="00DF5249"/>
    <w:rsid w:val="00DF620D"/>
    <w:rsid w:val="00E01BC0"/>
    <w:rsid w:val="00E0478D"/>
    <w:rsid w:val="00E062EA"/>
    <w:rsid w:val="00E06E7B"/>
    <w:rsid w:val="00E07845"/>
    <w:rsid w:val="00E10234"/>
    <w:rsid w:val="00E12DA6"/>
    <w:rsid w:val="00E12FB9"/>
    <w:rsid w:val="00E13518"/>
    <w:rsid w:val="00E14F92"/>
    <w:rsid w:val="00E15D3C"/>
    <w:rsid w:val="00E202D7"/>
    <w:rsid w:val="00E21234"/>
    <w:rsid w:val="00E21C3A"/>
    <w:rsid w:val="00E22229"/>
    <w:rsid w:val="00E237DB"/>
    <w:rsid w:val="00E23E40"/>
    <w:rsid w:val="00E241CC"/>
    <w:rsid w:val="00E2487E"/>
    <w:rsid w:val="00E268A8"/>
    <w:rsid w:val="00E269A4"/>
    <w:rsid w:val="00E27E52"/>
    <w:rsid w:val="00E302A1"/>
    <w:rsid w:val="00E3079A"/>
    <w:rsid w:val="00E319F4"/>
    <w:rsid w:val="00E31B13"/>
    <w:rsid w:val="00E33DA8"/>
    <w:rsid w:val="00E34404"/>
    <w:rsid w:val="00E35BCE"/>
    <w:rsid w:val="00E3686F"/>
    <w:rsid w:val="00E36E25"/>
    <w:rsid w:val="00E41A71"/>
    <w:rsid w:val="00E426C7"/>
    <w:rsid w:val="00E43C33"/>
    <w:rsid w:val="00E45EB0"/>
    <w:rsid w:val="00E4646A"/>
    <w:rsid w:val="00E46B20"/>
    <w:rsid w:val="00E46CF6"/>
    <w:rsid w:val="00E47EA5"/>
    <w:rsid w:val="00E5046B"/>
    <w:rsid w:val="00E506D7"/>
    <w:rsid w:val="00E51BA1"/>
    <w:rsid w:val="00E530A1"/>
    <w:rsid w:val="00E53AB3"/>
    <w:rsid w:val="00E55E37"/>
    <w:rsid w:val="00E561C4"/>
    <w:rsid w:val="00E564F6"/>
    <w:rsid w:val="00E5688B"/>
    <w:rsid w:val="00E60DC8"/>
    <w:rsid w:val="00E60F2D"/>
    <w:rsid w:val="00E612CF"/>
    <w:rsid w:val="00E61812"/>
    <w:rsid w:val="00E62772"/>
    <w:rsid w:val="00E62EC8"/>
    <w:rsid w:val="00E63019"/>
    <w:rsid w:val="00E63520"/>
    <w:rsid w:val="00E667FF"/>
    <w:rsid w:val="00E66B62"/>
    <w:rsid w:val="00E66BB5"/>
    <w:rsid w:val="00E67005"/>
    <w:rsid w:val="00E6706E"/>
    <w:rsid w:val="00E6752E"/>
    <w:rsid w:val="00E6753C"/>
    <w:rsid w:val="00E7078B"/>
    <w:rsid w:val="00E70FA0"/>
    <w:rsid w:val="00E713A6"/>
    <w:rsid w:val="00E7185B"/>
    <w:rsid w:val="00E71A2E"/>
    <w:rsid w:val="00E71CD8"/>
    <w:rsid w:val="00E72079"/>
    <w:rsid w:val="00E74841"/>
    <w:rsid w:val="00E76C80"/>
    <w:rsid w:val="00E76E54"/>
    <w:rsid w:val="00E76EF5"/>
    <w:rsid w:val="00E77429"/>
    <w:rsid w:val="00E7774A"/>
    <w:rsid w:val="00E80474"/>
    <w:rsid w:val="00E80CFF"/>
    <w:rsid w:val="00E80D54"/>
    <w:rsid w:val="00E811D0"/>
    <w:rsid w:val="00E81725"/>
    <w:rsid w:val="00E81F73"/>
    <w:rsid w:val="00E821D0"/>
    <w:rsid w:val="00E82ADA"/>
    <w:rsid w:val="00E831B3"/>
    <w:rsid w:val="00E834B1"/>
    <w:rsid w:val="00E834FD"/>
    <w:rsid w:val="00E83FDE"/>
    <w:rsid w:val="00E8459D"/>
    <w:rsid w:val="00E84C22"/>
    <w:rsid w:val="00E84E29"/>
    <w:rsid w:val="00E850CA"/>
    <w:rsid w:val="00E8569A"/>
    <w:rsid w:val="00E85A72"/>
    <w:rsid w:val="00E90907"/>
    <w:rsid w:val="00E92408"/>
    <w:rsid w:val="00E94DAE"/>
    <w:rsid w:val="00E95141"/>
    <w:rsid w:val="00E95C87"/>
    <w:rsid w:val="00E961C8"/>
    <w:rsid w:val="00E96E92"/>
    <w:rsid w:val="00E975F0"/>
    <w:rsid w:val="00E97C3A"/>
    <w:rsid w:val="00EA26F0"/>
    <w:rsid w:val="00EA2F27"/>
    <w:rsid w:val="00EA40EF"/>
    <w:rsid w:val="00EA4C10"/>
    <w:rsid w:val="00EA5DAE"/>
    <w:rsid w:val="00EA75F5"/>
    <w:rsid w:val="00EB091A"/>
    <w:rsid w:val="00EB402B"/>
    <w:rsid w:val="00EB4080"/>
    <w:rsid w:val="00EB5659"/>
    <w:rsid w:val="00EB5FD0"/>
    <w:rsid w:val="00EB6066"/>
    <w:rsid w:val="00EB6707"/>
    <w:rsid w:val="00EB6A49"/>
    <w:rsid w:val="00EB71DC"/>
    <w:rsid w:val="00EB7B3B"/>
    <w:rsid w:val="00EC1981"/>
    <w:rsid w:val="00EC23F4"/>
    <w:rsid w:val="00EC3D3D"/>
    <w:rsid w:val="00EC4CDE"/>
    <w:rsid w:val="00EC546D"/>
    <w:rsid w:val="00EC56D8"/>
    <w:rsid w:val="00EC5B5E"/>
    <w:rsid w:val="00EC5CDF"/>
    <w:rsid w:val="00EC65D3"/>
    <w:rsid w:val="00ED0066"/>
    <w:rsid w:val="00ED09ED"/>
    <w:rsid w:val="00ED0EA9"/>
    <w:rsid w:val="00ED17BF"/>
    <w:rsid w:val="00ED1A21"/>
    <w:rsid w:val="00ED293F"/>
    <w:rsid w:val="00ED2DBD"/>
    <w:rsid w:val="00ED7A2C"/>
    <w:rsid w:val="00ED7E12"/>
    <w:rsid w:val="00EE4356"/>
    <w:rsid w:val="00EE494D"/>
    <w:rsid w:val="00EE4D24"/>
    <w:rsid w:val="00EE6BDB"/>
    <w:rsid w:val="00EE6CF1"/>
    <w:rsid w:val="00EF143F"/>
    <w:rsid w:val="00EF1982"/>
    <w:rsid w:val="00EF31C2"/>
    <w:rsid w:val="00EF3EEB"/>
    <w:rsid w:val="00EF43B4"/>
    <w:rsid w:val="00EF4B41"/>
    <w:rsid w:val="00EF5653"/>
    <w:rsid w:val="00EF5E30"/>
    <w:rsid w:val="00EF7160"/>
    <w:rsid w:val="00EF7B32"/>
    <w:rsid w:val="00F00481"/>
    <w:rsid w:val="00F00AA0"/>
    <w:rsid w:val="00F013D2"/>
    <w:rsid w:val="00F02451"/>
    <w:rsid w:val="00F03582"/>
    <w:rsid w:val="00F04A0B"/>
    <w:rsid w:val="00F067B2"/>
    <w:rsid w:val="00F1144D"/>
    <w:rsid w:val="00F12C84"/>
    <w:rsid w:val="00F12E87"/>
    <w:rsid w:val="00F13777"/>
    <w:rsid w:val="00F14610"/>
    <w:rsid w:val="00F148C3"/>
    <w:rsid w:val="00F149B1"/>
    <w:rsid w:val="00F16076"/>
    <w:rsid w:val="00F17940"/>
    <w:rsid w:val="00F22394"/>
    <w:rsid w:val="00F22BF7"/>
    <w:rsid w:val="00F2553B"/>
    <w:rsid w:val="00F25EB7"/>
    <w:rsid w:val="00F309E0"/>
    <w:rsid w:val="00F31A18"/>
    <w:rsid w:val="00F31E8A"/>
    <w:rsid w:val="00F3300B"/>
    <w:rsid w:val="00F339E9"/>
    <w:rsid w:val="00F40D9C"/>
    <w:rsid w:val="00F40FAE"/>
    <w:rsid w:val="00F4104F"/>
    <w:rsid w:val="00F41872"/>
    <w:rsid w:val="00F418FA"/>
    <w:rsid w:val="00F418FB"/>
    <w:rsid w:val="00F4290D"/>
    <w:rsid w:val="00F43246"/>
    <w:rsid w:val="00F43D1A"/>
    <w:rsid w:val="00F44C4E"/>
    <w:rsid w:val="00F4623D"/>
    <w:rsid w:val="00F46DF0"/>
    <w:rsid w:val="00F5187E"/>
    <w:rsid w:val="00F531C1"/>
    <w:rsid w:val="00F531FD"/>
    <w:rsid w:val="00F53DE3"/>
    <w:rsid w:val="00F543A9"/>
    <w:rsid w:val="00F54DDE"/>
    <w:rsid w:val="00F56419"/>
    <w:rsid w:val="00F56898"/>
    <w:rsid w:val="00F56EA9"/>
    <w:rsid w:val="00F57088"/>
    <w:rsid w:val="00F57860"/>
    <w:rsid w:val="00F61797"/>
    <w:rsid w:val="00F61CF9"/>
    <w:rsid w:val="00F62553"/>
    <w:rsid w:val="00F62E77"/>
    <w:rsid w:val="00F62FCD"/>
    <w:rsid w:val="00F63F76"/>
    <w:rsid w:val="00F65400"/>
    <w:rsid w:val="00F66F49"/>
    <w:rsid w:val="00F67502"/>
    <w:rsid w:val="00F67F8F"/>
    <w:rsid w:val="00F70C04"/>
    <w:rsid w:val="00F71DC1"/>
    <w:rsid w:val="00F7273C"/>
    <w:rsid w:val="00F740B2"/>
    <w:rsid w:val="00F74BD7"/>
    <w:rsid w:val="00F755C3"/>
    <w:rsid w:val="00F762D4"/>
    <w:rsid w:val="00F804AE"/>
    <w:rsid w:val="00F815A6"/>
    <w:rsid w:val="00F817D8"/>
    <w:rsid w:val="00F818F1"/>
    <w:rsid w:val="00F824CB"/>
    <w:rsid w:val="00F8307A"/>
    <w:rsid w:val="00F831C0"/>
    <w:rsid w:val="00F84DA2"/>
    <w:rsid w:val="00F85BBC"/>
    <w:rsid w:val="00F85F4C"/>
    <w:rsid w:val="00F86A66"/>
    <w:rsid w:val="00F87324"/>
    <w:rsid w:val="00F87D51"/>
    <w:rsid w:val="00F90515"/>
    <w:rsid w:val="00F906B3"/>
    <w:rsid w:val="00F93CF8"/>
    <w:rsid w:val="00F94032"/>
    <w:rsid w:val="00F9577D"/>
    <w:rsid w:val="00F95C4E"/>
    <w:rsid w:val="00F968F2"/>
    <w:rsid w:val="00F96C60"/>
    <w:rsid w:val="00F96D1B"/>
    <w:rsid w:val="00F96D78"/>
    <w:rsid w:val="00F9717A"/>
    <w:rsid w:val="00F97C83"/>
    <w:rsid w:val="00F97EA4"/>
    <w:rsid w:val="00FA0ADB"/>
    <w:rsid w:val="00FA4FD2"/>
    <w:rsid w:val="00FA5063"/>
    <w:rsid w:val="00FA585F"/>
    <w:rsid w:val="00FA5F12"/>
    <w:rsid w:val="00FA74E4"/>
    <w:rsid w:val="00FB132E"/>
    <w:rsid w:val="00FB1EA2"/>
    <w:rsid w:val="00FB2E78"/>
    <w:rsid w:val="00FB4845"/>
    <w:rsid w:val="00FB56CB"/>
    <w:rsid w:val="00FB5C98"/>
    <w:rsid w:val="00FB5C9C"/>
    <w:rsid w:val="00FB64BB"/>
    <w:rsid w:val="00FB6AF2"/>
    <w:rsid w:val="00FC0251"/>
    <w:rsid w:val="00FC0C80"/>
    <w:rsid w:val="00FC3840"/>
    <w:rsid w:val="00FC3CAF"/>
    <w:rsid w:val="00FC4722"/>
    <w:rsid w:val="00FC5D90"/>
    <w:rsid w:val="00FC668F"/>
    <w:rsid w:val="00FC7218"/>
    <w:rsid w:val="00FC74F5"/>
    <w:rsid w:val="00FC7729"/>
    <w:rsid w:val="00FD01C3"/>
    <w:rsid w:val="00FD1149"/>
    <w:rsid w:val="00FD1FE4"/>
    <w:rsid w:val="00FD2CD2"/>
    <w:rsid w:val="00FD4071"/>
    <w:rsid w:val="00FD4179"/>
    <w:rsid w:val="00FD534D"/>
    <w:rsid w:val="00FD666E"/>
    <w:rsid w:val="00FD7D44"/>
    <w:rsid w:val="00FE0783"/>
    <w:rsid w:val="00FE1664"/>
    <w:rsid w:val="00FE1891"/>
    <w:rsid w:val="00FE196B"/>
    <w:rsid w:val="00FE45C6"/>
    <w:rsid w:val="00FE6031"/>
    <w:rsid w:val="00FF06BA"/>
    <w:rsid w:val="00FF322C"/>
    <w:rsid w:val="00FF3445"/>
    <w:rsid w:val="00FF36ED"/>
    <w:rsid w:val="00FF4AE4"/>
    <w:rsid w:val="00FF56CD"/>
    <w:rsid w:val="00FF5EB6"/>
    <w:rsid w:val="00FF614F"/>
    <w:rsid w:val="00FF7078"/>
    <w:rsid w:val="00FF7DA5"/>
    <w:rsid w:val="00FF7ED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left="709" w:hanging="709"/>
        <w:jc w:val="righ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388F"/>
  </w:style>
  <w:style w:type="paragraph" w:styleId="1">
    <w:name w:val="heading 1"/>
    <w:basedOn w:val="a"/>
    <w:next w:val="a"/>
    <w:link w:val="10"/>
    <w:uiPriority w:val="9"/>
    <w:qFormat/>
    <w:rsid w:val="008719A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A74CDC"/>
    <w:pPr>
      <w:spacing w:before="100" w:beforeAutospacing="1" w:after="100" w:afterAutospacing="1"/>
      <w:ind w:left="0" w:firstLine="0"/>
      <w:jc w:val="left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41B3C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BA472E"/>
    <w:pPr>
      <w:spacing w:before="100" w:beforeAutospacing="1" w:after="100" w:afterAutospacing="1"/>
      <w:ind w:left="0"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317D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317D2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C6647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Strong"/>
    <w:basedOn w:val="a0"/>
    <w:uiPriority w:val="22"/>
    <w:qFormat/>
    <w:rsid w:val="00D76CBC"/>
    <w:rPr>
      <w:b/>
      <w:bCs/>
    </w:rPr>
  </w:style>
  <w:style w:type="character" w:customStyle="1" w:styleId="apple-converted-space">
    <w:name w:val="apple-converted-space"/>
    <w:basedOn w:val="a0"/>
    <w:rsid w:val="003A52F4"/>
  </w:style>
  <w:style w:type="character" w:customStyle="1" w:styleId="30">
    <w:name w:val="Заголовок 3 Знак"/>
    <w:basedOn w:val="a0"/>
    <w:link w:val="3"/>
    <w:uiPriority w:val="9"/>
    <w:rsid w:val="00A74CDC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8">
    <w:name w:val="Hyperlink"/>
    <w:basedOn w:val="a0"/>
    <w:uiPriority w:val="99"/>
    <w:unhideWhenUsed/>
    <w:rsid w:val="0061757E"/>
    <w:rPr>
      <w:color w:val="0000FF"/>
      <w:u w:val="single"/>
    </w:rPr>
  </w:style>
  <w:style w:type="character" w:customStyle="1" w:styleId="blk">
    <w:name w:val="blk"/>
    <w:basedOn w:val="a0"/>
    <w:rsid w:val="008719A5"/>
  </w:style>
  <w:style w:type="character" w:customStyle="1" w:styleId="10">
    <w:name w:val="Заголовок 1 Знак"/>
    <w:basedOn w:val="a0"/>
    <w:link w:val="1"/>
    <w:uiPriority w:val="9"/>
    <w:rsid w:val="008719A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9">
    <w:name w:val="endnote text"/>
    <w:basedOn w:val="a"/>
    <w:link w:val="aa"/>
    <w:uiPriority w:val="99"/>
    <w:semiHidden/>
    <w:unhideWhenUsed/>
    <w:rsid w:val="000E31A7"/>
    <w:rPr>
      <w:sz w:val="20"/>
      <w:szCs w:val="20"/>
    </w:rPr>
  </w:style>
  <w:style w:type="character" w:customStyle="1" w:styleId="aa">
    <w:name w:val="Текст концевой сноски Знак"/>
    <w:basedOn w:val="a0"/>
    <w:link w:val="a9"/>
    <w:uiPriority w:val="99"/>
    <w:semiHidden/>
    <w:rsid w:val="000E31A7"/>
    <w:rPr>
      <w:sz w:val="20"/>
      <w:szCs w:val="20"/>
    </w:rPr>
  </w:style>
  <w:style w:type="character" w:styleId="ab">
    <w:name w:val="endnote reference"/>
    <w:basedOn w:val="a0"/>
    <w:uiPriority w:val="99"/>
    <w:semiHidden/>
    <w:unhideWhenUsed/>
    <w:rsid w:val="000E31A7"/>
    <w:rPr>
      <w:vertAlign w:val="superscript"/>
    </w:rPr>
  </w:style>
  <w:style w:type="paragraph" w:styleId="ac">
    <w:name w:val="footnote text"/>
    <w:basedOn w:val="a"/>
    <w:link w:val="ad"/>
    <w:uiPriority w:val="99"/>
    <w:unhideWhenUsed/>
    <w:rsid w:val="000E31A7"/>
    <w:rPr>
      <w:sz w:val="20"/>
      <w:szCs w:val="20"/>
    </w:rPr>
  </w:style>
  <w:style w:type="character" w:customStyle="1" w:styleId="ad">
    <w:name w:val="Текст сноски Знак"/>
    <w:basedOn w:val="a0"/>
    <w:link w:val="ac"/>
    <w:uiPriority w:val="99"/>
    <w:rsid w:val="000E31A7"/>
    <w:rPr>
      <w:sz w:val="20"/>
      <w:szCs w:val="20"/>
    </w:rPr>
  </w:style>
  <w:style w:type="character" w:styleId="ae">
    <w:name w:val="footnote reference"/>
    <w:basedOn w:val="a0"/>
    <w:uiPriority w:val="99"/>
    <w:semiHidden/>
    <w:unhideWhenUsed/>
    <w:rsid w:val="000E31A7"/>
    <w:rPr>
      <w:vertAlign w:val="superscript"/>
    </w:rPr>
  </w:style>
  <w:style w:type="character" w:styleId="af">
    <w:name w:val="FollowedHyperlink"/>
    <w:basedOn w:val="a0"/>
    <w:uiPriority w:val="99"/>
    <w:semiHidden/>
    <w:unhideWhenUsed/>
    <w:rsid w:val="00A53FD7"/>
    <w:rPr>
      <w:color w:val="800080" w:themeColor="followedHyperlink"/>
      <w:u w:val="single"/>
    </w:rPr>
  </w:style>
  <w:style w:type="paragraph" w:styleId="af0">
    <w:name w:val="header"/>
    <w:basedOn w:val="a"/>
    <w:link w:val="af1"/>
    <w:uiPriority w:val="99"/>
    <w:semiHidden/>
    <w:unhideWhenUsed/>
    <w:rsid w:val="00A53FD7"/>
    <w:pPr>
      <w:tabs>
        <w:tab w:val="center" w:pos="4677"/>
        <w:tab w:val="right" w:pos="9355"/>
      </w:tabs>
    </w:pPr>
  </w:style>
  <w:style w:type="character" w:customStyle="1" w:styleId="af1">
    <w:name w:val="Верхний колонтитул Знак"/>
    <w:basedOn w:val="a0"/>
    <w:link w:val="af0"/>
    <w:uiPriority w:val="99"/>
    <w:semiHidden/>
    <w:rsid w:val="00A53FD7"/>
  </w:style>
  <w:style w:type="paragraph" w:styleId="af2">
    <w:name w:val="footer"/>
    <w:basedOn w:val="a"/>
    <w:link w:val="af3"/>
    <w:uiPriority w:val="99"/>
    <w:unhideWhenUsed/>
    <w:rsid w:val="00A53FD7"/>
    <w:pPr>
      <w:tabs>
        <w:tab w:val="center" w:pos="4677"/>
        <w:tab w:val="right" w:pos="9355"/>
      </w:tabs>
    </w:pPr>
  </w:style>
  <w:style w:type="character" w:customStyle="1" w:styleId="af3">
    <w:name w:val="Нижний колонтитул Знак"/>
    <w:basedOn w:val="a0"/>
    <w:link w:val="af2"/>
    <w:uiPriority w:val="99"/>
    <w:rsid w:val="00A53FD7"/>
  </w:style>
  <w:style w:type="paragraph" w:styleId="af4">
    <w:name w:val="List Paragraph"/>
    <w:basedOn w:val="a"/>
    <w:uiPriority w:val="34"/>
    <w:qFormat/>
    <w:rsid w:val="00043122"/>
    <w:pPr>
      <w:ind w:left="720"/>
      <w:contextualSpacing/>
    </w:pPr>
  </w:style>
  <w:style w:type="paragraph" w:customStyle="1" w:styleId="8">
    <w:name w:val="8.Сноска"/>
    <w:basedOn w:val="a"/>
    <w:next w:val="a"/>
    <w:link w:val="80"/>
    <w:qFormat/>
    <w:rsid w:val="00E07845"/>
    <w:pPr>
      <w:keepLines/>
      <w:spacing w:before="120" w:after="20"/>
      <w:ind w:left="0" w:firstLine="0"/>
      <w:jc w:val="both"/>
    </w:pPr>
    <w:rPr>
      <w:rFonts w:ascii="Arial" w:eastAsia="Times New Roman" w:hAnsi="Arial" w:cs="Times New Roman"/>
      <w:i/>
      <w:sz w:val="16"/>
      <w:szCs w:val="20"/>
      <w:lang w:eastAsia="ru-RU"/>
    </w:rPr>
  </w:style>
  <w:style w:type="character" w:customStyle="1" w:styleId="80">
    <w:name w:val="8.Сноска Знак"/>
    <w:basedOn w:val="a0"/>
    <w:link w:val="8"/>
    <w:rsid w:val="00E07845"/>
    <w:rPr>
      <w:rFonts w:ascii="Arial" w:eastAsia="Times New Roman" w:hAnsi="Arial" w:cs="Times New Roman"/>
      <w:i/>
      <w:sz w:val="16"/>
      <w:szCs w:val="20"/>
      <w:lang w:eastAsia="ru-RU"/>
    </w:rPr>
  </w:style>
  <w:style w:type="character" w:customStyle="1" w:styleId="50">
    <w:name w:val="Заголовок 5 Знак"/>
    <w:basedOn w:val="a0"/>
    <w:link w:val="5"/>
    <w:uiPriority w:val="9"/>
    <w:semiHidden/>
    <w:rsid w:val="00541B3C"/>
    <w:rPr>
      <w:rFonts w:asciiTheme="majorHAnsi" w:eastAsiaTheme="majorEastAsia" w:hAnsiTheme="majorHAnsi" w:cstheme="majorBidi"/>
      <w:color w:val="243F60" w:themeColor="accent1" w:themeShade="7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444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86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70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2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0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7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71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1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40581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26315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7375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61395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3599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07560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84205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7413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54555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56830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26382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557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7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304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848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5110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877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9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38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84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299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840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5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4.xm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mailto:iespn@ksc.komisc.ru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consultant.ru/document/cons_doc_LAW_156525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consultant.ru/cons/cgi/online.cgi?req=doc&amp;base=LAW&amp;n=165592&amp;fld=134&amp;dst=104390,0&amp;rnd=0.7447957310337858" TargetMode="External"/><Relationship Id="rId10" Type="http://schemas.openxmlformats.org/officeDocument/2006/relationships/chart" Target="charts/chart3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hyperlink" Target="http://www.grandars.ru/student/finansy/pensionnyy-fond.html%204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4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5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7.1726450860309501E-2"/>
          <c:y val="5.1994125734283213E-2"/>
          <c:w val="0.90281058617672749"/>
          <c:h val="0.60889210938151161"/>
        </c:manualLayout>
      </c:layout>
      <c:barChart>
        <c:barDir val="col"/>
        <c:grouping val="clustered"/>
        <c:ser>
          <c:idx val="2"/>
          <c:order val="2"/>
          <c:tx>
            <c:strRef>
              <c:f>Лист1!$D$1</c:f>
              <c:strCache>
                <c:ptCount val="1"/>
                <c:pt idx="0">
                  <c:v>Доля доходов в ВРП</c:v>
                </c:pt>
              </c:strCache>
            </c:strRef>
          </c:tx>
          <c:spPr>
            <a:solidFill>
              <a:schemeClr val="bg1">
                <a:lumMod val="85000"/>
              </a:schemeClr>
            </a:solidFill>
          </c:spPr>
          <c:cat>
            <c:numRef>
              <c:f>Лист1!$A$2:$A$8</c:f>
              <c:numCache>
                <c:formatCode>General</c:formatCode>
                <c:ptCount val="7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</c:numCache>
            </c:numRef>
          </c:cat>
          <c:val>
            <c:numRef>
              <c:f>Лист1!$D$2:$D$8</c:f>
              <c:numCache>
                <c:formatCode>0.0</c:formatCode>
                <c:ptCount val="7"/>
                <c:pt idx="0">
                  <c:v>1.7706285558759298</c:v>
                </c:pt>
                <c:pt idx="1">
                  <c:v>2.2071354882086758</c:v>
                </c:pt>
                <c:pt idx="2">
                  <c:v>2.4601193710286271</c:v>
                </c:pt>
                <c:pt idx="3">
                  <c:v>2.3187064460624485</c:v>
                </c:pt>
                <c:pt idx="4">
                  <c:v>2.6282475145890607</c:v>
                </c:pt>
                <c:pt idx="5">
                  <c:v>2.7156769919984787</c:v>
                </c:pt>
                <c:pt idx="6">
                  <c:v>2.6</c:v>
                </c:pt>
              </c:numCache>
            </c:numRef>
          </c:val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Превышение расходов над доходами</c:v>
                </c:pt>
              </c:strCache>
            </c:strRef>
          </c:tx>
          <c:spPr>
            <a:solidFill>
              <a:schemeClr val="bg1">
                <a:lumMod val="50000"/>
              </a:schemeClr>
            </a:solidFill>
          </c:spPr>
          <c:cat>
            <c:numRef>
              <c:f>Лист1!$A$2:$A$8</c:f>
              <c:numCache>
                <c:formatCode>General</c:formatCode>
                <c:ptCount val="7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</c:numCache>
            </c:numRef>
          </c:cat>
          <c:val>
            <c:numRef>
              <c:f>Лист1!$E$2:$E$8</c:f>
              <c:numCache>
                <c:formatCode>0.0</c:formatCode>
                <c:ptCount val="7"/>
                <c:pt idx="0">
                  <c:v>0.85725086724585264</c:v>
                </c:pt>
                <c:pt idx="1">
                  <c:v>1.7578408444951918</c:v>
                </c:pt>
                <c:pt idx="2">
                  <c:v>8.9224189273526804</c:v>
                </c:pt>
                <c:pt idx="3">
                  <c:v>-6.0516948514020186</c:v>
                </c:pt>
                <c:pt idx="4">
                  <c:v>-4.1223085295472206</c:v>
                </c:pt>
                <c:pt idx="5">
                  <c:v>-0.50532837635020655</c:v>
                </c:pt>
                <c:pt idx="6">
                  <c:v>0.26</c:v>
                </c:pt>
              </c:numCache>
            </c:numRef>
          </c:val>
        </c:ser>
        <c:ser>
          <c:idx val="4"/>
          <c:order val="4"/>
          <c:tx>
            <c:strRef>
              <c:f>Лист1!$F$1</c:f>
              <c:strCache>
                <c:ptCount val="1"/>
                <c:pt idx="0">
                  <c:v>Возврат остатков, в % к ресурсам</c:v>
                </c:pt>
              </c:strCache>
            </c:strRef>
          </c:tx>
          <c:spPr>
            <a:solidFill>
              <a:schemeClr val="tx1"/>
            </a:solidFill>
          </c:spPr>
          <c:cat>
            <c:numRef>
              <c:f>Лист1!$A$2:$A$8</c:f>
              <c:numCache>
                <c:formatCode>General</c:formatCode>
                <c:ptCount val="7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</c:numCache>
            </c:numRef>
          </c:cat>
          <c:val>
            <c:numRef>
              <c:f>Лист1!$F$2:$F$8</c:f>
              <c:numCache>
                <c:formatCode>0.0</c:formatCode>
                <c:ptCount val="7"/>
                <c:pt idx="0">
                  <c:v>-2.7390490454447591E-2</c:v>
                </c:pt>
                <c:pt idx="1">
                  <c:v>-0.27763181852763824</c:v>
                </c:pt>
                <c:pt idx="2">
                  <c:v>-0.42608598862897662</c:v>
                </c:pt>
                <c:pt idx="3">
                  <c:v>-0.73604945755884954</c:v>
                </c:pt>
                <c:pt idx="4">
                  <c:v>-0.70145679674426908</c:v>
                </c:pt>
                <c:pt idx="5">
                  <c:v>-0.12099026695442369</c:v>
                </c:pt>
                <c:pt idx="6">
                  <c:v>-0.1</c:v>
                </c:pt>
              </c:numCache>
            </c:numRef>
          </c:val>
        </c:ser>
        <c:axId val="82062720"/>
        <c:axId val="82544128"/>
      </c:barChart>
      <c:lineChart>
        <c:grouping val="standard"/>
        <c:ser>
          <c:idx val="0"/>
          <c:order val="0"/>
          <c:tx>
            <c:strRef>
              <c:f>Лист1!$B$1</c:f>
              <c:strCache>
                <c:ptCount val="1"/>
                <c:pt idx="0">
                  <c:v>Поступило (правая шкала), в % к 2010 г. в сопоставимых ценах</c:v>
                </c:pt>
              </c:strCache>
            </c:strRef>
          </c:tx>
          <c:spPr>
            <a:ln cmpd="sng">
              <a:solidFill>
                <a:schemeClr val="tx1"/>
              </a:solidFill>
            </a:ln>
          </c:spPr>
          <c:marker>
            <c:spPr>
              <a:solidFill>
                <a:sysClr val="window" lastClr="FFFFFF"/>
              </a:solidFill>
              <a:ln>
                <a:solidFill>
                  <a:sysClr val="windowText" lastClr="000000"/>
                </a:solidFill>
              </a:ln>
            </c:spPr>
          </c:marker>
          <c:cat>
            <c:numRef>
              <c:f>Лист1!$A$2:$A$8</c:f>
              <c:numCache>
                <c:formatCode>General</c:formatCode>
                <c:ptCount val="7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</c:numCache>
            </c:numRef>
          </c:cat>
          <c:val>
            <c:numRef>
              <c:f>Лист1!$B$2:$B$8</c:f>
              <c:numCache>
                <c:formatCode>0.0</c:formatCode>
                <c:ptCount val="7"/>
                <c:pt idx="0">
                  <c:v>100</c:v>
                </c:pt>
                <c:pt idx="1">
                  <c:v>141.66529548109705</c:v>
                </c:pt>
                <c:pt idx="2">
                  <c:v>166.35031423047977</c:v>
                </c:pt>
                <c:pt idx="3">
                  <c:v>148.06371591880915</c:v>
                </c:pt>
                <c:pt idx="4">
                  <c:v>155.21624603743456</c:v>
                </c:pt>
                <c:pt idx="5">
                  <c:v>150.57251668503523</c:v>
                </c:pt>
                <c:pt idx="6">
                  <c:v>145.5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Израсходовано (правая шкала), в % к 2010 г. в сопоставимых ценах</c:v>
                </c:pt>
              </c:strCache>
            </c:strRef>
          </c:tx>
          <c:spPr>
            <a:ln>
              <a:solidFill>
                <a:schemeClr val="tx1"/>
              </a:solidFill>
              <a:prstDash val="dash"/>
            </a:ln>
          </c:spPr>
          <c:marker>
            <c:spPr>
              <a:solidFill>
                <a:schemeClr val="bg1"/>
              </a:solidFill>
              <a:ln>
                <a:solidFill>
                  <a:sysClr val="windowText" lastClr="000000"/>
                </a:solidFill>
              </a:ln>
            </c:spPr>
          </c:marker>
          <c:cat>
            <c:numRef>
              <c:f>Лист1!$A$2:$A$8</c:f>
              <c:numCache>
                <c:formatCode>General</c:formatCode>
                <c:ptCount val="7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</c:numCache>
            </c:numRef>
          </c:cat>
          <c:val>
            <c:numRef>
              <c:f>Лист1!$C$2:$C$8</c:f>
              <c:numCache>
                <c:formatCode>0.0</c:formatCode>
                <c:ptCount val="7"/>
                <c:pt idx="0">
                  <c:v>100</c:v>
                </c:pt>
                <c:pt idx="1">
                  <c:v>140.37844045286417</c:v>
                </c:pt>
                <c:pt idx="2">
                  <c:v>152.81787486545946</c:v>
                </c:pt>
                <c:pt idx="3">
                  <c:v>158.38180962846187</c:v>
                </c:pt>
                <c:pt idx="4">
                  <c:v>163.01216175746046</c:v>
                </c:pt>
                <c:pt idx="5">
                  <c:v>152.64192657820161</c:v>
                </c:pt>
                <c:pt idx="6">
                  <c:v>146.4</c:v>
                </c:pt>
              </c:numCache>
            </c:numRef>
          </c:val>
        </c:ser>
        <c:marker val="1"/>
        <c:axId val="83120896"/>
        <c:axId val="82639488"/>
      </c:lineChart>
      <c:catAx>
        <c:axId val="82062720"/>
        <c:scaling>
          <c:orientation val="minMax"/>
        </c:scaling>
        <c:axPos val="b"/>
        <c:numFmt formatCode="General" sourceLinked="1"/>
        <c:tickLblPos val="nextTo"/>
        <c:crossAx val="82544128"/>
        <c:crossesAt val="0"/>
        <c:auto val="1"/>
        <c:lblAlgn val="ctr"/>
        <c:lblOffset val="100"/>
      </c:catAx>
      <c:valAx>
        <c:axId val="82544128"/>
        <c:scaling>
          <c:orientation val="minMax"/>
          <c:max val="8"/>
          <c:min val="-6"/>
        </c:scaling>
        <c:axPos val="l"/>
        <c:majorGridlines/>
        <c:numFmt formatCode="0" sourceLinked="0"/>
        <c:tickLblPos val="nextTo"/>
        <c:crossAx val="82062720"/>
        <c:crosses val="autoZero"/>
        <c:crossBetween val="between"/>
        <c:majorUnit val="1"/>
      </c:valAx>
      <c:valAx>
        <c:axId val="82639488"/>
        <c:scaling>
          <c:orientation val="minMax"/>
          <c:max val="170"/>
          <c:min val="80"/>
        </c:scaling>
        <c:axPos val="r"/>
        <c:numFmt formatCode="0" sourceLinked="0"/>
        <c:tickLblPos val="nextTo"/>
        <c:crossAx val="83120896"/>
        <c:crosses val="max"/>
        <c:crossBetween val="between"/>
        <c:majorUnit val="10"/>
      </c:valAx>
      <c:catAx>
        <c:axId val="83120896"/>
        <c:scaling>
          <c:orientation val="minMax"/>
        </c:scaling>
        <c:delete val="1"/>
        <c:axPos val="b"/>
        <c:numFmt formatCode="General" sourceLinked="1"/>
        <c:tickLblPos val="nextTo"/>
        <c:crossAx val="82639488"/>
        <c:crosses val="autoZero"/>
        <c:auto val="1"/>
        <c:lblAlgn val="ctr"/>
        <c:lblOffset val="100"/>
      </c:catAx>
    </c:plotArea>
    <c:legend>
      <c:legendPos val="b"/>
      <c:layout>
        <c:manualLayout>
          <c:xMode val="edge"/>
          <c:yMode val="edge"/>
          <c:x val="1.2048145386613422E-2"/>
          <c:y val="0.67111002046504764"/>
          <c:w val="0.98116545265349209"/>
          <c:h val="0.32888997953495402"/>
        </c:manualLayout>
      </c:layout>
    </c:legend>
    <c:plotVisOnly val="1"/>
    <c:dispBlanksAs val="gap"/>
  </c:chart>
  <c:spPr>
    <a:ln>
      <a:noFill/>
    </a:ln>
  </c:sp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7.1726450860309418E-2"/>
          <c:y val="5.1994125734283213E-2"/>
          <c:w val="0.90281058617672749"/>
          <c:h val="0.53830868165965506"/>
        </c:manualLayout>
      </c:layout>
      <c:lineChart>
        <c:grouping val="standard"/>
        <c:ser>
          <c:idx val="0"/>
          <c:order val="0"/>
          <c:tx>
            <c:strRef>
              <c:f>Лист1!$B$1</c:f>
              <c:strCache>
                <c:ptCount val="1"/>
                <c:pt idx="0">
                  <c:v>Поступило</c:v>
                </c:pt>
              </c:strCache>
            </c:strRef>
          </c:tx>
          <c:spPr>
            <a:ln>
              <a:solidFill>
                <a:schemeClr val="tx1"/>
              </a:solidFill>
            </a:ln>
          </c:spPr>
          <c:marker>
            <c:spPr>
              <a:solidFill>
                <a:schemeClr val="tx1"/>
              </a:solidFill>
            </c:spPr>
          </c:marker>
          <c:dLbls>
            <c:dLbl>
              <c:idx val="0"/>
              <c:delete val="1"/>
            </c:dLbl>
            <c:dLbl>
              <c:idx val="1"/>
              <c:layout>
                <c:manualLayout>
                  <c:x val="-5.5543730847617941E-2"/>
                  <c:y val="-5.0308645520926405E-2"/>
                </c:manualLayout>
              </c:layout>
              <c:showVal val="1"/>
            </c:dLbl>
            <c:dLbl>
              <c:idx val="2"/>
              <c:layout>
                <c:manualLayout>
                  <c:x val="-4.3972120254364054E-2"/>
                  <c:y val="-5.0308645520926405E-2"/>
                </c:manualLayout>
              </c:layout>
              <c:showVal val="1"/>
            </c:dLbl>
            <c:dLbl>
              <c:idx val="3"/>
              <c:layout>
                <c:manualLayout>
                  <c:x val="-6.480101932222089E-2"/>
                  <c:y val="4.0246916416740983E-2"/>
                </c:manualLayout>
              </c:layout>
              <c:showVal val="1"/>
            </c:dLbl>
            <c:dLbl>
              <c:idx val="5"/>
              <c:layout>
                <c:manualLayout>
                  <c:x val="-3.4714831779761091E-2"/>
                  <c:y val="-5.0308645520926405E-2"/>
                </c:manualLayout>
              </c:layout>
              <c:showVal val="1"/>
            </c:dLbl>
            <c:dLbl>
              <c:idx val="6"/>
              <c:layout>
                <c:manualLayout>
                  <c:x val="-3.934347601706261E-2"/>
                  <c:y val="-5.5339510073018933E-2"/>
                </c:manualLayout>
              </c:layout>
              <c:showVal val="1"/>
            </c:dLbl>
            <c:showVal val="1"/>
          </c:dLbls>
          <c:cat>
            <c:numRef>
              <c:f>Лист1!$A$2:$A$8</c:f>
              <c:numCache>
                <c:formatCode>General</c:formatCode>
                <c:ptCount val="7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</c:numCache>
            </c:numRef>
          </c:cat>
          <c:val>
            <c:numRef>
              <c:f>Лист1!$B$2:$B$8</c:f>
              <c:numCache>
                <c:formatCode>0.0</c:formatCode>
                <c:ptCount val="7"/>
                <c:pt idx="0">
                  <c:v>100</c:v>
                </c:pt>
                <c:pt idx="1">
                  <c:v>123.05</c:v>
                </c:pt>
                <c:pt idx="2">
                  <c:v>122.90227758657801</c:v>
                </c:pt>
                <c:pt idx="3">
                  <c:v>114.33330596085027</c:v>
                </c:pt>
                <c:pt idx="4">
                  <c:v>92.572414759110814</c:v>
                </c:pt>
                <c:pt idx="5">
                  <c:v>83.020187491641579</c:v>
                </c:pt>
                <c:pt idx="6">
                  <c:v>80.546668541593363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Израсходовано</c:v>
                </c:pt>
              </c:strCache>
            </c:strRef>
          </c:tx>
          <c:spPr>
            <a:ln>
              <a:solidFill>
                <a:schemeClr val="tx1">
                  <a:lumMod val="50000"/>
                  <a:lumOff val="50000"/>
                </a:schemeClr>
              </a:solidFill>
            </a:ln>
          </c:spPr>
          <c:marker>
            <c:spPr>
              <a:solidFill>
                <a:schemeClr val="tx1">
                  <a:lumMod val="50000"/>
                  <a:lumOff val="50000"/>
                </a:schemeClr>
              </a:solidFill>
            </c:spPr>
          </c:marker>
          <c:dLbls>
            <c:dLbl>
              <c:idx val="0"/>
              <c:delete val="1"/>
            </c:dLbl>
            <c:dLbl>
              <c:idx val="1"/>
              <c:layout>
                <c:manualLayout>
                  <c:x val="-4.3972120254364054E-2"/>
                  <c:y val="6.5401239177204112E-2"/>
                </c:manualLayout>
              </c:layout>
              <c:showVal val="1"/>
            </c:dLbl>
            <c:dLbl>
              <c:idx val="2"/>
              <c:layout>
                <c:manualLayout>
                  <c:x val="-3.934347601706261E-2"/>
                  <c:y val="6.0370374625111523E-2"/>
                </c:manualLayout>
              </c:layout>
              <c:showVal val="1"/>
            </c:dLbl>
            <c:dLbl>
              <c:idx val="3"/>
              <c:layout>
                <c:manualLayout>
                  <c:x val="-4.6286442373014755E-2"/>
                  <c:y val="-5.0308645520926405E-2"/>
                </c:manualLayout>
              </c:layout>
              <c:showVal val="1"/>
            </c:dLbl>
            <c:dLbl>
              <c:idx val="4"/>
              <c:layout>
                <c:manualLayout>
                  <c:x val="-3.2400509661110452E-2"/>
                  <c:y val="-5.5339510073018912E-2"/>
                </c:manualLayout>
              </c:layout>
              <c:showVal val="1"/>
            </c:dLbl>
            <c:dLbl>
              <c:idx val="5"/>
              <c:layout>
                <c:manualLayout>
                  <c:x val="-4.3972120254364054E-2"/>
                  <c:y val="-4.5277780968833593E-2"/>
                </c:manualLayout>
              </c:layout>
              <c:showVal val="1"/>
            </c:dLbl>
            <c:dLbl>
              <c:idx val="6"/>
              <c:layout>
                <c:manualLayout>
                  <c:x val="-4.6286442373014755E-2"/>
                  <c:y val="-6.5401239177204112E-2"/>
                </c:manualLayout>
              </c:layout>
              <c:showVal val="1"/>
            </c:dLbl>
            <c:showVal val="1"/>
          </c:dLbls>
          <c:cat>
            <c:numRef>
              <c:f>Лист1!$A$2:$A$8</c:f>
              <c:numCache>
                <c:formatCode>General</c:formatCode>
                <c:ptCount val="7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</c:numCache>
            </c:numRef>
          </c:cat>
          <c:val>
            <c:numRef>
              <c:f>Лист1!$C$2:$C$8</c:f>
              <c:numCache>
                <c:formatCode>0.0</c:formatCode>
                <c:ptCount val="7"/>
                <c:pt idx="0">
                  <c:v>100</c:v>
                </c:pt>
                <c:pt idx="1">
                  <c:v>102.32</c:v>
                </c:pt>
                <c:pt idx="2">
                  <c:v>109.74066418903732</c:v>
                </c:pt>
                <c:pt idx="3">
                  <c:v>121.05400987313901</c:v>
                </c:pt>
                <c:pt idx="4">
                  <c:v>101.03829560143502</c:v>
                </c:pt>
                <c:pt idx="5">
                  <c:v>103.1979917521121</c:v>
                </c:pt>
                <c:pt idx="6">
                  <c:v>102.1559720199364</c:v>
                </c:pt>
              </c:numCache>
            </c:numRef>
          </c:val>
        </c:ser>
        <c:marker val="1"/>
        <c:axId val="83991552"/>
        <c:axId val="84284928"/>
      </c:lineChart>
      <c:catAx>
        <c:axId val="83991552"/>
        <c:scaling>
          <c:orientation val="minMax"/>
        </c:scaling>
        <c:axPos val="b"/>
        <c:numFmt formatCode="General" sourceLinked="1"/>
        <c:tickLblPos val="nextTo"/>
        <c:crossAx val="84284928"/>
        <c:crossesAt val="0"/>
        <c:auto val="1"/>
        <c:lblAlgn val="ctr"/>
        <c:lblOffset val="100"/>
      </c:catAx>
      <c:valAx>
        <c:axId val="84284928"/>
        <c:scaling>
          <c:orientation val="minMax"/>
          <c:min val="80"/>
        </c:scaling>
        <c:axPos val="l"/>
        <c:numFmt formatCode="0" sourceLinked="0"/>
        <c:tickLblPos val="nextTo"/>
        <c:crossAx val="83991552"/>
        <c:crosses val="autoZero"/>
        <c:crossBetween val="between"/>
      </c:valAx>
    </c:plotArea>
    <c:legend>
      <c:legendPos val="b"/>
      <c:layout>
        <c:manualLayout>
          <c:xMode val="edge"/>
          <c:yMode val="edge"/>
          <c:x val="0.26803148498569856"/>
          <c:y val="0.84638631414698917"/>
          <c:w val="0.44079177602799624"/>
          <c:h val="0.128761953128156"/>
        </c:manualLayout>
      </c:layout>
    </c:legend>
    <c:plotVisOnly val="1"/>
  </c:chart>
  <c:spPr>
    <a:ln>
      <a:noFill/>
    </a:ln>
  </c:sp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9.7174820364587522E-2"/>
          <c:y val="4.4057617797775513E-2"/>
          <c:w val="0.80940040392276458"/>
          <c:h val="0.52106436799251432"/>
        </c:manualLayout>
      </c:layout>
      <c:bar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Доходы без учета трансфертов, млрд руб.</c:v>
                </c:pt>
              </c:strCache>
            </c:strRef>
          </c:tx>
          <c:spPr>
            <a:solidFill>
              <a:schemeClr val="bg1">
                <a:lumMod val="65000"/>
              </a:schemeClr>
            </a:solidFill>
          </c:spPr>
          <c:cat>
            <c:numRef>
              <c:f>Лист1!$A$2:$A$8</c:f>
              <c:numCache>
                <c:formatCode>General</c:formatCode>
                <c:ptCount val="7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</c:numCache>
            </c:numRef>
          </c:cat>
          <c:val>
            <c:numRef>
              <c:f>Лист1!$B$2:$B$8</c:f>
              <c:numCache>
                <c:formatCode>0.0</c:formatCode>
                <c:ptCount val="7"/>
                <c:pt idx="0">
                  <c:v>24.400327599999976</c:v>
                </c:pt>
                <c:pt idx="1">
                  <c:v>32.629419700000035</c:v>
                </c:pt>
                <c:pt idx="2">
                  <c:v>34.043772900000029</c:v>
                </c:pt>
                <c:pt idx="3">
                  <c:v>33.871256200000005</c:v>
                </c:pt>
                <c:pt idx="4">
                  <c:v>29.552737599999976</c:v>
                </c:pt>
                <c:pt idx="5">
                  <c:v>30.537094000000018</c:v>
                </c:pt>
                <c:pt idx="6">
                  <c:v>31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Расходы, млрд руб.</c:v>
                </c:pt>
              </c:strCache>
            </c:strRef>
          </c:tx>
          <c:spPr>
            <a:solidFill>
              <a:schemeClr val="tx1">
                <a:lumMod val="65000"/>
                <a:lumOff val="35000"/>
              </a:schemeClr>
            </a:solidFill>
            <a:ln>
              <a:solidFill>
                <a:schemeClr val="tx1">
                  <a:lumMod val="85000"/>
                  <a:lumOff val="15000"/>
                </a:schemeClr>
              </a:solidFill>
            </a:ln>
          </c:spPr>
          <c:cat>
            <c:numRef>
              <c:f>Лист1!$A$2:$A$8</c:f>
              <c:numCache>
                <c:formatCode>General</c:formatCode>
                <c:ptCount val="7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</c:numCache>
            </c:numRef>
          </c:cat>
          <c:val>
            <c:numRef>
              <c:f>Лист1!$C$2:$C$8</c:f>
              <c:numCache>
                <c:formatCode>0.0</c:formatCode>
                <c:ptCount val="7"/>
                <c:pt idx="0">
                  <c:v>36.591800000000006</c:v>
                </c:pt>
                <c:pt idx="1">
                  <c:v>40.656400000000005</c:v>
                </c:pt>
                <c:pt idx="2">
                  <c:v>45.5032</c:v>
                </c:pt>
                <c:pt idx="3">
                  <c:v>53.769900000000035</c:v>
                </c:pt>
                <c:pt idx="4">
                  <c:v>52.194300000000013</c:v>
                </c:pt>
                <c:pt idx="5">
                  <c:v>61.423767700000006</c:v>
                </c:pt>
                <c:pt idx="6">
                  <c:v>63.7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Доходы с учетом трансфертов, млрд руб.</c:v>
                </c:pt>
              </c:strCache>
            </c:strRef>
          </c:tx>
          <c:spPr>
            <a:solidFill>
              <a:schemeClr val="tx1"/>
            </a:solidFill>
          </c:spPr>
          <c:cat>
            <c:numRef>
              <c:f>Лист1!$A$2:$A$8</c:f>
              <c:numCache>
                <c:formatCode>General</c:formatCode>
                <c:ptCount val="7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</c:numCache>
            </c:numRef>
          </c:cat>
          <c:val>
            <c:numRef>
              <c:f>Лист1!$D$2:$D$8</c:f>
              <c:numCache>
                <c:formatCode>0.0</c:formatCode>
                <c:ptCount val="7"/>
                <c:pt idx="0">
                  <c:v>39.0702</c:v>
                </c:pt>
                <c:pt idx="1">
                  <c:v>43.570600000000006</c:v>
                </c:pt>
                <c:pt idx="2">
                  <c:v>48.590100000000035</c:v>
                </c:pt>
                <c:pt idx="3">
                  <c:v>56.5246</c:v>
                </c:pt>
                <c:pt idx="4">
                  <c:v>53.305</c:v>
                </c:pt>
                <c:pt idx="5">
                  <c:v>61.292700000000046</c:v>
                </c:pt>
                <c:pt idx="6">
                  <c:v>63.76420000000001</c:v>
                </c:pt>
              </c:numCache>
            </c:numRef>
          </c:val>
        </c:ser>
        <c:axId val="104478976"/>
        <c:axId val="104493056"/>
      </c:barChart>
      <c:lineChart>
        <c:grouping val="standard"/>
        <c:ser>
          <c:idx val="3"/>
          <c:order val="3"/>
          <c:tx>
            <c:strRef>
              <c:f>Лист1!$E$1</c:f>
              <c:strCache>
                <c:ptCount val="1"/>
                <c:pt idx="0">
                  <c:v>Доля трансфертов в общих доходах, %</c:v>
                </c:pt>
              </c:strCache>
            </c:strRef>
          </c:tx>
          <c:spPr>
            <a:ln w="31750" cmpd="dbl">
              <a:solidFill>
                <a:schemeClr val="tx1"/>
              </a:solidFill>
            </a:ln>
          </c:spPr>
          <c:marker>
            <c:symbol val="square"/>
            <c:size val="7"/>
            <c:spPr>
              <a:solidFill>
                <a:schemeClr val="bg1"/>
              </a:solidFill>
            </c:spPr>
          </c:marker>
          <c:dLbls>
            <c:dLbl>
              <c:idx val="0"/>
              <c:layout>
                <c:manualLayout>
                  <c:x val="-3.4828647570867212E-2"/>
                  <c:y val="-4.6581985670231967E-2"/>
                </c:manualLayout>
              </c:layout>
              <c:spPr/>
              <c:txPr>
                <a:bodyPr/>
                <a:lstStyle/>
                <a:p>
                  <a:pPr>
                    <a:defRPr b="0">
                      <a:solidFill>
                        <a:sysClr val="windowText" lastClr="000000"/>
                      </a:solidFill>
                    </a:defRPr>
                  </a:pPr>
                  <a:endParaRPr lang="ru-RU"/>
                </a:p>
              </c:txPr>
              <c:showVal val="1"/>
            </c:dLbl>
            <c:dLbl>
              <c:idx val="1"/>
              <c:layout>
                <c:manualLayout>
                  <c:x val="-3.0731159621353688E-2"/>
                  <c:y val="-3.8818321391859915E-2"/>
                </c:manualLayout>
              </c:layout>
              <c:showVal val="1"/>
            </c:dLbl>
            <c:dLbl>
              <c:idx val="2"/>
              <c:layout>
                <c:manualLayout>
                  <c:x val="-2.6633671671839932E-2"/>
                  <c:y val="3.4936489252673952E-2"/>
                </c:manualLayout>
              </c:layout>
              <c:showVal val="1"/>
            </c:dLbl>
            <c:dLbl>
              <c:idx val="3"/>
              <c:layout>
                <c:manualLayout>
                  <c:x val="-2.6633671671839932E-2"/>
                  <c:y val="-3.881832139185995E-2"/>
                </c:manualLayout>
              </c:layout>
              <c:showVal val="1"/>
            </c:dLbl>
            <c:dLbl>
              <c:idx val="4"/>
              <c:layout>
                <c:manualLayout>
                  <c:x val="-2.8682415646596512E-2"/>
                  <c:y val="-3.1054657113487972E-2"/>
                </c:manualLayout>
              </c:layout>
              <c:showVal val="1"/>
            </c:dLbl>
            <c:dLbl>
              <c:idx val="5"/>
              <c:layout>
                <c:manualLayout>
                  <c:x val="-2.8682426273341978E-2"/>
                  <c:y val="-4.5631012705492545E-2"/>
                </c:manualLayout>
              </c:layout>
              <c:showVal val="1"/>
            </c:dLbl>
            <c:dLbl>
              <c:idx val="6"/>
              <c:layout>
                <c:manualLayout>
                  <c:x val="-2.7102587920721601E-2"/>
                  <c:y val="-4.9512634268609593E-2"/>
                </c:manualLayout>
              </c:layout>
              <c:showVal val="1"/>
            </c:dLbl>
            <c:txPr>
              <a:bodyPr/>
              <a:lstStyle/>
              <a:p>
                <a:pPr>
                  <a:defRPr b="1">
                    <a:solidFill>
                      <a:schemeClr val="bg1"/>
                    </a:solidFill>
                  </a:defRPr>
                </a:pPr>
                <a:endParaRPr lang="ru-RU"/>
              </a:p>
            </c:txPr>
            <c:showVal val="1"/>
          </c:dLbls>
          <c:cat>
            <c:numRef>
              <c:f>Лист1!$A$2:$A$8</c:f>
              <c:numCache>
                <c:formatCode>General</c:formatCode>
                <c:ptCount val="7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</c:numCache>
            </c:numRef>
          </c:cat>
          <c:val>
            <c:numRef>
              <c:f>Лист1!$E$2:$E$8</c:f>
              <c:numCache>
                <c:formatCode>0.0</c:formatCode>
                <c:ptCount val="7"/>
                <c:pt idx="0">
                  <c:v>37.547471986322044</c:v>
                </c:pt>
                <c:pt idx="1">
                  <c:v>25.111383134498972</c:v>
                </c:pt>
                <c:pt idx="2">
                  <c:v>29.93681243710137</c:v>
                </c:pt>
                <c:pt idx="3">
                  <c:v>40.076964365957444</c:v>
                </c:pt>
                <c:pt idx="4">
                  <c:v>44.559164055904652</c:v>
                </c:pt>
                <c:pt idx="5">
                  <c:v>50.178252875138483</c:v>
                </c:pt>
                <c:pt idx="6">
                  <c:v>51.305944558231744</c:v>
                </c:pt>
              </c:numCache>
            </c:numRef>
          </c:val>
        </c:ser>
        <c:marker val="1"/>
        <c:axId val="104478976"/>
        <c:axId val="104493056"/>
      </c:lineChart>
      <c:lineChart>
        <c:grouping val="standard"/>
        <c:ser>
          <c:idx val="4"/>
          <c:order val="4"/>
          <c:tx>
            <c:strRef>
              <c:f>Лист1!$F$1</c:f>
              <c:strCache>
                <c:ptCount val="1"/>
                <c:pt idx="0">
                  <c:v>Дефицит (-) ПФ Республики Коми, в % к ВРП (правая шкала)</c:v>
                </c:pt>
              </c:strCache>
            </c:strRef>
          </c:tx>
          <c:spPr>
            <a:ln>
              <a:solidFill>
                <a:schemeClr val="tx1"/>
              </a:solidFill>
              <a:prstDash val="dash"/>
            </a:ln>
          </c:spPr>
          <c:marker>
            <c:symbol val="triangle"/>
            <c:size val="8"/>
            <c:spPr>
              <a:solidFill>
                <a:schemeClr val="bg1"/>
              </a:solidFill>
            </c:spPr>
          </c:marker>
          <c:dLbls>
            <c:dLbl>
              <c:idx val="0"/>
              <c:layout>
                <c:manualLayout>
                  <c:x val="-3.0887671565861481E-2"/>
                  <c:y val="4.0564409290494575E-2"/>
                </c:manualLayout>
              </c:layout>
              <c:tx>
                <c:rich>
                  <a:bodyPr/>
                  <a:lstStyle/>
                  <a:p>
                    <a:pPr>
                      <a:defRPr>
                        <a:solidFill>
                          <a:schemeClr val="bg1"/>
                        </a:solidFill>
                      </a:defRPr>
                    </a:pPr>
                    <a:r>
                      <a:rPr lang="en-US" b="1">
                        <a:solidFill>
                          <a:schemeClr val="bg1"/>
                        </a:solidFill>
                      </a:rPr>
                      <a:t>-4,3</a:t>
                    </a:r>
                  </a:p>
                </c:rich>
              </c:tx>
              <c:spPr/>
              <c:showVal val="1"/>
            </c:dLbl>
            <c:dLbl>
              <c:idx val="1"/>
              <c:layout>
                <c:manualLayout>
                  <c:x val="-4.0974879495137846E-2"/>
                  <c:y val="-3.881832139185995E-2"/>
                </c:manualLayout>
              </c:layout>
              <c:showVal val="1"/>
            </c:dLbl>
            <c:dLbl>
              <c:idx val="2"/>
              <c:layout>
                <c:manualLayout>
                  <c:x val="-5.0577051628193703E-2"/>
                  <c:y val="-4.7767072440157932E-2"/>
                </c:manualLayout>
              </c:layout>
              <c:tx>
                <c:rich>
                  <a:bodyPr/>
                  <a:lstStyle/>
                  <a:p>
                    <a:pPr>
                      <a:defRPr b="0">
                        <a:solidFill>
                          <a:sysClr val="windowText" lastClr="000000"/>
                        </a:solidFill>
                      </a:defRPr>
                    </a:pPr>
                    <a:r>
                      <a:rPr lang="en-US" b="0">
                        <a:solidFill>
                          <a:sysClr val="windowText" lastClr="000000"/>
                        </a:solidFill>
                      </a:rPr>
                      <a:t>-3,2</a:t>
                    </a:r>
                  </a:p>
                </c:rich>
              </c:tx>
              <c:spPr/>
              <c:showVal val="1"/>
            </c:dLbl>
            <c:dLbl>
              <c:idx val="3"/>
              <c:layout>
                <c:manualLayout>
                  <c:x val="-2.8682415646596512E-2"/>
                  <c:y val="-4.2700153531045983E-2"/>
                </c:manualLayout>
              </c:layout>
              <c:tx>
                <c:rich>
                  <a:bodyPr/>
                  <a:lstStyle/>
                  <a:p>
                    <a:pPr>
                      <a:defRPr>
                        <a:solidFill>
                          <a:schemeClr val="bg1"/>
                        </a:solidFill>
                      </a:defRPr>
                    </a:pPr>
                    <a:r>
                      <a:rPr lang="en-US" b="1">
                        <a:solidFill>
                          <a:schemeClr val="bg1"/>
                        </a:solidFill>
                      </a:rPr>
                      <a:t>-5,0</a:t>
                    </a:r>
                  </a:p>
                </c:rich>
              </c:tx>
              <c:spPr/>
              <c:showVal val="1"/>
            </c:dLbl>
            <c:dLbl>
              <c:idx val="4"/>
              <c:layout>
                <c:manualLayout>
                  <c:x val="-2.6633671671839932E-2"/>
                  <c:y val="-2.7172824974301981E-2"/>
                </c:manualLayout>
              </c:layout>
              <c:tx>
                <c:rich>
                  <a:bodyPr/>
                  <a:lstStyle/>
                  <a:p>
                    <a:pPr>
                      <a:defRPr>
                        <a:solidFill>
                          <a:schemeClr val="bg1"/>
                        </a:solidFill>
                      </a:defRPr>
                    </a:pPr>
                    <a:r>
                      <a:rPr lang="en-US" b="1">
                        <a:solidFill>
                          <a:schemeClr val="bg1"/>
                        </a:solidFill>
                      </a:rPr>
                      <a:t>-4,7</a:t>
                    </a:r>
                  </a:p>
                </c:rich>
              </c:tx>
              <c:spPr/>
              <c:showVal val="1"/>
            </c:dLbl>
            <c:dLbl>
              <c:idx val="5"/>
              <c:layout>
                <c:manualLayout>
                  <c:x val="-2.8682415646596512E-2"/>
                  <c:y val="-3.4936489252673952E-2"/>
                </c:manualLayout>
              </c:layout>
              <c:tx>
                <c:rich>
                  <a:bodyPr/>
                  <a:lstStyle/>
                  <a:p>
                    <a:pPr>
                      <a:defRPr>
                        <a:solidFill>
                          <a:schemeClr val="bg1"/>
                        </a:solidFill>
                      </a:defRPr>
                    </a:pPr>
                    <a:r>
                      <a:rPr lang="en-US" b="1">
                        <a:solidFill>
                          <a:schemeClr val="bg1"/>
                        </a:solidFill>
                      </a:rPr>
                      <a:t>-5,8</a:t>
                    </a:r>
                  </a:p>
                </c:rich>
              </c:tx>
              <c:spPr/>
              <c:showVal val="1"/>
            </c:dLbl>
            <c:dLbl>
              <c:idx val="6"/>
              <c:layout>
                <c:manualLayout>
                  <c:x val="-2.6633671671839932E-2"/>
                  <c:y val="-3.1054657113487972E-2"/>
                </c:manualLayout>
              </c:layout>
              <c:tx>
                <c:rich>
                  <a:bodyPr/>
                  <a:lstStyle/>
                  <a:p>
                    <a:pPr>
                      <a:defRPr>
                        <a:solidFill>
                          <a:schemeClr val="bg1"/>
                        </a:solidFill>
                      </a:defRPr>
                    </a:pPr>
                    <a:r>
                      <a:rPr lang="en-US" b="1">
                        <a:solidFill>
                          <a:schemeClr val="bg1"/>
                        </a:solidFill>
                      </a:rPr>
                      <a:t>-6,0</a:t>
                    </a:r>
                  </a:p>
                </c:rich>
              </c:tx>
              <c:spPr/>
              <c:showVal val="1"/>
            </c:dLbl>
            <c:txPr>
              <a:bodyPr/>
              <a:lstStyle/>
              <a:p>
                <a:pPr>
                  <a:defRPr>
                    <a:solidFill>
                      <a:sysClr val="windowText" lastClr="000000"/>
                    </a:solidFill>
                  </a:defRPr>
                </a:pPr>
                <a:endParaRPr lang="ru-RU"/>
              </a:p>
            </c:txPr>
            <c:showVal val="1"/>
          </c:dLbls>
          <c:cat>
            <c:numRef>
              <c:f>Лист1!$A$2:$A$8</c:f>
              <c:numCache>
                <c:formatCode>General</c:formatCode>
                <c:ptCount val="7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</c:numCache>
            </c:numRef>
          </c:cat>
          <c:val>
            <c:numRef>
              <c:f>Лист1!$F$2:$F$8</c:f>
              <c:numCache>
                <c:formatCode>0.0</c:formatCode>
                <c:ptCount val="7"/>
                <c:pt idx="0">
                  <c:v>-4.2618770605363459</c:v>
                </c:pt>
                <c:pt idx="1">
                  <c:v>-2.5862789156842623</c:v>
                </c:pt>
                <c:pt idx="2">
                  <c:v>-3.1614704118732191</c:v>
                </c:pt>
                <c:pt idx="3">
                  <c:v>-5.0089357359919795</c:v>
                </c:pt>
                <c:pt idx="4">
                  <c:v>-4.6764067368109954</c:v>
                </c:pt>
                <c:pt idx="5">
                  <c:v>-5.8452827041762623</c:v>
                </c:pt>
                <c:pt idx="6">
                  <c:v>-5.9742243443527094</c:v>
                </c:pt>
              </c:numCache>
            </c:numRef>
          </c:val>
        </c:ser>
        <c:marker val="1"/>
        <c:axId val="104554496"/>
        <c:axId val="104494592"/>
      </c:lineChart>
      <c:catAx>
        <c:axId val="104478976"/>
        <c:scaling>
          <c:orientation val="minMax"/>
        </c:scaling>
        <c:axPos val="b"/>
        <c:numFmt formatCode="General" sourceLinked="1"/>
        <c:tickLblPos val="nextTo"/>
        <c:txPr>
          <a:bodyPr/>
          <a:lstStyle/>
          <a:p>
            <a:pPr>
              <a:defRPr sz="12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4493056"/>
        <c:crosses val="autoZero"/>
        <c:auto val="1"/>
        <c:lblAlgn val="ctr"/>
        <c:lblOffset val="100"/>
      </c:catAx>
      <c:valAx>
        <c:axId val="104493056"/>
        <c:scaling>
          <c:orientation val="minMax"/>
        </c:scaling>
        <c:axPos val="l"/>
        <c:majorGridlines/>
        <c:numFmt formatCode="0" sourceLinked="0"/>
        <c:tickLblPos val="nextTo"/>
        <c:txPr>
          <a:bodyPr/>
          <a:lstStyle/>
          <a:p>
            <a:pPr>
              <a:defRPr sz="12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4478976"/>
        <c:crosses val="autoZero"/>
        <c:crossBetween val="between"/>
        <c:majorUnit val="10"/>
      </c:valAx>
      <c:valAx>
        <c:axId val="104494592"/>
        <c:scaling>
          <c:orientation val="minMax"/>
        </c:scaling>
        <c:axPos val="r"/>
        <c:numFmt formatCode="0" sourceLinked="0"/>
        <c:tickLblPos val="nextTo"/>
        <c:txPr>
          <a:bodyPr/>
          <a:lstStyle/>
          <a:p>
            <a:pPr>
              <a:defRPr sz="12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4554496"/>
        <c:crosses val="max"/>
        <c:crossBetween val="between"/>
      </c:valAx>
      <c:catAx>
        <c:axId val="104554496"/>
        <c:scaling>
          <c:orientation val="minMax"/>
        </c:scaling>
        <c:delete val="1"/>
        <c:axPos val="b"/>
        <c:numFmt formatCode="General" sourceLinked="1"/>
        <c:tickLblPos val="none"/>
        <c:crossAx val="104494592"/>
        <c:crosses val="autoZero"/>
        <c:auto val="1"/>
        <c:lblAlgn val="ctr"/>
        <c:lblOffset val="100"/>
      </c:catAx>
    </c:plotArea>
    <c:legend>
      <c:legendPos val="b"/>
      <c:layout>
        <c:manualLayout>
          <c:xMode val="edge"/>
          <c:yMode val="edge"/>
          <c:x val="1.9535367094326043E-3"/>
          <c:y val="0.64530202029495198"/>
          <c:w val="0.98638827408645358"/>
          <c:h val="0.35469797970505074"/>
        </c:manualLayout>
      </c:layout>
      <c:txPr>
        <a:bodyPr/>
        <a:lstStyle/>
        <a:p>
          <a:pPr>
            <a:defRPr sz="12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zero"/>
  </c:chart>
  <c:spPr>
    <a:ln>
      <a:noFill/>
    </a:ln>
  </c:sp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7.618256051326916E-2"/>
          <c:y val="4.9126193296634424E-2"/>
          <c:w val="0.82416265675123856"/>
          <c:h val="0.5730179081597101"/>
        </c:manualLayout>
      </c:layout>
      <c:bar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Доходы, млрд. руб.</c:v>
                </c:pt>
              </c:strCache>
            </c:strRef>
          </c:tx>
          <c:spPr>
            <a:solidFill>
              <a:schemeClr val="tx1">
                <a:lumMod val="50000"/>
                <a:lumOff val="50000"/>
              </a:schemeClr>
            </a:solidFill>
          </c:spPr>
          <c:cat>
            <c:numRef>
              <c:f>Лист1!$A$2:$A$8</c:f>
              <c:numCache>
                <c:formatCode>General</c:formatCode>
                <c:ptCount val="7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</c:numCache>
            </c:numRef>
          </c:cat>
          <c:val>
            <c:numRef>
              <c:f>Лист1!$B$2:$B$8</c:f>
              <c:numCache>
                <c:formatCode>0.0</c:formatCode>
                <c:ptCount val="7"/>
                <c:pt idx="0">
                  <c:v>3.0549838999999999</c:v>
                </c:pt>
                <c:pt idx="1">
                  <c:v>3.6052308000000002</c:v>
                </c:pt>
                <c:pt idx="2">
                  <c:v>3.7178967000000012</c:v>
                </c:pt>
                <c:pt idx="3">
                  <c:v>3.9172539999999967</c:v>
                </c:pt>
                <c:pt idx="4">
                  <c:v>4.2594772999999995</c:v>
                </c:pt>
                <c:pt idx="5">
                  <c:v>4.3340787999999995</c:v>
                </c:pt>
                <c:pt idx="6">
                  <c:v>4.5539974000000001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Доля доходов в ВРП, %</c:v>
                </c:pt>
              </c:strCache>
            </c:strRef>
          </c:tx>
          <c:spPr>
            <a:solidFill>
              <a:schemeClr val="tx1"/>
            </a:solidFill>
          </c:spPr>
          <c:cat>
            <c:numRef>
              <c:f>Лист1!$A$2:$A$8</c:f>
              <c:numCache>
                <c:formatCode>General</c:formatCode>
                <c:ptCount val="7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</c:numCache>
            </c:numRef>
          </c:cat>
          <c:val>
            <c:numRef>
              <c:f>Лист1!$C$2:$C$8</c:f>
              <c:numCache>
                <c:formatCode>0.0</c:formatCode>
                <c:ptCount val="7"/>
                <c:pt idx="0">
                  <c:v>0.86334834765818413</c:v>
                </c:pt>
                <c:pt idx="1">
                  <c:v>0.82696491036697961</c:v>
                </c:pt>
                <c:pt idx="2">
                  <c:v>0.77609582086339335</c:v>
                </c:pt>
                <c:pt idx="3">
                  <c:v>0.81215245706417194</c:v>
                </c:pt>
                <c:pt idx="4">
                  <c:v>0.88579902012587997</c:v>
                </c:pt>
                <c:pt idx="5">
                  <c:v>0.82836127089626066</c:v>
                </c:pt>
                <c:pt idx="6">
                  <c:v>0.8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Превышение расходов над доходами, раз</c:v>
                </c:pt>
              </c:strCache>
            </c:strRef>
          </c:tx>
          <c:spPr>
            <a:solidFill>
              <a:schemeClr val="tx1">
                <a:lumMod val="75000"/>
                <a:lumOff val="25000"/>
              </a:schemeClr>
            </a:solidFill>
          </c:spPr>
          <c:cat>
            <c:numRef>
              <c:f>Лист1!$A$2:$A$8</c:f>
              <c:numCache>
                <c:formatCode>General</c:formatCode>
                <c:ptCount val="7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</c:numCache>
            </c:numRef>
          </c:cat>
          <c:val>
            <c:numRef>
              <c:f>Лист1!$D$2:$D$8</c:f>
              <c:numCache>
                <c:formatCode>0.0</c:formatCode>
                <c:ptCount val="7"/>
                <c:pt idx="0">
                  <c:v>1.8685668032489469</c:v>
                </c:pt>
                <c:pt idx="1">
                  <c:v>1.5978064705316508</c:v>
                </c:pt>
                <c:pt idx="2">
                  <c:v>1.5866558906814181</c:v>
                </c:pt>
                <c:pt idx="3">
                  <c:v>1.5788322125652299</c:v>
                </c:pt>
                <c:pt idx="4">
                  <c:v>1.4729898196663709</c:v>
                </c:pt>
                <c:pt idx="5">
                  <c:v>1.5900752658211941</c:v>
                </c:pt>
                <c:pt idx="6">
                  <c:v>1.6136460464382347</c:v>
                </c:pt>
              </c:numCache>
            </c:numRef>
          </c:val>
        </c:ser>
        <c:axId val="107446656"/>
        <c:axId val="107449344"/>
      </c:barChart>
      <c:lineChart>
        <c:grouping val="standard"/>
        <c:ser>
          <c:idx val="3"/>
          <c:order val="3"/>
          <c:tx>
            <c:strRef>
              <c:f>Лист1!$E$1</c:f>
              <c:strCache>
                <c:ptCount val="1"/>
                <c:pt idx="0">
                  <c:v>Поступило (правая шкала), в % к 2010 г. в сопоставимых ценах</c:v>
                </c:pt>
              </c:strCache>
            </c:strRef>
          </c:tx>
          <c:spPr>
            <a:ln>
              <a:solidFill>
                <a:schemeClr val="tx1"/>
              </a:solidFill>
            </a:ln>
          </c:spPr>
          <c:marker>
            <c:symbol val="none"/>
          </c:marker>
          <c:cat>
            <c:numRef>
              <c:f>Лист1!$A$2:$A$8</c:f>
              <c:numCache>
                <c:formatCode>General</c:formatCode>
                <c:ptCount val="7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</c:numCache>
            </c:numRef>
          </c:cat>
          <c:val>
            <c:numRef>
              <c:f>Лист1!$E$2:$E$8</c:f>
              <c:numCache>
                <c:formatCode>0.0</c:formatCode>
                <c:ptCount val="7"/>
                <c:pt idx="0">
                  <c:v>100</c:v>
                </c:pt>
                <c:pt idx="1">
                  <c:v>108.58617047912134</c:v>
                </c:pt>
                <c:pt idx="2">
                  <c:v>107.19850825369286</c:v>
                </c:pt>
                <c:pt idx="3">
                  <c:v>105.60691757054208</c:v>
                </c:pt>
                <c:pt idx="4">
                  <c:v>106.56371672987589</c:v>
                </c:pt>
                <c:pt idx="5">
                  <c:v>94.10701184444298</c:v>
                </c:pt>
                <c:pt idx="6">
                  <c:v>94.533616834408548</c:v>
                </c:pt>
              </c:numCache>
            </c:numRef>
          </c:val>
        </c:ser>
        <c:ser>
          <c:idx val="4"/>
          <c:order val="4"/>
          <c:tx>
            <c:strRef>
              <c:f>Лист1!$F$1</c:f>
              <c:strCache>
                <c:ptCount val="1"/>
                <c:pt idx="0">
                  <c:v>Израсходовано (правая шкала), в % к 2010 г. в сопоставимых ценах</c:v>
                </c:pt>
              </c:strCache>
            </c:strRef>
          </c:tx>
          <c:spPr>
            <a:ln>
              <a:solidFill>
                <a:schemeClr val="tx1">
                  <a:lumMod val="85000"/>
                  <a:lumOff val="15000"/>
                </a:schemeClr>
              </a:solidFill>
              <a:prstDash val="sysDash"/>
            </a:ln>
          </c:spPr>
          <c:marker>
            <c:symbol val="none"/>
          </c:marker>
          <c:cat>
            <c:numRef>
              <c:f>Лист1!$A$2:$A$8</c:f>
              <c:numCache>
                <c:formatCode>General</c:formatCode>
                <c:ptCount val="7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</c:numCache>
            </c:numRef>
          </c:cat>
          <c:val>
            <c:numRef>
              <c:f>Лист1!$F$2:$F$8</c:f>
              <c:numCache>
                <c:formatCode>0.0</c:formatCode>
                <c:ptCount val="7"/>
                <c:pt idx="0">
                  <c:v>100</c:v>
                </c:pt>
                <c:pt idx="1">
                  <c:v>92.851743646586399</c:v>
                </c:pt>
                <c:pt idx="2">
                  <c:v>91.025455604394651</c:v>
                </c:pt>
                <c:pt idx="3">
                  <c:v>89.231812874007744</c:v>
                </c:pt>
                <c:pt idx="4">
                  <c:v>84.004098550821254</c:v>
                </c:pt>
                <c:pt idx="5">
                  <c:v>80.081285621692231</c:v>
                </c:pt>
                <c:pt idx="6">
                  <c:v>81.636790718488626</c:v>
                </c:pt>
              </c:numCache>
            </c:numRef>
          </c:val>
        </c:ser>
        <c:marker val="1"/>
        <c:axId val="104257792"/>
        <c:axId val="104256256"/>
      </c:lineChart>
      <c:catAx>
        <c:axId val="107446656"/>
        <c:scaling>
          <c:orientation val="minMax"/>
        </c:scaling>
        <c:axPos val="b"/>
        <c:numFmt formatCode="General" sourceLinked="1"/>
        <c:tickLblPos val="nextTo"/>
        <c:crossAx val="107449344"/>
        <c:crosses val="autoZero"/>
        <c:auto val="1"/>
        <c:lblAlgn val="ctr"/>
        <c:lblOffset val="100"/>
      </c:catAx>
      <c:valAx>
        <c:axId val="107449344"/>
        <c:scaling>
          <c:orientation val="minMax"/>
          <c:max val="5"/>
        </c:scaling>
        <c:axPos val="l"/>
        <c:majorGridlines/>
        <c:numFmt formatCode="0.0" sourceLinked="1"/>
        <c:tickLblPos val="nextTo"/>
        <c:crossAx val="107446656"/>
        <c:crosses val="autoZero"/>
        <c:crossBetween val="between"/>
        <c:majorUnit val="0.5"/>
      </c:valAx>
      <c:valAx>
        <c:axId val="104256256"/>
        <c:scaling>
          <c:orientation val="minMax"/>
          <c:max val="110"/>
          <c:min val="60"/>
        </c:scaling>
        <c:axPos val="r"/>
        <c:numFmt formatCode="0.0" sourceLinked="1"/>
        <c:tickLblPos val="nextTo"/>
        <c:crossAx val="104257792"/>
        <c:crosses val="max"/>
        <c:crossBetween val="between"/>
      </c:valAx>
      <c:catAx>
        <c:axId val="104257792"/>
        <c:scaling>
          <c:orientation val="minMax"/>
        </c:scaling>
        <c:delete val="1"/>
        <c:axPos val="b"/>
        <c:numFmt formatCode="General" sourceLinked="1"/>
        <c:tickLblPos val="none"/>
        <c:crossAx val="104256256"/>
        <c:crosses val="autoZero"/>
        <c:auto val="1"/>
        <c:lblAlgn val="ctr"/>
        <c:lblOffset val="100"/>
      </c:catAx>
    </c:plotArea>
    <c:legend>
      <c:legendPos val="b"/>
      <c:layout>
        <c:manualLayout>
          <c:xMode val="edge"/>
          <c:yMode val="edge"/>
          <c:x val="1.3628426655001481E-2"/>
          <c:y val="0.73885582886210155"/>
          <c:w val="0.98431722076407058"/>
          <c:h val="0.25759748781402331"/>
        </c:manualLayout>
      </c:layout>
    </c:legend>
    <c:plotVisOnly val="1"/>
    <c:dispBlanksAs val="zero"/>
  </c:chart>
  <c:spPr>
    <a:ln>
      <a:noFill/>
    </a:ln>
  </c:spPr>
  <c:externalData r:id="rId1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8.9010076767544008E-2"/>
          <c:y val="8.3477591616837363E-2"/>
          <c:w val="0.39950766853517072"/>
          <c:h val="0.63535373867740264"/>
        </c:manualLayout>
      </c:layout>
      <c:barChart>
        <c:barDir val="col"/>
        <c:grouping val="percentStacked"/>
        <c:ser>
          <c:idx val="0"/>
          <c:order val="0"/>
          <c:tx>
            <c:strRef>
              <c:f>Лист1!$B$1</c:f>
              <c:strCache>
                <c:ptCount val="1"/>
                <c:pt idx="0">
                  <c:v>страховые взносы на обязательное социальное страхование на случай временной нетрудоспособности и в связи с материнством</c:v>
                </c:pt>
              </c:strCache>
            </c:strRef>
          </c:tx>
          <c:spPr>
            <a:solidFill>
              <a:schemeClr val="tx1">
                <a:lumMod val="65000"/>
                <a:lumOff val="35000"/>
              </a:schemeClr>
            </a:solidFill>
          </c:spPr>
          <c:cat>
            <c:strRef>
              <c:f>Лист1!$A$2:$A$8</c:f>
              <c:strCache>
                <c:ptCount val="7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</c:strCache>
            </c:strRef>
          </c:cat>
          <c:val>
            <c:numRef>
              <c:f>Лист1!$B$2:$B$8</c:f>
              <c:numCache>
                <c:formatCode>0.00</c:formatCode>
                <c:ptCount val="7"/>
                <c:pt idx="0">
                  <c:v>68.569811448106165</c:v>
                </c:pt>
                <c:pt idx="1">
                  <c:v>72.501893637433682</c:v>
                </c:pt>
                <c:pt idx="2">
                  <c:v>73.500587675767591</c:v>
                </c:pt>
                <c:pt idx="3">
                  <c:v>76.077047251841549</c:v>
                </c:pt>
                <c:pt idx="4">
                  <c:v>75.242196970975797</c:v>
                </c:pt>
                <c:pt idx="5">
                  <c:v>77.013295189741427</c:v>
                </c:pt>
                <c:pt idx="6">
                  <c:v>74.53378871055088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страховые взносы на обязательное социальное страхование от несчастных случаев на производстве и профессиональных заболеваний</c:v>
                </c:pt>
              </c:strCache>
            </c:strRef>
          </c:tx>
          <c:spPr>
            <a:solidFill>
              <a:schemeClr val="bg1">
                <a:lumMod val="65000"/>
              </a:schemeClr>
            </a:solidFill>
          </c:spPr>
          <c:cat>
            <c:strRef>
              <c:f>Лист1!$A$2:$A$8</c:f>
              <c:strCache>
                <c:ptCount val="7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</c:strCache>
            </c:strRef>
          </c:cat>
          <c:val>
            <c:numRef>
              <c:f>Лист1!$C$2:$C$8</c:f>
              <c:numCache>
                <c:formatCode>0.00</c:formatCode>
                <c:ptCount val="7"/>
                <c:pt idx="0">
                  <c:v>26.129918393350664</c:v>
                </c:pt>
                <c:pt idx="1">
                  <c:v>24.826144279029176</c:v>
                </c:pt>
                <c:pt idx="2">
                  <c:v>26.473682969994826</c:v>
                </c:pt>
                <c:pt idx="3">
                  <c:v>23.244738492408736</c:v>
                </c:pt>
                <c:pt idx="4">
                  <c:v>22.541531093498257</c:v>
                </c:pt>
                <c:pt idx="5">
                  <c:v>20.718725741673179</c:v>
                </c:pt>
                <c:pt idx="6">
                  <c:v>22.694198288299468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прочие поступления</c:v>
                </c:pt>
              </c:strCache>
            </c:strRef>
          </c:tx>
          <c:spPr>
            <a:solidFill>
              <a:schemeClr val="tx1"/>
            </a:solidFill>
          </c:spPr>
          <c:cat>
            <c:strRef>
              <c:f>Лист1!$A$2:$A$8</c:f>
              <c:strCache>
                <c:ptCount val="7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</c:strCache>
            </c:strRef>
          </c:cat>
          <c:val>
            <c:numRef>
              <c:f>Лист1!$D$2:$D$8</c:f>
              <c:numCache>
                <c:formatCode>0.00</c:formatCode>
                <c:ptCount val="7"/>
                <c:pt idx="0">
                  <c:v>5.3002701585432304</c:v>
                </c:pt>
                <c:pt idx="1">
                  <c:v>2.6719620835370637</c:v>
                </c:pt>
                <c:pt idx="2">
                  <c:v>2.5729354237569172E-2</c:v>
                </c:pt>
                <c:pt idx="3">
                  <c:v>0.67821425574965843</c:v>
                </c:pt>
                <c:pt idx="4">
                  <c:v>2.2162719355259877</c:v>
                </c:pt>
                <c:pt idx="5">
                  <c:v>2.2679790685854759</c:v>
                </c:pt>
                <c:pt idx="6">
                  <c:v>2.7720130011492867</c:v>
                </c:pt>
              </c:numCache>
            </c:numRef>
          </c:val>
        </c:ser>
        <c:overlap val="100"/>
        <c:axId val="104516608"/>
        <c:axId val="104534784"/>
      </c:barChart>
      <c:catAx>
        <c:axId val="104516608"/>
        <c:scaling>
          <c:orientation val="minMax"/>
        </c:scaling>
        <c:axPos val="b"/>
        <c:tickLblPos val="nextTo"/>
        <c:crossAx val="104534784"/>
        <c:crosses val="autoZero"/>
        <c:auto val="1"/>
        <c:lblAlgn val="ctr"/>
        <c:lblOffset val="100"/>
      </c:catAx>
      <c:valAx>
        <c:axId val="104534784"/>
        <c:scaling>
          <c:orientation val="minMax"/>
        </c:scaling>
        <c:axPos val="l"/>
        <c:majorGridlines/>
        <c:numFmt formatCode="0%" sourceLinked="1"/>
        <c:tickLblPos val="nextTo"/>
        <c:crossAx val="104516608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50591521049430532"/>
          <c:y val="2.4756971168077711E-2"/>
          <c:w val="0.48155869347229391"/>
          <c:h val="0.92041027766266059"/>
        </c:manualLayout>
      </c:layout>
    </c:legend>
    <c:plotVisOnly val="1"/>
  </c:chart>
  <c:spPr>
    <a:ln>
      <a:noFill/>
    </a:ln>
  </c:sp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23850C-8400-450D-8C3C-CA94A7C8C0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11</Pages>
  <Words>3212</Words>
  <Characters>18314</Characters>
  <Application>Microsoft Office Word</Application>
  <DocSecurity>0</DocSecurity>
  <Lines>152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2017-11-14T06:33:00Z</cp:lastPrinted>
  <dcterms:created xsi:type="dcterms:W3CDTF">2018-05-07T07:39:00Z</dcterms:created>
  <dcterms:modified xsi:type="dcterms:W3CDTF">2018-05-10T08:06:00Z</dcterms:modified>
</cp:coreProperties>
</file>