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69ED5" w14:textId="5C4C77B3" w:rsidR="00C23B84" w:rsidRPr="00C23B84" w:rsidRDefault="00C23B84" w:rsidP="00C23B84">
      <w:pPr>
        <w:rPr>
          <w:rFonts w:eastAsia="Calibri"/>
          <w:b/>
          <w:bCs/>
          <w:szCs w:val="22"/>
          <w:lang w:eastAsia="en-US"/>
        </w:rPr>
      </w:pPr>
      <w:r w:rsidRPr="00C23B84">
        <w:rPr>
          <w:rFonts w:eastAsia="Calibri"/>
          <w:b/>
          <w:bCs/>
          <w:szCs w:val="22"/>
          <w:lang w:eastAsia="en-US"/>
        </w:rPr>
        <w:t>УДК </w:t>
      </w:r>
      <w:r w:rsidR="00FC7AA2" w:rsidRPr="00FC7AA2">
        <w:rPr>
          <w:rFonts w:eastAsia="Calibri"/>
          <w:b/>
          <w:bCs/>
          <w:szCs w:val="22"/>
          <w:lang w:eastAsia="en-US"/>
        </w:rPr>
        <w:t>352</w:t>
      </w:r>
      <w:r>
        <w:rPr>
          <w:rFonts w:eastAsia="Calibri"/>
          <w:b/>
          <w:bCs/>
          <w:szCs w:val="22"/>
          <w:lang w:eastAsia="en-US"/>
        </w:rPr>
        <w:t>/</w:t>
      </w:r>
      <w:r w:rsidRPr="00C23B84">
        <w:rPr>
          <w:rFonts w:eastAsia="Calibri"/>
          <w:b/>
          <w:bCs/>
          <w:szCs w:val="22"/>
          <w:lang w:eastAsia="en-US"/>
        </w:rPr>
        <w:t>ББК </w:t>
      </w:r>
      <w:r w:rsidR="00FC7AA2" w:rsidRPr="00FC7AA2">
        <w:rPr>
          <w:rFonts w:eastAsia="Calibri"/>
          <w:b/>
          <w:bCs/>
          <w:szCs w:val="22"/>
          <w:lang w:eastAsia="en-US"/>
        </w:rPr>
        <w:t>66.798(2Рос)</w:t>
      </w:r>
    </w:p>
    <w:p w14:paraId="6D0376A3" w14:textId="77777777" w:rsidR="00C23B84" w:rsidRDefault="00C23B84" w:rsidP="007551B6">
      <w:pPr>
        <w:jc w:val="right"/>
        <w:rPr>
          <w:rFonts w:eastAsia="Calibri"/>
          <w:b/>
          <w:szCs w:val="20"/>
          <w:lang w:eastAsia="en-US"/>
        </w:rPr>
      </w:pPr>
    </w:p>
    <w:p w14:paraId="6D8D5FB6" w14:textId="518817BC" w:rsidR="007551B6" w:rsidRDefault="007551B6" w:rsidP="007551B6">
      <w:pPr>
        <w:jc w:val="right"/>
        <w:rPr>
          <w:rFonts w:eastAsia="Calibri"/>
          <w:b/>
          <w:szCs w:val="20"/>
          <w:lang w:eastAsia="en-US"/>
        </w:rPr>
      </w:pPr>
      <w:r w:rsidRPr="007551B6">
        <w:rPr>
          <w:rFonts w:eastAsia="Calibri"/>
          <w:b/>
          <w:szCs w:val="20"/>
          <w:lang w:eastAsia="en-US"/>
        </w:rPr>
        <w:t>К.Н. Бабичев</w:t>
      </w:r>
    </w:p>
    <w:p w14:paraId="6A2C2920" w14:textId="7D9236E1" w:rsidR="007551B6" w:rsidRPr="006F00B8" w:rsidRDefault="00092DD7" w:rsidP="007551B6">
      <w:pPr>
        <w:jc w:val="center"/>
        <w:rPr>
          <w:rFonts w:eastAsia="Calibri"/>
          <w:b/>
          <w:sz w:val="20"/>
          <w:szCs w:val="16"/>
          <w:lang w:eastAsia="en-US"/>
        </w:rPr>
      </w:pPr>
      <w:r w:rsidRPr="00092DD7">
        <w:rPr>
          <w:rFonts w:eastAsia="Calibri"/>
          <w:b/>
          <w:szCs w:val="20"/>
          <w:lang w:eastAsia="en-US"/>
        </w:rPr>
        <w:t xml:space="preserve">ОЦЕНКА ПОТЕНЦИАЛЬНЫХ ВОЗМОЖНОСТЕЙ РАЗВИТИЯ ТОС В </w:t>
      </w:r>
      <w:r>
        <w:rPr>
          <w:rFonts w:eastAsia="Calibri"/>
          <w:b/>
          <w:szCs w:val="20"/>
          <w:lang w:eastAsia="en-US"/>
        </w:rPr>
        <w:t>КРАСНОДАРСКОМ КРАЕ</w:t>
      </w:r>
    </w:p>
    <w:p w14:paraId="3B32ABBC" w14:textId="77777777" w:rsidR="007551B6" w:rsidRPr="006F00B8" w:rsidRDefault="007551B6" w:rsidP="007551B6">
      <w:pPr>
        <w:jc w:val="both"/>
        <w:rPr>
          <w:rFonts w:eastAsia="Calibri"/>
          <w:b/>
          <w:sz w:val="22"/>
          <w:szCs w:val="18"/>
          <w:lang w:eastAsia="en-US"/>
        </w:rPr>
      </w:pPr>
    </w:p>
    <w:p w14:paraId="48B135AB" w14:textId="5D5FE196" w:rsidR="007551B6" w:rsidRPr="007551B6" w:rsidRDefault="007551B6" w:rsidP="007551B6">
      <w:pPr>
        <w:ind w:firstLine="709"/>
        <w:jc w:val="both"/>
        <w:rPr>
          <w:rFonts w:eastAsia="Calibri"/>
          <w:szCs w:val="22"/>
          <w:lang w:eastAsia="en-US"/>
        </w:rPr>
      </w:pPr>
      <w:r w:rsidRPr="007551B6">
        <w:rPr>
          <w:rFonts w:eastAsia="Calibri"/>
          <w:b/>
          <w:szCs w:val="22"/>
          <w:lang w:eastAsia="en-US"/>
        </w:rPr>
        <w:t>Аннотация:</w:t>
      </w:r>
      <w:r w:rsidRPr="007551B6">
        <w:rPr>
          <w:rFonts w:ascii="Calibri" w:eastAsia="Calibri" w:hAnsi="Calibri"/>
          <w:sz w:val="22"/>
          <w:szCs w:val="22"/>
          <w:lang w:eastAsia="en-US"/>
        </w:rPr>
        <w:t xml:space="preserve"> </w:t>
      </w:r>
      <w:r w:rsidRPr="007551B6">
        <w:rPr>
          <w:rFonts w:eastAsia="Calibri"/>
          <w:szCs w:val="22"/>
          <w:lang w:eastAsia="en-US"/>
        </w:rPr>
        <w:t xml:space="preserve">в данной статье </w:t>
      </w:r>
      <w:r w:rsidR="00092DD7">
        <w:rPr>
          <w:rFonts w:eastAsia="Calibri"/>
          <w:szCs w:val="22"/>
          <w:lang w:eastAsia="en-US"/>
        </w:rPr>
        <w:t>проводится</w:t>
      </w:r>
      <w:r w:rsidR="00092DD7" w:rsidRPr="00092DD7">
        <w:rPr>
          <w:rFonts w:eastAsia="Calibri"/>
          <w:szCs w:val="22"/>
          <w:lang w:eastAsia="en-US"/>
        </w:rPr>
        <w:t xml:space="preserve"> анализ деятельности института территориального общественного самоуправления</w:t>
      </w:r>
      <w:r w:rsidR="009D38CC">
        <w:rPr>
          <w:rFonts w:eastAsia="Calibri"/>
          <w:szCs w:val="22"/>
          <w:lang w:eastAsia="en-US"/>
        </w:rPr>
        <w:t xml:space="preserve"> (ТОС)</w:t>
      </w:r>
      <w:r w:rsidR="00092DD7" w:rsidRPr="00092DD7">
        <w:rPr>
          <w:rFonts w:eastAsia="Calibri"/>
          <w:szCs w:val="22"/>
          <w:lang w:eastAsia="en-US"/>
        </w:rPr>
        <w:t xml:space="preserve"> в </w:t>
      </w:r>
      <w:r w:rsidR="00092DD7">
        <w:rPr>
          <w:rFonts w:eastAsia="Calibri"/>
          <w:szCs w:val="22"/>
          <w:lang w:eastAsia="en-US"/>
        </w:rPr>
        <w:t>Краснодарском крае,</w:t>
      </w:r>
      <w:r w:rsidR="00092DD7" w:rsidRPr="00092DD7">
        <w:rPr>
          <w:rFonts w:eastAsia="Calibri"/>
          <w:szCs w:val="22"/>
          <w:lang w:eastAsia="en-US"/>
        </w:rPr>
        <w:t xml:space="preserve"> предл</w:t>
      </w:r>
      <w:r w:rsidR="00092DD7">
        <w:rPr>
          <w:rFonts w:eastAsia="Calibri"/>
          <w:szCs w:val="22"/>
          <w:lang w:eastAsia="en-US"/>
        </w:rPr>
        <w:t xml:space="preserve">агаются </w:t>
      </w:r>
      <w:r w:rsidR="00092DD7" w:rsidRPr="00092DD7">
        <w:rPr>
          <w:rFonts w:eastAsia="Calibri"/>
          <w:szCs w:val="22"/>
          <w:lang w:eastAsia="en-US"/>
        </w:rPr>
        <w:t>направления деятельности и инструменты совершенствования механизмов взаимодействия органов ТОС с органами власти, бизнесом, населением, инициативными группами и др.</w:t>
      </w:r>
    </w:p>
    <w:p w14:paraId="2061BB82" w14:textId="706BA5E8" w:rsidR="007551B6" w:rsidRPr="007551B6" w:rsidRDefault="007551B6" w:rsidP="007551B6">
      <w:pPr>
        <w:ind w:firstLine="709"/>
        <w:jc w:val="both"/>
        <w:rPr>
          <w:rFonts w:eastAsia="Calibri"/>
          <w:szCs w:val="22"/>
          <w:lang w:eastAsia="en-US"/>
        </w:rPr>
      </w:pPr>
      <w:r w:rsidRPr="007551B6">
        <w:rPr>
          <w:rFonts w:eastAsia="Calibri"/>
          <w:b/>
          <w:szCs w:val="22"/>
          <w:lang w:eastAsia="en-US"/>
        </w:rPr>
        <w:t>Ключевые слова:</w:t>
      </w:r>
      <w:r w:rsidRPr="007551B6">
        <w:rPr>
          <w:rFonts w:eastAsia="Calibri"/>
          <w:szCs w:val="22"/>
          <w:lang w:eastAsia="en-US"/>
        </w:rPr>
        <w:t xml:space="preserve"> </w:t>
      </w:r>
      <w:r w:rsidR="00092DD7">
        <w:rPr>
          <w:rFonts w:eastAsia="Calibri"/>
          <w:szCs w:val="22"/>
          <w:lang w:eastAsia="en-US"/>
        </w:rPr>
        <w:t>Территориальное общественное самоуправление, инициативная группа, население, местное самоуправление.</w:t>
      </w:r>
    </w:p>
    <w:p w14:paraId="04A5C6C4" w14:textId="77777777" w:rsidR="007551B6" w:rsidRPr="007551B6" w:rsidRDefault="007551B6" w:rsidP="007551B6">
      <w:pPr>
        <w:jc w:val="center"/>
        <w:rPr>
          <w:rFonts w:eastAsia="Calibri"/>
          <w:szCs w:val="20"/>
          <w:lang w:eastAsia="en-US"/>
        </w:rPr>
      </w:pPr>
    </w:p>
    <w:p w14:paraId="0529686E" w14:textId="282396B9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В настоящее время в Краснодарском крае 426 муниципальных образований [</w:t>
      </w:r>
      <w:r w:rsidR="009D38CC">
        <w:rPr>
          <w:rFonts w:eastAsia="Calibri"/>
          <w:szCs w:val="20"/>
          <w:lang w:eastAsia="en-US"/>
        </w:rPr>
        <w:t>1</w:t>
      </w:r>
      <w:r w:rsidRPr="00092DD7">
        <w:rPr>
          <w:rFonts w:eastAsia="Calibri"/>
          <w:szCs w:val="20"/>
          <w:lang w:eastAsia="en-US"/>
        </w:rPr>
        <w:t>]. Деятельность органов местного самоуправления оказывает, в том числе территориальных общественных самоуправлений, значительное влияние на положение дел в муниципалитетах края. Поэтому по-прежнему актуальным остаются вопросы законодательного регулирования объемов полномочий органов местного самоуправления, укрепления финансовой самостоятельности муниципальных образований, а также создания условий для обеспечения органов местного самоуправления специалистами с высоким уровнем квалификации. В Краснодарском крае насчитывается самое большое количество ТОСов в России и ЮФО.</w:t>
      </w:r>
    </w:p>
    <w:p w14:paraId="7626B8CC" w14:textId="77777777" w:rsidR="00092DD7" w:rsidRDefault="00092DD7" w:rsidP="00092DD7">
      <w:pPr>
        <w:ind w:firstLine="709"/>
        <w:jc w:val="right"/>
        <w:rPr>
          <w:rFonts w:eastAsia="Calibri"/>
          <w:i/>
          <w:iCs/>
          <w:szCs w:val="20"/>
          <w:lang w:eastAsia="en-US"/>
        </w:rPr>
      </w:pPr>
    </w:p>
    <w:p w14:paraId="763D6C56" w14:textId="61F7AFF8" w:rsidR="00092DD7" w:rsidRPr="00D9665E" w:rsidRDefault="00092DD7" w:rsidP="00092DD7">
      <w:pPr>
        <w:ind w:firstLine="709"/>
        <w:jc w:val="right"/>
        <w:rPr>
          <w:rFonts w:eastAsia="Calibri"/>
          <w:szCs w:val="20"/>
          <w:lang w:eastAsia="en-US"/>
        </w:rPr>
      </w:pPr>
      <w:r w:rsidRPr="00D9665E">
        <w:rPr>
          <w:rFonts w:eastAsia="Calibri"/>
          <w:szCs w:val="20"/>
          <w:lang w:eastAsia="en-US"/>
        </w:rPr>
        <w:t xml:space="preserve">Таблица 1 </w:t>
      </w:r>
    </w:p>
    <w:p w14:paraId="2097ECE0" w14:textId="133CD7F4" w:rsidR="00092DD7" w:rsidRPr="00092DD7" w:rsidRDefault="00092DD7" w:rsidP="00092DD7">
      <w:pPr>
        <w:jc w:val="center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Количество ТОС в ЮФО [</w:t>
      </w:r>
      <w:r w:rsidR="009D38CC">
        <w:rPr>
          <w:rFonts w:eastAsia="Calibri"/>
          <w:szCs w:val="20"/>
          <w:lang w:eastAsia="en-US"/>
        </w:rPr>
        <w:t>2</w:t>
      </w:r>
      <w:r w:rsidRPr="00092DD7">
        <w:rPr>
          <w:rFonts w:eastAsia="Calibri"/>
          <w:szCs w:val="20"/>
          <w:lang w:eastAsia="en-US"/>
        </w:rPr>
        <w:t>]</w:t>
      </w:r>
    </w:p>
    <w:tbl>
      <w:tblPr>
        <w:tblStyle w:val="3"/>
        <w:tblW w:w="0" w:type="auto"/>
        <w:jc w:val="center"/>
        <w:tblLook w:val="04A0" w:firstRow="1" w:lastRow="0" w:firstColumn="1" w:lastColumn="0" w:noHBand="0" w:noVBand="1"/>
      </w:tblPr>
      <w:tblGrid>
        <w:gridCol w:w="1711"/>
        <w:gridCol w:w="918"/>
        <w:gridCol w:w="918"/>
        <w:gridCol w:w="918"/>
        <w:gridCol w:w="1143"/>
        <w:gridCol w:w="1046"/>
        <w:gridCol w:w="1105"/>
        <w:gridCol w:w="888"/>
        <w:gridCol w:w="981"/>
      </w:tblGrid>
      <w:tr w:rsidR="00092DD7" w:rsidRPr="00AF3C08" w14:paraId="316122F8" w14:textId="77777777" w:rsidTr="00AC6429">
        <w:trPr>
          <w:jc w:val="center"/>
        </w:trPr>
        <w:tc>
          <w:tcPr>
            <w:tcW w:w="1734" w:type="dxa"/>
            <w:hideMark/>
          </w:tcPr>
          <w:p w14:paraId="3C79D094" w14:textId="77777777" w:rsidR="00092DD7" w:rsidRPr="00AF3C08" w:rsidRDefault="00092DD7" w:rsidP="00AC6429">
            <w:pPr>
              <w:snapToGrid w:val="0"/>
              <w:rPr>
                <w:color w:val="000000"/>
              </w:rPr>
            </w:pPr>
            <w:r w:rsidRPr="00AF3C08">
              <w:rPr>
                <w:color w:val="000000"/>
              </w:rPr>
              <w:t>Показатель</w:t>
            </w:r>
          </w:p>
        </w:tc>
        <w:tc>
          <w:tcPr>
            <w:tcW w:w="0" w:type="auto"/>
            <w:hideMark/>
          </w:tcPr>
          <w:p w14:paraId="28439462" w14:textId="77777777" w:rsidR="00092DD7" w:rsidRPr="00AF3C08" w:rsidRDefault="00092DD7" w:rsidP="00AC6429">
            <w:pPr>
              <w:snapToGrid w:val="0"/>
              <w:rPr>
                <w:color w:val="000000"/>
                <w:sz w:val="20"/>
                <w:szCs w:val="20"/>
              </w:rPr>
            </w:pPr>
            <w:r w:rsidRPr="00AF3C08">
              <w:rPr>
                <w:color w:val="000000"/>
                <w:sz w:val="20"/>
                <w:szCs w:val="20"/>
              </w:rPr>
              <w:t>Республика Адыгея</w:t>
            </w:r>
          </w:p>
        </w:tc>
        <w:tc>
          <w:tcPr>
            <w:tcW w:w="0" w:type="auto"/>
            <w:hideMark/>
          </w:tcPr>
          <w:p w14:paraId="43A04C8B" w14:textId="77777777" w:rsidR="00092DD7" w:rsidRPr="00AF3C08" w:rsidRDefault="00092DD7" w:rsidP="00AC6429">
            <w:pPr>
              <w:snapToGrid w:val="0"/>
              <w:rPr>
                <w:color w:val="000000"/>
                <w:sz w:val="20"/>
                <w:szCs w:val="20"/>
              </w:rPr>
            </w:pPr>
            <w:r w:rsidRPr="00AF3C08">
              <w:rPr>
                <w:color w:val="000000"/>
                <w:sz w:val="20"/>
                <w:szCs w:val="20"/>
              </w:rPr>
              <w:t>Республика Калмыкия</w:t>
            </w:r>
          </w:p>
        </w:tc>
        <w:tc>
          <w:tcPr>
            <w:tcW w:w="0" w:type="auto"/>
            <w:hideMark/>
          </w:tcPr>
          <w:p w14:paraId="77A53B45" w14:textId="77777777" w:rsidR="00092DD7" w:rsidRPr="00AF3C08" w:rsidRDefault="00092DD7" w:rsidP="00AC6429">
            <w:pPr>
              <w:snapToGrid w:val="0"/>
              <w:rPr>
                <w:color w:val="000000"/>
                <w:sz w:val="20"/>
                <w:szCs w:val="20"/>
              </w:rPr>
            </w:pPr>
            <w:r w:rsidRPr="00AF3C08">
              <w:rPr>
                <w:color w:val="000000"/>
                <w:sz w:val="20"/>
                <w:szCs w:val="20"/>
              </w:rPr>
              <w:t>Республика Крым</w:t>
            </w:r>
          </w:p>
        </w:tc>
        <w:tc>
          <w:tcPr>
            <w:tcW w:w="0" w:type="auto"/>
            <w:hideMark/>
          </w:tcPr>
          <w:p w14:paraId="18DFD0E9" w14:textId="77777777" w:rsidR="00092DD7" w:rsidRPr="00AF3C08" w:rsidRDefault="00092DD7" w:rsidP="00AC6429">
            <w:pPr>
              <w:snapToGrid w:val="0"/>
              <w:rPr>
                <w:color w:val="000000"/>
                <w:sz w:val="20"/>
                <w:szCs w:val="20"/>
              </w:rPr>
            </w:pPr>
            <w:r w:rsidRPr="00AF3C08">
              <w:rPr>
                <w:color w:val="000000"/>
                <w:sz w:val="20"/>
                <w:szCs w:val="20"/>
              </w:rPr>
              <w:t>Краснодарский край</w:t>
            </w:r>
          </w:p>
        </w:tc>
        <w:tc>
          <w:tcPr>
            <w:tcW w:w="0" w:type="auto"/>
            <w:hideMark/>
          </w:tcPr>
          <w:p w14:paraId="5D5E4473" w14:textId="77777777" w:rsidR="00092DD7" w:rsidRPr="00AF3C08" w:rsidRDefault="00092DD7" w:rsidP="00AC6429">
            <w:pPr>
              <w:snapToGrid w:val="0"/>
              <w:rPr>
                <w:color w:val="000000"/>
                <w:sz w:val="20"/>
                <w:szCs w:val="20"/>
              </w:rPr>
            </w:pPr>
            <w:r w:rsidRPr="00AF3C08">
              <w:rPr>
                <w:color w:val="000000"/>
                <w:sz w:val="20"/>
                <w:szCs w:val="20"/>
              </w:rPr>
              <w:t>Астраханская область</w:t>
            </w:r>
          </w:p>
        </w:tc>
        <w:tc>
          <w:tcPr>
            <w:tcW w:w="0" w:type="auto"/>
            <w:hideMark/>
          </w:tcPr>
          <w:p w14:paraId="0474C666" w14:textId="77777777" w:rsidR="00092DD7" w:rsidRPr="00AF3C08" w:rsidRDefault="00092DD7" w:rsidP="00AC6429">
            <w:pPr>
              <w:snapToGrid w:val="0"/>
              <w:rPr>
                <w:color w:val="000000"/>
                <w:sz w:val="20"/>
                <w:szCs w:val="20"/>
              </w:rPr>
            </w:pPr>
            <w:r w:rsidRPr="00AF3C08">
              <w:rPr>
                <w:color w:val="000000"/>
                <w:sz w:val="20"/>
                <w:szCs w:val="20"/>
              </w:rPr>
              <w:t>Волгоградская область</w:t>
            </w:r>
          </w:p>
        </w:tc>
        <w:tc>
          <w:tcPr>
            <w:tcW w:w="0" w:type="auto"/>
            <w:hideMark/>
          </w:tcPr>
          <w:p w14:paraId="0EEBE9A2" w14:textId="77777777" w:rsidR="00092DD7" w:rsidRPr="00AF3C08" w:rsidRDefault="00092DD7" w:rsidP="00AC6429">
            <w:pPr>
              <w:snapToGrid w:val="0"/>
              <w:rPr>
                <w:color w:val="000000"/>
                <w:sz w:val="20"/>
                <w:szCs w:val="20"/>
              </w:rPr>
            </w:pPr>
            <w:r w:rsidRPr="00AF3C08">
              <w:rPr>
                <w:color w:val="000000"/>
                <w:sz w:val="20"/>
                <w:szCs w:val="20"/>
              </w:rPr>
              <w:t>Ростовская область</w:t>
            </w:r>
          </w:p>
        </w:tc>
        <w:tc>
          <w:tcPr>
            <w:tcW w:w="940" w:type="dxa"/>
            <w:hideMark/>
          </w:tcPr>
          <w:p w14:paraId="0B6EB6A2" w14:textId="77777777" w:rsidR="00092DD7" w:rsidRPr="00AF3C08" w:rsidRDefault="00092DD7" w:rsidP="00AC6429">
            <w:pPr>
              <w:snapToGrid w:val="0"/>
              <w:rPr>
                <w:color w:val="000000"/>
                <w:sz w:val="20"/>
                <w:szCs w:val="20"/>
              </w:rPr>
            </w:pPr>
            <w:r w:rsidRPr="00AF3C08">
              <w:rPr>
                <w:color w:val="000000"/>
                <w:sz w:val="20"/>
                <w:szCs w:val="20"/>
              </w:rPr>
              <w:t>Севастополь</w:t>
            </w:r>
          </w:p>
        </w:tc>
      </w:tr>
      <w:tr w:rsidR="00092DD7" w:rsidRPr="00AF3C08" w14:paraId="5FC59E5C" w14:textId="77777777" w:rsidTr="00AC6429">
        <w:trPr>
          <w:jc w:val="center"/>
        </w:trPr>
        <w:tc>
          <w:tcPr>
            <w:tcW w:w="1734" w:type="dxa"/>
            <w:hideMark/>
          </w:tcPr>
          <w:p w14:paraId="76874DD2" w14:textId="77777777" w:rsidR="00092DD7" w:rsidRPr="00AF3C08" w:rsidRDefault="00092DD7" w:rsidP="00AC6429">
            <w:pPr>
              <w:snapToGrid w:val="0"/>
              <w:rPr>
                <w:color w:val="000000"/>
              </w:rPr>
            </w:pPr>
            <w:r w:rsidRPr="00AF3C08">
              <w:rPr>
                <w:color w:val="000000"/>
              </w:rPr>
              <w:t xml:space="preserve">Количество ТОС в качестве юридического лица </w:t>
            </w:r>
          </w:p>
        </w:tc>
        <w:tc>
          <w:tcPr>
            <w:tcW w:w="0" w:type="auto"/>
            <w:hideMark/>
          </w:tcPr>
          <w:p w14:paraId="3FC1674D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18</w:t>
            </w:r>
          </w:p>
        </w:tc>
        <w:tc>
          <w:tcPr>
            <w:tcW w:w="0" w:type="auto"/>
            <w:hideMark/>
          </w:tcPr>
          <w:p w14:paraId="79A4D21B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0" w:type="auto"/>
            <w:hideMark/>
          </w:tcPr>
          <w:p w14:paraId="431D4D8B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3</w:t>
            </w:r>
          </w:p>
        </w:tc>
        <w:tc>
          <w:tcPr>
            <w:tcW w:w="0" w:type="auto"/>
            <w:hideMark/>
          </w:tcPr>
          <w:p w14:paraId="5634B186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66</w:t>
            </w:r>
          </w:p>
        </w:tc>
        <w:tc>
          <w:tcPr>
            <w:tcW w:w="0" w:type="auto"/>
            <w:hideMark/>
          </w:tcPr>
          <w:p w14:paraId="3E8B4E53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6</w:t>
            </w:r>
          </w:p>
        </w:tc>
        <w:tc>
          <w:tcPr>
            <w:tcW w:w="0" w:type="auto"/>
            <w:hideMark/>
          </w:tcPr>
          <w:p w14:paraId="0148AE88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1277</w:t>
            </w:r>
          </w:p>
        </w:tc>
        <w:tc>
          <w:tcPr>
            <w:tcW w:w="0" w:type="auto"/>
            <w:hideMark/>
          </w:tcPr>
          <w:p w14:paraId="5C5C4BDB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0</w:t>
            </w:r>
          </w:p>
        </w:tc>
        <w:tc>
          <w:tcPr>
            <w:tcW w:w="940" w:type="dxa"/>
            <w:hideMark/>
          </w:tcPr>
          <w:p w14:paraId="5BD6F018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0</w:t>
            </w:r>
          </w:p>
        </w:tc>
      </w:tr>
      <w:tr w:rsidR="00092DD7" w:rsidRPr="00AF3C08" w14:paraId="47327F03" w14:textId="77777777" w:rsidTr="00AC6429">
        <w:trPr>
          <w:jc w:val="center"/>
        </w:trPr>
        <w:tc>
          <w:tcPr>
            <w:tcW w:w="1734" w:type="dxa"/>
            <w:hideMark/>
          </w:tcPr>
          <w:p w14:paraId="3B5920DD" w14:textId="77777777" w:rsidR="00092DD7" w:rsidRPr="00AF3C08" w:rsidRDefault="00092DD7" w:rsidP="00AC6429">
            <w:pPr>
              <w:snapToGrid w:val="0"/>
              <w:rPr>
                <w:color w:val="000000"/>
              </w:rPr>
            </w:pPr>
            <w:r w:rsidRPr="00AF3C08">
              <w:rPr>
                <w:color w:val="000000"/>
              </w:rPr>
              <w:t xml:space="preserve">Количество </w:t>
            </w:r>
            <w:proofErr w:type="gramStart"/>
            <w:r w:rsidRPr="00AF3C08">
              <w:rPr>
                <w:color w:val="000000"/>
              </w:rPr>
              <w:t>ТОС</w:t>
            </w:r>
            <w:proofErr w:type="gramEnd"/>
            <w:r w:rsidRPr="00AF3C08">
              <w:rPr>
                <w:color w:val="000000"/>
              </w:rPr>
              <w:t xml:space="preserve"> зарегистрированных органами местного </w:t>
            </w:r>
          </w:p>
          <w:p w14:paraId="654E9846" w14:textId="77777777" w:rsidR="00092DD7" w:rsidRPr="00AF3C08" w:rsidRDefault="00092DD7" w:rsidP="00AC6429">
            <w:pPr>
              <w:snapToGrid w:val="0"/>
              <w:rPr>
                <w:color w:val="000000"/>
              </w:rPr>
            </w:pPr>
            <w:r w:rsidRPr="00AF3C08">
              <w:rPr>
                <w:color w:val="000000"/>
              </w:rPr>
              <w:t>самоуправления</w:t>
            </w:r>
            <w:r w:rsidRPr="00AF3C08">
              <w:rPr>
                <w:color w:val="000000"/>
                <w:sz w:val="20"/>
                <w:szCs w:val="20"/>
              </w:rPr>
              <w:t xml:space="preserve">-н </w:t>
            </w:r>
          </w:p>
        </w:tc>
        <w:tc>
          <w:tcPr>
            <w:tcW w:w="0" w:type="auto"/>
            <w:hideMark/>
          </w:tcPr>
          <w:p w14:paraId="1334950B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18</w:t>
            </w:r>
          </w:p>
        </w:tc>
        <w:tc>
          <w:tcPr>
            <w:tcW w:w="0" w:type="auto"/>
            <w:hideMark/>
          </w:tcPr>
          <w:p w14:paraId="634671C7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0" w:type="auto"/>
            <w:hideMark/>
          </w:tcPr>
          <w:p w14:paraId="2087D4A2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4</w:t>
            </w:r>
          </w:p>
        </w:tc>
        <w:tc>
          <w:tcPr>
            <w:tcW w:w="0" w:type="auto"/>
            <w:hideMark/>
          </w:tcPr>
          <w:p w14:paraId="15F50F90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5992</w:t>
            </w:r>
          </w:p>
        </w:tc>
        <w:tc>
          <w:tcPr>
            <w:tcW w:w="0" w:type="auto"/>
            <w:hideMark/>
          </w:tcPr>
          <w:p w14:paraId="7562D071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29</w:t>
            </w:r>
          </w:p>
        </w:tc>
        <w:tc>
          <w:tcPr>
            <w:tcW w:w="0" w:type="auto"/>
            <w:hideMark/>
          </w:tcPr>
          <w:p w14:paraId="6AE363AD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1979</w:t>
            </w:r>
          </w:p>
        </w:tc>
        <w:tc>
          <w:tcPr>
            <w:tcW w:w="0" w:type="auto"/>
            <w:hideMark/>
          </w:tcPr>
          <w:p w14:paraId="3073E1F4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621</w:t>
            </w:r>
          </w:p>
        </w:tc>
        <w:tc>
          <w:tcPr>
            <w:tcW w:w="940" w:type="dxa"/>
            <w:hideMark/>
          </w:tcPr>
          <w:p w14:paraId="68B01C17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19</w:t>
            </w:r>
          </w:p>
        </w:tc>
      </w:tr>
      <w:tr w:rsidR="00092DD7" w:rsidRPr="00AF3C08" w14:paraId="39511C19" w14:textId="77777777" w:rsidTr="00AC6429">
        <w:trPr>
          <w:jc w:val="center"/>
        </w:trPr>
        <w:tc>
          <w:tcPr>
            <w:tcW w:w="1734" w:type="dxa"/>
            <w:hideMark/>
          </w:tcPr>
          <w:p w14:paraId="773F7C10" w14:textId="77777777" w:rsidR="00092DD7" w:rsidRPr="00AF3C08" w:rsidRDefault="00092DD7" w:rsidP="00AC6429">
            <w:pPr>
              <w:snapToGrid w:val="0"/>
              <w:rPr>
                <w:color w:val="000000"/>
              </w:rPr>
            </w:pPr>
            <w:r w:rsidRPr="00AF3C08">
              <w:rPr>
                <w:color w:val="000000"/>
              </w:rPr>
              <w:t xml:space="preserve">Итого </w:t>
            </w:r>
          </w:p>
        </w:tc>
        <w:tc>
          <w:tcPr>
            <w:tcW w:w="7959" w:type="dxa"/>
            <w:gridSpan w:val="8"/>
            <w:hideMark/>
          </w:tcPr>
          <w:p w14:paraId="59877A2E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>8 662</w:t>
            </w:r>
          </w:p>
          <w:p w14:paraId="3D672707" w14:textId="77777777" w:rsidR="00092DD7" w:rsidRPr="00AF3C08" w:rsidRDefault="00092DD7" w:rsidP="00AC6429">
            <w:pPr>
              <w:snapToGrid w:val="0"/>
              <w:jc w:val="center"/>
              <w:rPr>
                <w:color w:val="000000"/>
              </w:rPr>
            </w:pPr>
            <w:r w:rsidRPr="00AF3C08">
              <w:rPr>
                <w:color w:val="000000"/>
              </w:rPr>
              <w:t xml:space="preserve">(1 370 в качестве </w:t>
            </w:r>
            <w:proofErr w:type="spellStart"/>
            <w:proofErr w:type="gramStart"/>
            <w:r w:rsidRPr="00AF3C08">
              <w:rPr>
                <w:color w:val="000000"/>
              </w:rPr>
              <w:t>юр.лица</w:t>
            </w:r>
            <w:proofErr w:type="spellEnd"/>
            <w:proofErr w:type="gramEnd"/>
            <w:r w:rsidRPr="00AF3C08">
              <w:rPr>
                <w:color w:val="000000"/>
              </w:rPr>
              <w:t xml:space="preserve"> / 7 292 без образования </w:t>
            </w:r>
            <w:proofErr w:type="spellStart"/>
            <w:r w:rsidRPr="00AF3C08">
              <w:rPr>
                <w:color w:val="000000"/>
              </w:rPr>
              <w:t>юр.лица</w:t>
            </w:r>
            <w:proofErr w:type="spellEnd"/>
            <w:r w:rsidRPr="00AF3C08">
              <w:rPr>
                <w:color w:val="000000"/>
              </w:rPr>
              <w:t>)</w:t>
            </w:r>
          </w:p>
        </w:tc>
      </w:tr>
    </w:tbl>
    <w:p w14:paraId="1CC8CB38" w14:textId="77777777" w:rsid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</w:p>
    <w:p w14:paraId="6457F353" w14:textId="77777777" w:rsid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</w:p>
    <w:p w14:paraId="032EDCCF" w14:textId="3A6C551F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На сегодняшний день на территории Краснодарского края зарегистрировано около 6000 действующих органов ТОС (советы микрорайонов, квартальных, домовых, уличных, станичных, хуторских и поселковых комитетов). Статус юридических лиц имеют более 60 органов ТОС [</w:t>
      </w:r>
      <w:r w:rsidR="009D38CC">
        <w:rPr>
          <w:rFonts w:eastAsia="Calibri"/>
          <w:szCs w:val="20"/>
          <w:lang w:eastAsia="en-US"/>
        </w:rPr>
        <w:t>2</w:t>
      </w:r>
      <w:r w:rsidRPr="00092DD7">
        <w:rPr>
          <w:rFonts w:eastAsia="Calibri"/>
          <w:szCs w:val="20"/>
          <w:lang w:eastAsia="en-US"/>
        </w:rPr>
        <w:t>].</w:t>
      </w:r>
    </w:p>
    <w:p w14:paraId="37D9976A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 xml:space="preserve">Во всех органах ТОС Краснодарского края имеются все необходимые регистрационные документы. В частности, приняты уставы, утверждены орг. структуры ТОС, определены границы их территорий, а также приняты положения об их деятельности. Вопросы </w:t>
      </w:r>
      <w:r w:rsidRPr="00092DD7">
        <w:rPr>
          <w:rFonts w:eastAsia="Calibri"/>
          <w:szCs w:val="20"/>
          <w:lang w:eastAsia="en-US"/>
        </w:rPr>
        <w:lastRenderedPageBreak/>
        <w:t xml:space="preserve">взаимодействия с органами государственной и муниципальной власти (в том числе формы поддержки) регулируются законодательством и отдельными нормативными положениями региона и муниципальных образований. </w:t>
      </w:r>
    </w:p>
    <w:p w14:paraId="3192896A" w14:textId="135099A6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 xml:space="preserve">Помимо законодательного регулирования со стороны </w:t>
      </w:r>
      <w:r w:rsidR="009D38CC">
        <w:rPr>
          <w:rFonts w:eastAsia="Calibri"/>
          <w:szCs w:val="20"/>
          <w:lang w:eastAsia="en-US"/>
        </w:rPr>
        <w:t>Законодательного Собрания Краснодарского края</w:t>
      </w:r>
      <w:r w:rsidRPr="00092DD7">
        <w:rPr>
          <w:rFonts w:eastAsia="Calibri"/>
          <w:szCs w:val="20"/>
          <w:lang w:eastAsia="en-US"/>
        </w:rPr>
        <w:t>, активную работу по курированию направлений деятельности ТОС в муниципальных образованиях осуществляет департамент Внутренней политики Администрации Краснодарского края ежегодно ведет мониторинг работы органов ТОС, что позволяет на региональном уровне видеть более целостную картину в этой сфере.</w:t>
      </w:r>
    </w:p>
    <w:p w14:paraId="5DAE720F" w14:textId="4FADC4C1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Финансовая поддержка деятельности ТОС в крае постоянно увеличивается: только за пять лет (2017-2022 гг.) в рамках муниципальных программ объем финансирования направлений работы ТОС вырос почти в три раза – с 58,5 млн. руб. до 156 млн. руб. [</w:t>
      </w:r>
      <w:r w:rsidR="009D38CC">
        <w:rPr>
          <w:rFonts w:eastAsia="Calibri"/>
          <w:szCs w:val="20"/>
          <w:lang w:eastAsia="en-US"/>
        </w:rPr>
        <w:t>2</w:t>
      </w:r>
      <w:r w:rsidRPr="00092DD7">
        <w:rPr>
          <w:rFonts w:eastAsia="Calibri"/>
          <w:szCs w:val="20"/>
          <w:lang w:eastAsia="en-US"/>
        </w:rPr>
        <w:t>].</w:t>
      </w:r>
    </w:p>
    <w:p w14:paraId="085A9F64" w14:textId="4F675B41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В рамках этих программ основная часть средств из местных бюджетов направляется на компенсации и частичное возмещение затрат, связанных с содержанием помещений, оплатой коммунальных услуг и услуг связи, канцтоваров, покупка ГСМ и др. Средняя величина выплат по краю (на 1 января 202</w:t>
      </w:r>
      <w:r w:rsidR="009D38CC">
        <w:rPr>
          <w:rFonts w:eastAsia="Calibri"/>
          <w:szCs w:val="20"/>
          <w:lang w:eastAsia="en-US"/>
        </w:rPr>
        <w:t>2</w:t>
      </w:r>
      <w:r w:rsidRPr="00092DD7">
        <w:rPr>
          <w:rFonts w:eastAsia="Calibri"/>
          <w:szCs w:val="20"/>
          <w:lang w:eastAsia="en-US"/>
        </w:rPr>
        <w:t xml:space="preserve"> года) составили свыше </w:t>
      </w:r>
      <w:r w:rsidR="009D38CC">
        <w:rPr>
          <w:rFonts w:eastAsia="Calibri"/>
          <w:szCs w:val="20"/>
          <w:lang w:eastAsia="en-US"/>
        </w:rPr>
        <w:t>4</w:t>
      </w:r>
      <w:r w:rsidRPr="00092DD7">
        <w:rPr>
          <w:rFonts w:eastAsia="Calibri"/>
          <w:szCs w:val="20"/>
          <w:lang w:eastAsia="en-US"/>
        </w:rPr>
        <w:t xml:space="preserve">800 руб. в месяц. Однако есть населенные пункты, которые получают </w:t>
      </w:r>
      <w:r w:rsidR="009D38CC">
        <w:rPr>
          <w:rFonts w:eastAsia="Calibri"/>
          <w:szCs w:val="20"/>
          <w:lang w:eastAsia="en-US"/>
        </w:rPr>
        <w:t>5</w:t>
      </w:r>
      <w:r w:rsidRPr="00092DD7">
        <w:rPr>
          <w:rFonts w:eastAsia="Calibri"/>
          <w:szCs w:val="20"/>
          <w:lang w:eastAsia="en-US"/>
        </w:rPr>
        <w:t xml:space="preserve">00 рублей; при этом диапазон таких выплат варьируется до </w:t>
      </w:r>
      <w:r w:rsidR="009D38CC">
        <w:rPr>
          <w:rFonts w:eastAsia="Calibri"/>
          <w:szCs w:val="20"/>
          <w:lang w:eastAsia="en-US"/>
        </w:rPr>
        <w:t>24</w:t>
      </w:r>
      <w:r w:rsidRPr="00092DD7">
        <w:rPr>
          <w:rFonts w:eastAsia="Calibri"/>
          <w:szCs w:val="20"/>
          <w:lang w:eastAsia="en-US"/>
        </w:rPr>
        <w:t xml:space="preserve"> тыс. руб. Величина таких выплат зависит от финансовых возможностей того или иного муниципального образования.</w:t>
      </w:r>
    </w:p>
    <w:p w14:paraId="17A16F0F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Ежегодные отчеты фиксируют повышение активности по взаимодействию руководителей органов ТОС с местной властью. В практику входят формы совместных отчетов перед населением главы администрации, местных депутатов и руководителей органов ТОС. В большинстве муниципальных образований такая практика стала нормой.</w:t>
      </w:r>
    </w:p>
    <w:p w14:paraId="272E60FA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Руководители ТОС совместно с органами местного самоуправления в последние годы, используя правотворческую инициативу, активно вносят и продвигают рассмотрение в представительные органы муниципальных образований проекты муниципальных нормативных правовых актов, которые затрагиваю социальные сферы жизни местного населения.</w:t>
      </w:r>
    </w:p>
    <w:p w14:paraId="394B1815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Руководители и представители ТОСов активно включаются в работу, участвуют на заседаниях представительных органов муниципальных образований, присутствуют на планерных совещаниях при главах муниципалитетов. Часть работы по подготовке и проведению публичных слушаний по проектам муниципальных правовых актов ложится в т.ч. и на ТОСы: устав муниципального образования; утверждение местного бюджета и отчета о его исполнении; об исполнении социально-экономических программ развития и др.</w:t>
      </w:r>
    </w:p>
    <w:p w14:paraId="10E7BF7D" w14:textId="4037E8E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Активное участие ТОСы принимают в определении направлений бюджетных средств при решении вопросов местного значения. Так, например, только в 202</w:t>
      </w:r>
      <w:r w:rsidR="009D38CC">
        <w:rPr>
          <w:rFonts w:eastAsia="Calibri"/>
          <w:szCs w:val="20"/>
          <w:lang w:eastAsia="en-US"/>
        </w:rPr>
        <w:t>2</w:t>
      </w:r>
      <w:r w:rsidRPr="00092DD7">
        <w:rPr>
          <w:rFonts w:eastAsia="Calibri"/>
          <w:szCs w:val="20"/>
          <w:lang w:eastAsia="en-US"/>
        </w:rPr>
        <w:t xml:space="preserve"> году в крае органами ТОС было внесено свыше 1</w:t>
      </w:r>
      <w:r w:rsidR="009D38CC">
        <w:rPr>
          <w:rFonts w:eastAsia="Calibri"/>
          <w:szCs w:val="20"/>
          <w:lang w:eastAsia="en-US"/>
        </w:rPr>
        <w:t>3</w:t>
      </w:r>
      <w:r w:rsidRPr="00092DD7">
        <w:rPr>
          <w:rFonts w:eastAsia="Calibri"/>
          <w:szCs w:val="20"/>
          <w:lang w:eastAsia="en-US"/>
        </w:rPr>
        <w:t xml:space="preserve"> тысяч предложений, из которых органами местного самоуправления учтено около 9,5 тысяч предложений органов ТОС с направлением средств местного бюджета [</w:t>
      </w:r>
      <w:r w:rsidR="009D38CC">
        <w:rPr>
          <w:rFonts w:eastAsia="Calibri"/>
          <w:szCs w:val="20"/>
          <w:lang w:eastAsia="en-US"/>
        </w:rPr>
        <w:t>2</w:t>
      </w:r>
      <w:r w:rsidRPr="00092DD7">
        <w:rPr>
          <w:rFonts w:eastAsia="Calibri"/>
          <w:szCs w:val="20"/>
          <w:lang w:eastAsia="en-US"/>
        </w:rPr>
        <w:t>].</w:t>
      </w:r>
    </w:p>
    <w:p w14:paraId="25A9DA6E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Механизмы общественного контроля также имеют важное значение в муниципальном управлении. Институт ТОСов как раз-таки напрямую должен выступать в качестве инструмента общественного регулирования и контроля об исполнении важных социальных решений. Одним из важных направлений в деятельности ТОСов края выступает общественный земельный контроль. В рамках допустимых полномочий органами ТОС за последние 2017-2022 гг. осуществили более 7 тысяч проверок в этой сфере, многие из которых были положительно решены.</w:t>
      </w:r>
    </w:p>
    <w:p w14:paraId="002D7466" w14:textId="41459816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ТОСы осуществляют общественный контроль за деятельностью организаций, осуществляющих управление многоквартирными домами в части договорных отношений, ремонта общего имущества; установления размера платежей и взносов на содержание и ремонт общего имущества в интересах собственников жилья. Только за 202</w:t>
      </w:r>
      <w:r w:rsidR="009D38CC">
        <w:rPr>
          <w:rFonts w:eastAsia="Calibri"/>
          <w:szCs w:val="20"/>
          <w:lang w:eastAsia="en-US"/>
        </w:rPr>
        <w:t>2</w:t>
      </w:r>
      <w:r w:rsidRPr="00092DD7">
        <w:rPr>
          <w:rFonts w:eastAsia="Calibri"/>
          <w:szCs w:val="20"/>
          <w:lang w:eastAsia="en-US"/>
        </w:rPr>
        <w:t xml:space="preserve"> год органы ТОС провели около 6 тысяч проверок в сфере управления многоквартирными домами.</w:t>
      </w:r>
    </w:p>
    <w:p w14:paraId="6AD716A3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 xml:space="preserve">На сельских территориях ТОСы являются первичным звеном по взаимодействию с малыми формами ведения сельского хозяйствования (ЛПХ, КФХ, ИП). На их плечи ложатся </w:t>
      </w:r>
      <w:r w:rsidRPr="00092DD7">
        <w:rPr>
          <w:rFonts w:eastAsia="Calibri"/>
          <w:szCs w:val="20"/>
          <w:lang w:eastAsia="en-US"/>
        </w:rPr>
        <w:lastRenderedPageBreak/>
        <w:t>информирование последних о мерах государственной поддержки сельхозпроизводителей; оказание содействия в организации проведения сельскохозяйственных ярмарок и выставок и др.</w:t>
      </w:r>
    </w:p>
    <w:p w14:paraId="588C6426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Отдельным направлением становится в работе органов ТОС является активное участие в подготовке патриотических и нравственно-воспитательных мероприятий (создание клубов по интересам), в организации досуга граждан, проведении спортивных и социально-культурных мероприятий.</w:t>
      </w:r>
    </w:p>
    <w:p w14:paraId="1CEAF47A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Сильную поддержку оказывают активисты ТОСов в сфере благоустройства улиц и дорог. Среди основных направлений здесь можно выделить такие:</w:t>
      </w:r>
    </w:p>
    <w:p w14:paraId="7CB1AAA8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– организация сбора и вывоза бытовых отходов на подведомственных территориях (заключение договоров с населением на вывоз мусора, осуществление контроля за санитарным состоянием придомовых территорий, выявление и предупреждение стихийных свалок);</w:t>
      </w:r>
    </w:p>
    <w:p w14:paraId="46ECF407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– контроль и улучшение санитарного состояния улиц, озеленение, строительство и ремонт дорог, улиц, тротуаров, переходных мостов, инженерных сетей, общественных колодцев, спортивных и детских игровых площадок и т.д.;</w:t>
      </w:r>
    </w:p>
    <w:p w14:paraId="0B5A9A45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– проведение мероприятий по охране памятников истории и культуры, поддержанию в надлежащем состоянии кладбищ, братских могил и иных мест захоронения;</w:t>
      </w:r>
    </w:p>
    <w:p w14:paraId="2DDD07DC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– обеспечение общественного контроля за соблюдением общих норм и правил индивидуальной застройки собственниками домов;</w:t>
      </w:r>
    </w:p>
    <w:p w14:paraId="13833EA5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– проведение информационно-разъяснительной работы с местными гражданами о вреде и их ответственности за самовольное строительство;</w:t>
      </w:r>
    </w:p>
    <w:p w14:paraId="2D06EA81" w14:textId="4EEF21CA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– организация добровольческих отрядов по контролю и охране общественного порядка [</w:t>
      </w:r>
      <w:r w:rsidR="009D38CC">
        <w:rPr>
          <w:rFonts w:eastAsia="Calibri"/>
          <w:szCs w:val="20"/>
          <w:lang w:eastAsia="en-US"/>
        </w:rPr>
        <w:t>3</w:t>
      </w:r>
      <w:r w:rsidRPr="00092DD7">
        <w:rPr>
          <w:rFonts w:eastAsia="Calibri"/>
          <w:szCs w:val="20"/>
          <w:lang w:eastAsia="en-US"/>
        </w:rPr>
        <w:t xml:space="preserve">]. </w:t>
      </w:r>
    </w:p>
    <w:p w14:paraId="7D5F10EE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Работа ТОСов по взаимодействию с участковыми полиции, на закрепленными за ними административных участках, качественно повышает уровень безопасности и профилактирует часть девиантных форм поведения отдельных категорий граждан. Совместно с органами полиции проводятся совместные рейды, работа с трудными подростками и неблагополучными семьями, также отчитываются перед местными гражданами о своей проведенной работе.</w:t>
      </w:r>
    </w:p>
    <w:p w14:paraId="431971E6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Руководители органов ТОС входят в различные муниципальные комиссии: жилищные, земельные, административные.</w:t>
      </w:r>
    </w:p>
    <w:p w14:paraId="42334CB6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Для поддержки инициатив органов ТОСов региональные и муниципальные власти края формируют и поддерживают необходимые условия для того, чтобы они становились не только активными проводниками решений, принимаемых публичной властью, но и давали адекватную обратную связь для всех уровней управления в реализации социально-экономической политики на местах. Поэтому для повышения их профессионального уровня органами региональной и муниципальной власти ежегодно проводятся обучающие семинары, вебинары, зональные совещания и др. К этой работе подключаются профсоюзы, вузы и общественные объединения.</w:t>
      </w:r>
    </w:p>
    <w:p w14:paraId="4512B8E2" w14:textId="5FA67791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В целях стимулирования деятельности органов ТОС Законодательным Собранием края еще в 2007 году был учрежден краевой конкурс на звание «Лучший орган ТОС». Общий объем финансирования краевого конкурса с 2007 до 202</w:t>
      </w:r>
      <w:r w:rsidR="009D38CC">
        <w:rPr>
          <w:rFonts w:eastAsia="Calibri"/>
          <w:szCs w:val="20"/>
          <w:lang w:eastAsia="en-US"/>
        </w:rPr>
        <w:t>2</w:t>
      </w:r>
      <w:r w:rsidRPr="00092DD7">
        <w:rPr>
          <w:rFonts w:eastAsia="Calibri"/>
          <w:szCs w:val="20"/>
          <w:lang w:eastAsia="en-US"/>
        </w:rPr>
        <w:t xml:space="preserve"> года был доведен с 5 до 46 млн. рублей. Средства краевого бюджета направляются муниципальным образованиям и органам ТОС на благоустройство и развитие их территорий. Ежегодно проводится анализ расходования органами ТОС средств краевого и муниципальных бюджетов, которые выделяются по итогам конкурса </w:t>
      </w:r>
      <w:proofErr w:type="spellStart"/>
      <w:r w:rsidRPr="00092DD7">
        <w:rPr>
          <w:rFonts w:eastAsia="Calibri"/>
          <w:szCs w:val="20"/>
          <w:lang w:eastAsia="en-US"/>
        </w:rPr>
        <w:t>победелям</w:t>
      </w:r>
      <w:proofErr w:type="spellEnd"/>
      <w:r w:rsidRPr="00092DD7">
        <w:rPr>
          <w:rFonts w:eastAsia="Calibri"/>
          <w:szCs w:val="20"/>
          <w:lang w:eastAsia="en-US"/>
        </w:rPr>
        <w:t>-ТОСам. Практика анализа показывает, что серьезных нарушений практически нет в этой сфере.</w:t>
      </w:r>
    </w:p>
    <w:p w14:paraId="7A4B9CFA" w14:textId="60F78F78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 xml:space="preserve">Одним из положительных эффектов в функционировании института ТОС является практика систематического проведения форумов ТОС в целях обмена опытом работы, координации усилий, которая получила широкую общественную поддержку. На такие форумы основными приглашенными являются органы власти Ставропольского, Пермского краев, Ростовской области, Республик Адыгеи, Крыма, Калмыкии и других регионов. Этот </w:t>
      </w:r>
      <w:r w:rsidRPr="00092DD7">
        <w:rPr>
          <w:rFonts w:eastAsia="Calibri"/>
          <w:szCs w:val="20"/>
          <w:lang w:eastAsia="en-US"/>
        </w:rPr>
        <w:lastRenderedPageBreak/>
        <w:t>опыт уже практикуется более 10 лет. Единственное, политика по противодействию распространению респираторных заболеваний в России в 2020-202</w:t>
      </w:r>
      <w:r w:rsidR="009D38CC">
        <w:rPr>
          <w:rFonts w:eastAsia="Calibri"/>
          <w:szCs w:val="20"/>
          <w:lang w:eastAsia="en-US"/>
        </w:rPr>
        <w:t>2</w:t>
      </w:r>
      <w:r w:rsidRPr="00092DD7">
        <w:rPr>
          <w:rFonts w:eastAsia="Calibri"/>
          <w:szCs w:val="20"/>
          <w:lang w:eastAsia="en-US"/>
        </w:rPr>
        <w:t xml:space="preserve"> году внесла свои коррективы и такие мероприятия были перенесены на неопределенны срок. Такие формы сотрудничества дают положительные результаты для единения гражданского общества [32].</w:t>
      </w:r>
    </w:p>
    <w:p w14:paraId="41D20BB8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>Следует пояснить, что в большинстве муниципальных образований края организована работа по информированию населения о деятельности органов территориального общественного самоуправления через официальные СМИ и ресурсы Интернет. Руководители муниципальных образований содействуют выпуску вестников о работе органов ТОС.</w:t>
      </w:r>
    </w:p>
    <w:p w14:paraId="32187713" w14:textId="30B478FF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 xml:space="preserve">Для поддержки хозяйственная деятельности и инициатив органов ТОС требует дополнительных ресурсов (финансовых, материально-технических и др.). Добровольные взносы и пожертвования, на которые в основном приходится львиная доля поступлений остаются основным источником для ТОС. </w:t>
      </w:r>
      <w:r w:rsidR="009D38CC">
        <w:rPr>
          <w:rFonts w:eastAsia="Calibri"/>
          <w:szCs w:val="20"/>
          <w:lang w:eastAsia="en-US"/>
        </w:rPr>
        <w:t>О</w:t>
      </w:r>
      <w:r w:rsidRPr="00092DD7">
        <w:rPr>
          <w:rFonts w:eastAsia="Calibri"/>
          <w:szCs w:val="20"/>
          <w:lang w:eastAsia="en-US"/>
        </w:rPr>
        <w:t>рганы местного самоуправления также вправе осуществлять финансовую поддержку деятельности ТОС (ст. 27 ФЗ № 131), но из-за неустойчивых поступлений в местный бюджет средства для органов ТОС поступают несистемно и дискретно</w:t>
      </w:r>
      <w:r w:rsidR="009D38CC" w:rsidRPr="009D38CC">
        <w:rPr>
          <w:rFonts w:eastAsia="Calibri"/>
          <w:szCs w:val="20"/>
          <w:lang w:eastAsia="en-US"/>
        </w:rPr>
        <w:t xml:space="preserve"> [4]</w:t>
      </w:r>
      <w:r w:rsidRPr="00092DD7">
        <w:rPr>
          <w:rFonts w:eastAsia="Calibri"/>
          <w:szCs w:val="20"/>
          <w:lang w:eastAsia="en-US"/>
        </w:rPr>
        <w:t>.</w:t>
      </w:r>
    </w:p>
    <w:p w14:paraId="6F9CD696" w14:textId="09504245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 xml:space="preserve">С учетом положений п. 8 ст. 27 ФЗ № 131 ТОС, зарегистрированное в качестве юридического лица - некоммерческой организации, может заключать с органами местного самоуправления договоры на выполнение работ, обеспечивающих решение вопросов местного значения, с финансированием за счет местных средств. Структурные компоненты ТОС как юридического лица представлены на рисунке </w:t>
      </w:r>
      <w:r w:rsidR="009D38CC">
        <w:rPr>
          <w:rFonts w:eastAsia="Calibri"/>
          <w:szCs w:val="20"/>
          <w:lang w:eastAsia="en-US"/>
        </w:rPr>
        <w:t>1</w:t>
      </w:r>
      <w:r w:rsidRPr="00092DD7">
        <w:rPr>
          <w:rFonts w:eastAsia="Calibri"/>
          <w:szCs w:val="20"/>
          <w:lang w:eastAsia="en-US"/>
        </w:rPr>
        <w:t>.</w:t>
      </w:r>
    </w:p>
    <w:p w14:paraId="6EE12BA8" w14:textId="06171E4B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 xml:space="preserve"> </w:t>
      </w:r>
      <w:r w:rsidR="009D38CC">
        <w:rPr>
          <w:rFonts w:eastAsia="Calibri"/>
          <w:noProof/>
          <w:szCs w:val="20"/>
          <w:lang w:eastAsia="en-US"/>
        </w:rPr>
        <w:drawing>
          <wp:inline distT="0" distB="0" distL="0" distR="0" wp14:anchorId="54BF222D" wp14:editId="0FC4E40D">
            <wp:extent cx="6172200" cy="3649980"/>
            <wp:effectExtent l="0" t="0" r="0" b="7620"/>
            <wp:docPr id="96498268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3649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FF92EF" w14:textId="77777777" w:rsidR="009D38CC" w:rsidRDefault="009D38CC" w:rsidP="00092DD7">
      <w:pPr>
        <w:ind w:firstLine="709"/>
        <w:jc w:val="both"/>
        <w:rPr>
          <w:rFonts w:eastAsia="Calibri"/>
          <w:szCs w:val="20"/>
          <w:lang w:eastAsia="en-US"/>
        </w:rPr>
      </w:pPr>
    </w:p>
    <w:p w14:paraId="4F54ACEA" w14:textId="03C81CE2" w:rsidR="00092DD7" w:rsidRPr="009D38CC" w:rsidRDefault="00092DD7" w:rsidP="009D38CC">
      <w:pPr>
        <w:ind w:firstLine="709"/>
        <w:jc w:val="center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 xml:space="preserve">Рисунок </w:t>
      </w:r>
      <w:r w:rsidR="009D38CC">
        <w:rPr>
          <w:rFonts w:eastAsia="Calibri"/>
          <w:szCs w:val="20"/>
          <w:lang w:eastAsia="en-US"/>
        </w:rPr>
        <w:t xml:space="preserve">1. </w:t>
      </w:r>
      <w:r w:rsidRPr="00092DD7">
        <w:rPr>
          <w:rFonts w:eastAsia="Calibri"/>
          <w:szCs w:val="20"/>
          <w:lang w:eastAsia="en-US"/>
        </w:rPr>
        <w:t>Структурные компоненты ТОС (юр. лицо)</w:t>
      </w:r>
      <w:r w:rsidR="009D38CC">
        <w:rPr>
          <w:rFonts w:eastAsia="Calibri"/>
          <w:szCs w:val="20"/>
          <w:lang w:eastAsia="en-US"/>
        </w:rPr>
        <w:t xml:space="preserve"> </w:t>
      </w:r>
      <w:r w:rsidR="009D38CC" w:rsidRPr="009D38CC">
        <w:rPr>
          <w:rFonts w:eastAsia="Calibri"/>
          <w:szCs w:val="20"/>
          <w:lang w:eastAsia="en-US"/>
        </w:rPr>
        <w:t>[3]</w:t>
      </w:r>
    </w:p>
    <w:p w14:paraId="7E7A6199" w14:textId="77777777" w:rsidR="00092DD7" w:rsidRPr="00092DD7" w:rsidRDefault="00092DD7" w:rsidP="009D38CC">
      <w:pPr>
        <w:ind w:firstLine="709"/>
        <w:jc w:val="center"/>
        <w:rPr>
          <w:rFonts w:eastAsia="Calibri"/>
          <w:szCs w:val="20"/>
          <w:lang w:eastAsia="en-US"/>
        </w:rPr>
      </w:pPr>
    </w:p>
    <w:p w14:paraId="37FF2D8F" w14:textId="77777777" w:rsidR="00092DD7" w:rsidRP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 xml:space="preserve">ТОС, зарегистрированное в качестве юридического лица, получает более широкие возможности для свой деятельности и привлечения дополнительных финансово-экономических ресурсов для реализации своей деятельности. Одно из таких направлений, как показывает практика, участие в различных грантовых конкурсах (федеральных и региональных) дает возможность обратить внимание на проблемы локальных территорий. </w:t>
      </w:r>
    </w:p>
    <w:p w14:paraId="52F0ADC1" w14:textId="1056A487" w:rsidR="00092DD7" w:rsidRDefault="00092DD7" w:rsidP="00092DD7">
      <w:pPr>
        <w:ind w:firstLine="709"/>
        <w:jc w:val="both"/>
        <w:rPr>
          <w:rFonts w:eastAsia="Calibri"/>
          <w:szCs w:val="20"/>
          <w:lang w:eastAsia="en-US"/>
        </w:rPr>
      </w:pPr>
      <w:r w:rsidRPr="00092DD7">
        <w:rPr>
          <w:rFonts w:eastAsia="Calibri"/>
          <w:szCs w:val="20"/>
          <w:lang w:eastAsia="en-US"/>
        </w:rPr>
        <w:t xml:space="preserve">Таким образом, можно заключить, что на территориальное общественное самоуправление в Краснодарском крае опираются в своей деятельности органы </w:t>
      </w:r>
      <w:r w:rsidRPr="00092DD7">
        <w:rPr>
          <w:rFonts w:eastAsia="Calibri"/>
          <w:szCs w:val="20"/>
          <w:lang w:eastAsia="en-US"/>
        </w:rPr>
        <w:lastRenderedPageBreak/>
        <w:t>государственной и муниципальной власти. Данная форма участия населения сохраняет свой потенциал в решении локальных проблем. При этом анализ практики организации ТОС в регионе показал, что при достаточной правовой, методической и финансовой поддержке органы ТОС становятся действенными и эффективными центрами самоорганизации и вовлечения населения в решение вопросов местного значения</w:t>
      </w:r>
      <w:r w:rsidR="009D38CC" w:rsidRPr="009D38CC">
        <w:rPr>
          <w:rFonts w:eastAsia="Calibri"/>
          <w:szCs w:val="20"/>
          <w:lang w:eastAsia="en-US"/>
        </w:rPr>
        <w:t xml:space="preserve"> [5]</w:t>
      </w:r>
      <w:r w:rsidRPr="00092DD7">
        <w:rPr>
          <w:rFonts w:eastAsia="Calibri"/>
          <w:szCs w:val="20"/>
          <w:lang w:eastAsia="en-US"/>
        </w:rPr>
        <w:t>.</w:t>
      </w:r>
    </w:p>
    <w:p w14:paraId="713E4685" w14:textId="77777777" w:rsidR="007551B6" w:rsidRPr="001271C5" w:rsidRDefault="007551B6" w:rsidP="007551B6">
      <w:pPr>
        <w:tabs>
          <w:tab w:val="left" w:pos="1134"/>
        </w:tabs>
        <w:spacing w:line="360" w:lineRule="auto"/>
        <w:ind w:firstLine="709"/>
        <w:jc w:val="both"/>
        <w:rPr>
          <w:rFonts w:eastAsia="Calibri"/>
          <w:sz w:val="28"/>
          <w:szCs w:val="22"/>
          <w:lang w:eastAsia="en-US"/>
        </w:rPr>
      </w:pPr>
    </w:p>
    <w:p w14:paraId="7D2442F7" w14:textId="77777777" w:rsidR="007551B6" w:rsidRPr="007551B6" w:rsidRDefault="007551B6" w:rsidP="007551B6">
      <w:pPr>
        <w:spacing w:line="360" w:lineRule="auto"/>
        <w:jc w:val="center"/>
        <w:rPr>
          <w:rFonts w:eastAsia="Calibri"/>
          <w:b/>
          <w:iCs/>
          <w:szCs w:val="20"/>
          <w:lang w:eastAsia="en-US"/>
        </w:rPr>
      </w:pPr>
      <w:r w:rsidRPr="007551B6">
        <w:rPr>
          <w:rFonts w:eastAsia="Calibri"/>
          <w:b/>
          <w:iCs/>
          <w:szCs w:val="20"/>
          <w:lang w:eastAsia="en-US"/>
        </w:rPr>
        <w:t>Библиографический список</w:t>
      </w:r>
    </w:p>
    <w:p w14:paraId="7329F83C" w14:textId="77777777" w:rsidR="007551B6" w:rsidRPr="001271C5" w:rsidRDefault="007551B6" w:rsidP="007551B6">
      <w:pPr>
        <w:ind w:firstLine="709"/>
        <w:jc w:val="both"/>
        <w:rPr>
          <w:rFonts w:eastAsia="Calibri"/>
          <w:bCs/>
          <w:szCs w:val="22"/>
          <w:lang w:eastAsia="en-US"/>
        </w:rPr>
      </w:pPr>
    </w:p>
    <w:p w14:paraId="550A3A76" w14:textId="4895BC96" w:rsidR="009D38CC" w:rsidRPr="009D38CC" w:rsidRDefault="009D38CC" w:rsidP="009D38CC">
      <w:pPr>
        <w:tabs>
          <w:tab w:val="left" w:pos="1134"/>
        </w:tabs>
        <w:ind w:firstLine="709"/>
        <w:jc w:val="both"/>
        <w:rPr>
          <w:rFonts w:eastAsia="Calibri"/>
          <w:bCs/>
          <w:szCs w:val="22"/>
          <w:lang w:eastAsia="en-US"/>
        </w:rPr>
      </w:pPr>
      <w:r w:rsidRPr="009D38CC">
        <w:rPr>
          <w:rFonts w:eastAsia="Calibri"/>
          <w:bCs/>
          <w:szCs w:val="22"/>
          <w:lang w:eastAsia="en-US"/>
        </w:rPr>
        <w:t>1.</w:t>
      </w:r>
      <w:r w:rsidRPr="009D38CC">
        <w:rPr>
          <w:rFonts w:eastAsia="Calibri"/>
          <w:bCs/>
          <w:szCs w:val="22"/>
          <w:lang w:eastAsia="en-US"/>
        </w:rPr>
        <w:tab/>
        <w:t xml:space="preserve">Сборник лучших муниципальных практик по итогам 2019 года. </w:t>
      </w:r>
      <w:proofErr w:type="gramStart"/>
      <w:r w:rsidRPr="009D38CC">
        <w:rPr>
          <w:rFonts w:eastAsia="Calibri"/>
          <w:bCs/>
          <w:szCs w:val="22"/>
          <w:lang w:eastAsia="en-US"/>
        </w:rPr>
        <w:t>URL:https://minjust.gov.ru/uploaded/files/9-sbornik-lmp-2019.pdf</w:t>
      </w:r>
      <w:proofErr w:type="gramEnd"/>
      <w:r w:rsidRPr="009D38CC">
        <w:rPr>
          <w:rFonts w:eastAsia="Calibri"/>
          <w:bCs/>
          <w:szCs w:val="22"/>
          <w:lang w:eastAsia="en-US"/>
        </w:rPr>
        <w:t>. – (дата обращения: 10.0</w:t>
      </w:r>
      <w:r>
        <w:rPr>
          <w:rFonts w:eastAsia="Calibri"/>
          <w:bCs/>
          <w:szCs w:val="22"/>
          <w:lang w:eastAsia="en-US"/>
        </w:rPr>
        <w:t>3</w:t>
      </w:r>
      <w:r w:rsidRPr="009D38CC">
        <w:rPr>
          <w:rFonts w:eastAsia="Calibri"/>
          <w:bCs/>
          <w:szCs w:val="22"/>
          <w:lang w:eastAsia="en-US"/>
        </w:rPr>
        <w:t>.202</w:t>
      </w:r>
      <w:r>
        <w:rPr>
          <w:rFonts w:eastAsia="Calibri"/>
          <w:bCs/>
          <w:szCs w:val="22"/>
          <w:lang w:eastAsia="en-US"/>
        </w:rPr>
        <w:t>4</w:t>
      </w:r>
      <w:r w:rsidRPr="009D38CC">
        <w:rPr>
          <w:rFonts w:eastAsia="Calibri"/>
          <w:bCs/>
          <w:szCs w:val="22"/>
          <w:lang w:eastAsia="en-US"/>
        </w:rPr>
        <w:t>). – Текст электронный.</w:t>
      </w:r>
    </w:p>
    <w:p w14:paraId="0471B3D0" w14:textId="77777777" w:rsidR="009D38CC" w:rsidRPr="009D38CC" w:rsidRDefault="009D38CC" w:rsidP="009D38CC">
      <w:pPr>
        <w:tabs>
          <w:tab w:val="left" w:pos="1134"/>
        </w:tabs>
        <w:ind w:firstLine="709"/>
        <w:jc w:val="both"/>
        <w:rPr>
          <w:rFonts w:eastAsia="Calibri"/>
          <w:bCs/>
          <w:szCs w:val="22"/>
          <w:lang w:eastAsia="en-US"/>
        </w:rPr>
      </w:pPr>
      <w:r w:rsidRPr="009D38CC">
        <w:rPr>
          <w:rFonts w:eastAsia="Calibri"/>
          <w:bCs/>
          <w:szCs w:val="22"/>
          <w:lang w:eastAsia="en-US"/>
        </w:rPr>
        <w:t>2.</w:t>
      </w:r>
      <w:r w:rsidRPr="009D38CC">
        <w:rPr>
          <w:rFonts w:eastAsia="Calibri"/>
          <w:bCs/>
          <w:szCs w:val="22"/>
          <w:lang w:eastAsia="en-US"/>
        </w:rPr>
        <w:tab/>
        <w:t xml:space="preserve">Склярова Л.А. Практика организации обратной связи с населением </w:t>
      </w:r>
      <w:proofErr w:type="spellStart"/>
      <w:r w:rsidRPr="009D38CC">
        <w:rPr>
          <w:rFonts w:eastAsia="Calibri"/>
          <w:bCs/>
          <w:szCs w:val="22"/>
          <w:lang w:eastAsia="en-US"/>
        </w:rPr>
        <w:t>Новопавловского</w:t>
      </w:r>
      <w:proofErr w:type="spellEnd"/>
      <w:r w:rsidRPr="009D38CC">
        <w:rPr>
          <w:rFonts w:eastAsia="Calibri"/>
          <w:bCs/>
          <w:szCs w:val="22"/>
          <w:lang w:eastAsia="en-US"/>
        </w:rPr>
        <w:t xml:space="preserve"> сельского поселения Белоглинского района Краснодарского края: </w:t>
      </w:r>
      <w:proofErr w:type="spellStart"/>
      <w:r w:rsidRPr="009D38CC">
        <w:rPr>
          <w:rFonts w:eastAsia="Calibri"/>
          <w:bCs/>
          <w:szCs w:val="22"/>
          <w:lang w:eastAsia="en-US"/>
        </w:rPr>
        <w:t>Cборник</w:t>
      </w:r>
      <w:proofErr w:type="spellEnd"/>
      <w:r w:rsidRPr="009D38CC">
        <w:rPr>
          <w:rFonts w:eastAsia="Calibri"/>
          <w:bCs/>
          <w:szCs w:val="22"/>
          <w:lang w:eastAsia="en-US"/>
        </w:rPr>
        <w:t xml:space="preserve"> материалов IV ежегодной Конференции Всероссийского совета местного самоуправления «Местное самоуправление: служение и ответственность» / под ред. С. А. Романовой. – М., 2018. – С. 54–57. – ISBN 968-5-4875-0422-8. – Текст непосредственный.</w:t>
      </w:r>
    </w:p>
    <w:p w14:paraId="190BD81B" w14:textId="3316E14F" w:rsidR="009D38CC" w:rsidRPr="009D38CC" w:rsidRDefault="009D38CC" w:rsidP="009D38CC">
      <w:pPr>
        <w:tabs>
          <w:tab w:val="left" w:pos="1134"/>
        </w:tabs>
        <w:ind w:firstLine="709"/>
        <w:jc w:val="both"/>
        <w:rPr>
          <w:rFonts w:eastAsia="Calibri"/>
          <w:bCs/>
          <w:szCs w:val="22"/>
          <w:lang w:eastAsia="en-US"/>
        </w:rPr>
      </w:pPr>
      <w:r w:rsidRPr="009D38CC">
        <w:rPr>
          <w:rFonts w:eastAsia="Calibri"/>
          <w:bCs/>
          <w:szCs w:val="22"/>
          <w:lang w:eastAsia="en-US"/>
        </w:rPr>
        <w:t>3.</w:t>
      </w:r>
      <w:r w:rsidRPr="009D38CC">
        <w:rPr>
          <w:rFonts w:eastAsia="Calibri"/>
          <w:bCs/>
          <w:szCs w:val="22"/>
          <w:lang w:eastAsia="en-US"/>
        </w:rPr>
        <w:tab/>
      </w:r>
      <w:proofErr w:type="spellStart"/>
      <w:r w:rsidRPr="009D38CC">
        <w:rPr>
          <w:rFonts w:eastAsia="Calibri"/>
          <w:bCs/>
          <w:szCs w:val="22"/>
          <w:lang w:eastAsia="en-US"/>
        </w:rPr>
        <w:t>Старосек</w:t>
      </w:r>
      <w:proofErr w:type="spellEnd"/>
      <w:r w:rsidRPr="009D38CC">
        <w:rPr>
          <w:rFonts w:eastAsia="Calibri"/>
          <w:bCs/>
          <w:szCs w:val="22"/>
          <w:lang w:eastAsia="en-US"/>
        </w:rPr>
        <w:t xml:space="preserve"> А.К. Роль сельских сходов в обеспечении участия местных сообществ в управлении на местах / А.К. </w:t>
      </w:r>
      <w:proofErr w:type="spellStart"/>
      <w:r w:rsidRPr="009D38CC">
        <w:rPr>
          <w:rFonts w:eastAsia="Calibri"/>
          <w:bCs/>
          <w:szCs w:val="22"/>
          <w:lang w:eastAsia="en-US"/>
        </w:rPr>
        <w:t>Старосек</w:t>
      </w:r>
      <w:proofErr w:type="spellEnd"/>
      <w:r w:rsidRPr="009D38CC">
        <w:rPr>
          <w:rFonts w:eastAsia="Calibri"/>
          <w:bCs/>
          <w:szCs w:val="22"/>
          <w:lang w:eastAsia="en-US"/>
        </w:rPr>
        <w:t xml:space="preserve"> // Вестник Забайкальского государственного университета. – 2019. – № 2. – С. 105-113. // </w:t>
      </w:r>
      <w:proofErr w:type="gramStart"/>
      <w:r w:rsidRPr="009D38CC">
        <w:rPr>
          <w:rFonts w:eastAsia="Calibri"/>
          <w:bCs/>
          <w:szCs w:val="22"/>
          <w:lang w:eastAsia="en-US"/>
        </w:rPr>
        <w:t>Лань :</w:t>
      </w:r>
      <w:proofErr w:type="gramEnd"/>
      <w:r w:rsidRPr="009D38CC">
        <w:rPr>
          <w:rFonts w:eastAsia="Calibri"/>
          <w:bCs/>
          <w:szCs w:val="22"/>
          <w:lang w:eastAsia="en-US"/>
        </w:rPr>
        <w:t xml:space="preserve"> электронно-библиотечная система. – URL: https://e.lanbook.com/journal/issue/310268 (дата обращения: 10.0</w:t>
      </w:r>
      <w:r>
        <w:rPr>
          <w:rFonts w:eastAsia="Calibri"/>
          <w:bCs/>
          <w:szCs w:val="22"/>
          <w:lang w:eastAsia="en-US"/>
        </w:rPr>
        <w:t>3</w:t>
      </w:r>
      <w:r w:rsidRPr="009D38CC">
        <w:rPr>
          <w:rFonts w:eastAsia="Calibri"/>
          <w:bCs/>
          <w:szCs w:val="22"/>
          <w:lang w:eastAsia="en-US"/>
        </w:rPr>
        <w:t>.202</w:t>
      </w:r>
      <w:r>
        <w:rPr>
          <w:rFonts w:eastAsia="Calibri"/>
          <w:bCs/>
          <w:szCs w:val="22"/>
          <w:lang w:eastAsia="en-US"/>
        </w:rPr>
        <w:t>4</w:t>
      </w:r>
      <w:r w:rsidRPr="009D38CC">
        <w:rPr>
          <w:rFonts w:eastAsia="Calibri"/>
          <w:bCs/>
          <w:szCs w:val="22"/>
          <w:lang w:eastAsia="en-US"/>
        </w:rPr>
        <w:t xml:space="preserve">). – ISSN 2227-9245. – </w:t>
      </w:r>
      <w:proofErr w:type="gramStart"/>
      <w:r w:rsidRPr="009D38CC">
        <w:rPr>
          <w:rFonts w:eastAsia="Calibri"/>
          <w:bCs/>
          <w:szCs w:val="22"/>
          <w:lang w:eastAsia="en-US"/>
        </w:rPr>
        <w:t>Текст :</w:t>
      </w:r>
      <w:proofErr w:type="gramEnd"/>
      <w:r w:rsidRPr="009D38CC">
        <w:rPr>
          <w:rFonts w:eastAsia="Calibri"/>
          <w:bCs/>
          <w:szCs w:val="22"/>
          <w:lang w:eastAsia="en-US"/>
        </w:rPr>
        <w:t xml:space="preserve"> электронный. </w:t>
      </w:r>
    </w:p>
    <w:p w14:paraId="766E375B" w14:textId="48C101F3" w:rsidR="009D38CC" w:rsidRPr="009D38CC" w:rsidRDefault="009D38CC" w:rsidP="009D38CC">
      <w:pPr>
        <w:tabs>
          <w:tab w:val="left" w:pos="1134"/>
        </w:tabs>
        <w:ind w:firstLine="709"/>
        <w:jc w:val="both"/>
        <w:rPr>
          <w:rFonts w:eastAsia="Calibri"/>
          <w:bCs/>
          <w:szCs w:val="22"/>
          <w:lang w:eastAsia="en-US"/>
        </w:rPr>
      </w:pPr>
      <w:r w:rsidRPr="009D38CC">
        <w:rPr>
          <w:rFonts w:eastAsia="Calibri"/>
          <w:bCs/>
          <w:szCs w:val="22"/>
          <w:lang w:eastAsia="en-US"/>
        </w:rPr>
        <w:t>4.</w:t>
      </w:r>
      <w:r w:rsidRPr="009D38CC">
        <w:rPr>
          <w:rFonts w:eastAsia="Calibri"/>
          <w:bCs/>
          <w:szCs w:val="22"/>
          <w:lang w:eastAsia="en-US"/>
        </w:rPr>
        <w:tab/>
        <w:t xml:space="preserve">Терешина М.В. Развитие методологической концепции «зеленой» экономики в контексте местных сообществ / М.В. Терешина, И.С. Башмаков // Лесотехнический журнал. – 2017. – № 4. – С. 281-288 // </w:t>
      </w:r>
      <w:proofErr w:type="gramStart"/>
      <w:r w:rsidRPr="009D38CC">
        <w:rPr>
          <w:rFonts w:eastAsia="Calibri"/>
          <w:bCs/>
          <w:szCs w:val="22"/>
          <w:lang w:eastAsia="en-US"/>
        </w:rPr>
        <w:t>Лань :</w:t>
      </w:r>
      <w:proofErr w:type="gramEnd"/>
      <w:r w:rsidRPr="009D38CC">
        <w:rPr>
          <w:rFonts w:eastAsia="Calibri"/>
          <w:bCs/>
          <w:szCs w:val="22"/>
          <w:lang w:eastAsia="en-US"/>
        </w:rPr>
        <w:t xml:space="preserve"> электронно-библиотечная система. – URL: https://e.lanbook.com/journal/issue/306648 (дата обращения: 11.0</w:t>
      </w:r>
      <w:r>
        <w:rPr>
          <w:rFonts w:eastAsia="Calibri"/>
          <w:bCs/>
          <w:szCs w:val="22"/>
          <w:lang w:eastAsia="en-US"/>
        </w:rPr>
        <w:t>3</w:t>
      </w:r>
      <w:r w:rsidRPr="009D38CC">
        <w:rPr>
          <w:rFonts w:eastAsia="Calibri"/>
          <w:bCs/>
          <w:szCs w:val="22"/>
          <w:lang w:eastAsia="en-US"/>
        </w:rPr>
        <w:t>.202</w:t>
      </w:r>
      <w:r>
        <w:rPr>
          <w:rFonts w:eastAsia="Calibri"/>
          <w:bCs/>
          <w:szCs w:val="22"/>
          <w:lang w:eastAsia="en-US"/>
        </w:rPr>
        <w:t>4</w:t>
      </w:r>
      <w:r w:rsidRPr="009D38CC">
        <w:rPr>
          <w:rFonts w:eastAsia="Calibri"/>
          <w:bCs/>
          <w:szCs w:val="22"/>
          <w:lang w:eastAsia="en-US"/>
        </w:rPr>
        <w:t xml:space="preserve">). – ISSN 2222-7962. – </w:t>
      </w:r>
      <w:proofErr w:type="gramStart"/>
      <w:r w:rsidRPr="009D38CC">
        <w:rPr>
          <w:rFonts w:eastAsia="Calibri"/>
          <w:bCs/>
          <w:szCs w:val="22"/>
          <w:lang w:eastAsia="en-US"/>
        </w:rPr>
        <w:t>Текст :</w:t>
      </w:r>
      <w:proofErr w:type="gramEnd"/>
      <w:r w:rsidRPr="009D38CC">
        <w:rPr>
          <w:rFonts w:eastAsia="Calibri"/>
          <w:bCs/>
          <w:szCs w:val="22"/>
          <w:lang w:eastAsia="en-US"/>
        </w:rPr>
        <w:t xml:space="preserve"> электронный.</w:t>
      </w:r>
    </w:p>
    <w:p w14:paraId="28FB53F8" w14:textId="11964853" w:rsidR="009D38CC" w:rsidRDefault="009D38CC" w:rsidP="009D38CC">
      <w:pPr>
        <w:tabs>
          <w:tab w:val="left" w:pos="1134"/>
        </w:tabs>
        <w:ind w:firstLine="709"/>
        <w:jc w:val="both"/>
        <w:rPr>
          <w:rFonts w:eastAsia="Calibri"/>
          <w:bCs/>
          <w:szCs w:val="22"/>
          <w:lang w:eastAsia="en-US"/>
        </w:rPr>
      </w:pPr>
      <w:r w:rsidRPr="009D38CC">
        <w:rPr>
          <w:rFonts w:eastAsia="Calibri"/>
          <w:bCs/>
          <w:szCs w:val="22"/>
          <w:lang w:eastAsia="en-US"/>
        </w:rPr>
        <w:t>5.</w:t>
      </w:r>
      <w:r w:rsidRPr="009D38CC">
        <w:rPr>
          <w:rFonts w:eastAsia="Calibri"/>
          <w:bCs/>
          <w:szCs w:val="22"/>
          <w:lang w:eastAsia="en-US"/>
        </w:rPr>
        <w:tab/>
        <w:t xml:space="preserve">Тимофеева Н.С. Стратегическое планирование как важнейший элемент менеджмента устойчивого развития сельских территорий / Н.С. Тимофеева // Вестник КемГУ. Серия: Политические, социологические и экономические науки. – 2019. – № 1. – С. 143-148. // </w:t>
      </w:r>
      <w:proofErr w:type="gramStart"/>
      <w:r w:rsidRPr="009D38CC">
        <w:rPr>
          <w:rFonts w:eastAsia="Calibri"/>
          <w:bCs/>
          <w:szCs w:val="22"/>
          <w:lang w:eastAsia="en-US"/>
        </w:rPr>
        <w:t>Лань :</w:t>
      </w:r>
      <w:proofErr w:type="gramEnd"/>
      <w:r w:rsidRPr="009D38CC">
        <w:rPr>
          <w:rFonts w:eastAsia="Calibri"/>
          <w:bCs/>
          <w:szCs w:val="22"/>
          <w:lang w:eastAsia="en-US"/>
        </w:rPr>
        <w:t xml:space="preserve"> электронно-библиотечная система. – URL: https://e.lanbook.com/journal/issue/310681 (дата обращения: 13.0</w:t>
      </w:r>
      <w:r>
        <w:rPr>
          <w:rFonts w:eastAsia="Calibri"/>
          <w:bCs/>
          <w:szCs w:val="22"/>
          <w:lang w:eastAsia="en-US"/>
        </w:rPr>
        <w:t>3</w:t>
      </w:r>
      <w:r w:rsidRPr="009D38CC">
        <w:rPr>
          <w:rFonts w:eastAsia="Calibri"/>
          <w:bCs/>
          <w:szCs w:val="22"/>
          <w:lang w:eastAsia="en-US"/>
        </w:rPr>
        <w:t>.202</w:t>
      </w:r>
      <w:r>
        <w:rPr>
          <w:rFonts w:eastAsia="Calibri"/>
          <w:bCs/>
          <w:szCs w:val="22"/>
          <w:lang w:eastAsia="en-US"/>
        </w:rPr>
        <w:t>4</w:t>
      </w:r>
      <w:r w:rsidRPr="009D38CC">
        <w:rPr>
          <w:rFonts w:eastAsia="Calibri"/>
          <w:bCs/>
          <w:szCs w:val="22"/>
          <w:lang w:eastAsia="en-US"/>
        </w:rPr>
        <w:t xml:space="preserve">). – ISSN 2500-3372. – </w:t>
      </w:r>
      <w:proofErr w:type="gramStart"/>
      <w:r w:rsidRPr="009D38CC">
        <w:rPr>
          <w:rFonts w:eastAsia="Calibri"/>
          <w:bCs/>
          <w:szCs w:val="22"/>
          <w:lang w:eastAsia="en-US"/>
        </w:rPr>
        <w:t>Текст :</w:t>
      </w:r>
      <w:proofErr w:type="gramEnd"/>
      <w:r w:rsidRPr="009D38CC">
        <w:rPr>
          <w:rFonts w:eastAsia="Calibri"/>
          <w:bCs/>
          <w:szCs w:val="22"/>
          <w:lang w:eastAsia="en-US"/>
        </w:rPr>
        <w:t xml:space="preserve"> электронный.</w:t>
      </w:r>
    </w:p>
    <w:p w14:paraId="6F14595F" w14:textId="50F2336C" w:rsidR="003C2907" w:rsidRDefault="003C2907" w:rsidP="007551B6">
      <w:pPr>
        <w:tabs>
          <w:tab w:val="left" w:pos="1134"/>
        </w:tabs>
        <w:ind w:firstLine="709"/>
      </w:pPr>
    </w:p>
    <w:p w14:paraId="32916EBC" w14:textId="77777777" w:rsidR="00C00AE1" w:rsidRPr="003D4425" w:rsidRDefault="00C00AE1" w:rsidP="00C00AE1">
      <w:pPr>
        <w:pStyle w:val="a4"/>
        <w:jc w:val="both"/>
        <w:rPr>
          <w:rFonts w:ascii="Times New Roman" w:hAnsi="Times New Roman"/>
          <w:sz w:val="24"/>
          <w:szCs w:val="24"/>
        </w:rPr>
      </w:pPr>
    </w:p>
    <w:p w14:paraId="1051EBCE" w14:textId="547A45FE" w:rsidR="00C00AE1" w:rsidRDefault="00C00AE1" w:rsidP="00C00AE1">
      <w:pPr>
        <w:jc w:val="center"/>
        <w:rPr>
          <w:b/>
          <w:bCs/>
          <w:color w:val="333333"/>
          <w:shd w:val="clear" w:color="auto" w:fill="FFFFFF"/>
        </w:rPr>
      </w:pPr>
      <w:r w:rsidRPr="00855F78">
        <w:rPr>
          <w:b/>
          <w:bCs/>
          <w:color w:val="333333"/>
          <w:shd w:val="clear" w:color="auto" w:fill="FFFFFF"/>
        </w:rPr>
        <w:t>Информация</w:t>
      </w:r>
      <w:r w:rsidRPr="006E6EBA">
        <w:rPr>
          <w:b/>
          <w:bCs/>
          <w:color w:val="333333"/>
          <w:shd w:val="clear" w:color="auto" w:fill="FFFFFF"/>
        </w:rPr>
        <w:t xml:space="preserve"> </w:t>
      </w:r>
      <w:r w:rsidRPr="00855F78">
        <w:rPr>
          <w:b/>
          <w:bCs/>
          <w:color w:val="333333"/>
          <w:shd w:val="clear" w:color="auto" w:fill="FFFFFF"/>
        </w:rPr>
        <w:t>об</w:t>
      </w:r>
      <w:r w:rsidRPr="006E6EBA">
        <w:rPr>
          <w:b/>
          <w:bCs/>
          <w:color w:val="333333"/>
          <w:shd w:val="clear" w:color="auto" w:fill="FFFFFF"/>
        </w:rPr>
        <w:t xml:space="preserve"> </w:t>
      </w:r>
      <w:r>
        <w:rPr>
          <w:b/>
          <w:bCs/>
          <w:color w:val="333333"/>
          <w:shd w:val="clear" w:color="auto" w:fill="FFFFFF"/>
        </w:rPr>
        <w:t>авторах</w:t>
      </w:r>
    </w:p>
    <w:p w14:paraId="71DC15DC" w14:textId="77777777" w:rsidR="00C00AE1" w:rsidRPr="00CD633A" w:rsidRDefault="00C00AE1" w:rsidP="00C00AE1">
      <w:pPr>
        <w:jc w:val="both"/>
        <w:rPr>
          <w:b/>
          <w:bCs/>
          <w:color w:val="333333"/>
          <w:shd w:val="clear" w:color="auto" w:fill="FFFFFF"/>
        </w:rPr>
      </w:pPr>
    </w:p>
    <w:p w14:paraId="5306C866" w14:textId="5642AEDB" w:rsidR="00C00AE1" w:rsidRPr="000038B8" w:rsidRDefault="00C00AE1" w:rsidP="00C00AE1">
      <w:pPr>
        <w:suppressAutoHyphens/>
        <w:ind w:firstLine="777"/>
        <w:jc w:val="both"/>
        <w:rPr>
          <w:lang w:val="en-US"/>
        </w:rPr>
      </w:pPr>
      <w:r w:rsidRPr="00B91F58">
        <w:t>Бабичев К</w:t>
      </w:r>
      <w:r>
        <w:t xml:space="preserve">онстантин Николаевич (Россия, Краснодар) - </w:t>
      </w:r>
      <w:r w:rsidRPr="00B91F58">
        <w:rPr>
          <w:rFonts w:eastAsia="DejaVu Sans"/>
          <w:iCs/>
          <w:lang w:eastAsia="zh-CN"/>
        </w:rPr>
        <w:t xml:space="preserve">к.э.н., доцент, </w:t>
      </w:r>
      <w:r w:rsidRPr="00855F78">
        <w:t>Федеральное государственное бюджетное</w:t>
      </w:r>
      <w:r>
        <w:t xml:space="preserve"> образовательное</w:t>
      </w:r>
      <w:r w:rsidRPr="00855F78">
        <w:t xml:space="preserve"> учреждение</w:t>
      </w:r>
      <w:r>
        <w:t xml:space="preserve"> высшего образования</w:t>
      </w:r>
      <w:r w:rsidRPr="00855F78">
        <w:t xml:space="preserve"> </w:t>
      </w:r>
      <w:r w:rsidRPr="00B91F58">
        <w:rPr>
          <w:rFonts w:eastAsia="DejaVu Sans"/>
          <w:iCs/>
          <w:lang w:eastAsia="zh-CN"/>
        </w:rPr>
        <w:t>Кубанский государственный университет</w:t>
      </w:r>
      <w:r>
        <w:rPr>
          <w:rFonts w:eastAsia="DejaVu Sans"/>
          <w:iCs/>
          <w:lang w:eastAsia="zh-CN"/>
        </w:rPr>
        <w:t xml:space="preserve"> (350040</w:t>
      </w:r>
      <w:r w:rsidRPr="00B91F58">
        <w:rPr>
          <w:rFonts w:eastAsia="DejaVu Sans"/>
          <w:iCs/>
          <w:lang w:eastAsia="zh-CN"/>
        </w:rPr>
        <w:t>,</w:t>
      </w:r>
      <w:r>
        <w:rPr>
          <w:rFonts w:eastAsia="DejaVu Sans"/>
          <w:iCs/>
          <w:lang w:eastAsia="zh-CN"/>
        </w:rPr>
        <w:t xml:space="preserve"> Россия,</w:t>
      </w:r>
      <w:r w:rsidRPr="00B91F58">
        <w:rPr>
          <w:rFonts w:eastAsia="DejaVu Sans"/>
          <w:iCs/>
          <w:lang w:eastAsia="zh-CN"/>
        </w:rPr>
        <w:t xml:space="preserve"> г. Краснодар</w:t>
      </w:r>
      <w:r>
        <w:rPr>
          <w:rFonts w:eastAsia="DejaVu Sans"/>
          <w:iCs/>
          <w:lang w:eastAsia="zh-CN"/>
        </w:rPr>
        <w:t>, ул. Ставропольская</w:t>
      </w:r>
      <w:r w:rsidRPr="000038B8">
        <w:rPr>
          <w:rFonts w:eastAsia="DejaVu Sans"/>
          <w:iCs/>
          <w:lang w:val="en-US" w:eastAsia="zh-CN"/>
        </w:rPr>
        <w:t xml:space="preserve">, 149), </w:t>
      </w:r>
      <w:r w:rsidRPr="00855F78">
        <w:rPr>
          <w:lang w:val="en-US"/>
        </w:rPr>
        <w:t>e</w:t>
      </w:r>
      <w:r w:rsidRPr="000038B8">
        <w:rPr>
          <w:lang w:val="en-US"/>
        </w:rPr>
        <w:t>-</w:t>
      </w:r>
      <w:r w:rsidRPr="00855F78">
        <w:rPr>
          <w:lang w:val="en-US"/>
        </w:rPr>
        <w:t>mail</w:t>
      </w:r>
      <w:r w:rsidRPr="000038B8">
        <w:rPr>
          <w:lang w:val="en-US"/>
        </w:rPr>
        <w:t>:</w:t>
      </w:r>
    </w:p>
    <w:p w14:paraId="573AE4FE" w14:textId="59406777" w:rsidR="00C00AE1" w:rsidRPr="00C00AE1" w:rsidRDefault="00C00AE1" w:rsidP="00C00AE1">
      <w:pPr>
        <w:suppressAutoHyphens/>
        <w:jc w:val="both"/>
        <w:rPr>
          <w:rFonts w:ascii="Calibri" w:eastAsia="DejaVu Sans" w:hAnsi="Calibri" w:cs="Calibri"/>
          <w:lang w:val="en-US" w:eastAsia="zh-CN"/>
        </w:rPr>
      </w:pPr>
      <w:r>
        <w:rPr>
          <w:lang w:val="en-US"/>
        </w:rPr>
        <w:t>babichevk@list.ru</w:t>
      </w:r>
    </w:p>
    <w:p w14:paraId="5487315E" w14:textId="4642DD07" w:rsidR="00C00AE1" w:rsidRPr="00C00AE1" w:rsidRDefault="00C00AE1" w:rsidP="00C00AE1">
      <w:pPr>
        <w:ind w:firstLine="708"/>
        <w:jc w:val="both"/>
        <w:rPr>
          <w:lang w:val="en-US"/>
        </w:rPr>
      </w:pPr>
    </w:p>
    <w:p w14:paraId="1B101F23" w14:textId="77777777" w:rsidR="00C00AE1" w:rsidRPr="00C00AE1" w:rsidRDefault="00C00AE1" w:rsidP="00C00AE1">
      <w:pPr>
        <w:ind w:firstLine="709"/>
        <w:jc w:val="both"/>
        <w:rPr>
          <w:lang w:val="en-US"/>
        </w:rPr>
      </w:pPr>
    </w:p>
    <w:p w14:paraId="5A9F3414" w14:textId="29AE606B" w:rsidR="00C00AE1" w:rsidRDefault="00C00AE1" w:rsidP="00C00AE1">
      <w:pPr>
        <w:ind w:firstLine="709"/>
        <w:jc w:val="right"/>
        <w:rPr>
          <w:lang w:val="en-US"/>
        </w:rPr>
      </w:pPr>
      <w:r w:rsidRPr="007551B6">
        <w:rPr>
          <w:rFonts w:eastAsia="Calibri"/>
          <w:b/>
          <w:szCs w:val="20"/>
          <w:lang w:val="en-US" w:eastAsia="en-US"/>
        </w:rPr>
        <w:t>K.N. Babichev</w:t>
      </w:r>
    </w:p>
    <w:p w14:paraId="5533A568" w14:textId="77777777" w:rsidR="00305550" w:rsidRPr="00305550" w:rsidRDefault="00305550" w:rsidP="00305550">
      <w:pPr>
        <w:jc w:val="center"/>
        <w:rPr>
          <w:rFonts w:eastAsia="Calibri"/>
          <w:b/>
          <w:bCs/>
          <w:sz w:val="22"/>
          <w:szCs w:val="20"/>
          <w:lang w:val="en-US" w:eastAsia="en-US"/>
        </w:rPr>
      </w:pPr>
      <w:r w:rsidRPr="00305550">
        <w:rPr>
          <w:rFonts w:eastAsia="Calibri"/>
          <w:b/>
          <w:bCs/>
          <w:sz w:val="22"/>
          <w:szCs w:val="20"/>
          <w:lang w:val="en-US" w:eastAsia="en-US"/>
        </w:rPr>
        <w:t>ASSESSMENT OF THE POTENTIAL OPPORTUNITIES FOR CBT DEVELOPMENT IN THE KRASNODAR TERRITORY</w:t>
      </w:r>
    </w:p>
    <w:p w14:paraId="395D6C3C" w14:textId="77777777" w:rsidR="00305550" w:rsidRPr="00305550" w:rsidRDefault="00305550" w:rsidP="00305550">
      <w:pPr>
        <w:ind w:firstLine="709"/>
        <w:jc w:val="both"/>
        <w:rPr>
          <w:rFonts w:eastAsia="Calibri"/>
          <w:sz w:val="22"/>
          <w:szCs w:val="20"/>
          <w:lang w:val="en-US" w:eastAsia="en-US"/>
        </w:rPr>
      </w:pPr>
    </w:p>
    <w:p w14:paraId="500E1163" w14:textId="77777777" w:rsidR="00305550" w:rsidRPr="00305550" w:rsidRDefault="00305550" w:rsidP="00305550">
      <w:pPr>
        <w:ind w:firstLine="709"/>
        <w:jc w:val="both"/>
        <w:rPr>
          <w:rFonts w:eastAsia="Calibri"/>
          <w:sz w:val="22"/>
          <w:szCs w:val="20"/>
          <w:lang w:val="en-US" w:eastAsia="en-US"/>
        </w:rPr>
      </w:pPr>
      <w:r w:rsidRPr="00305550">
        <w:rPr>
          <w:rFonts w:eastAsia="Calibri"/>
          <w:b/>
          <w:bCs/>
          <w:sz w:val="22"/>
          <w:szCs w:val="20"/>
          <w:lang w:val="en-US" w:eastAsia="en-US"/>
        </w:rPr>
        <w:t>Abstract:</w:t>
      </w:r>
      <w:r w:rsidRPr="00305550">
        <w:rPr>
          <w:rFonts w:eastAsia="Calibri"/>
          <w:sz w:val="22"/>
          <w:szCs w:val="20"/>
          <w:lang w:val="en-US" w:eastAsia="en-US"/>
        </w:rPr>
        <w:t xml:space="preserve"> this article analyzes the activities of the Institute of Territorial Public Self-Government (CBT) in the Krasnodar Territory, suggests areas of activity and tools for improving the mechanisms of interaction between CBT bodies with authorities, business, the public, initiative groups, etc.</w:t>
      </w:r>
    </w:p>
    <w:p w14:paraId="168B3CB2" w14:textId="46BDE9C4" w:rsidR="00305550" w:rsidRPr="007551B6" w:rsidRDefault="00305550" w:rsidP="00305550">
      <w:pPr>
        <w:ind w:firstLine="709"/>
        <w:jc w:val="both"/>
        <w:rPr>
          <w:rFonts w:eastAsia="Calibri"/>
          <w:sz w:val="22"/>
          <w:szCs w:val="20"/>
          <w:lang w:val="en-US" w:eastAsia="en-US"/>
        </w:rPr>
      </w:pPr>
      <w:r w:rsidRPr="00305550">
        <w:rPr>
          <w:rFonts w:eastAsia="Calibri"/>
          <w:b/>
          <w:bCs/>
          <w:sz w:val="22"/>
          <w:szCs w:val="20"/>
          <w:lang w:val="en-US" w:eastAsia="en-US"/>
        </w:rPr>
        <w:t>Keywords:</w:t>
      </w:r>
      <w:r w:rsidRPr="00305550">
        <w:rPr>
          <w:rFonts w:eastAsia="Calibri"/>
          <w:sz w:val="22"/>
          <w:szCs w:val="20"/>
          <w:lang w:val="en-US" w:eastAsia="en-US"/>
        </w:rPr>
        <w:t xml:space="preserve"> Territorial public self-government, initiative group, population, local self-government.</w:t>
      </w:r>
    </w:p>
    <w:p w14:paraId="1533F6A3" w14:textId="77777777" w:rsidR="00C00AE1" w:rsidRPr="004B78FC" w:rsidRDefault="00C00AE1" w:rsidP="00C00AE1">
      <w:pPr>
        <w:ind w:firstLine="709"/>
        <w:jc w:val="both"/>
        <w:rPr>
          <w:b/>
          <w:lang w:val="en-US"/>
        </w:rPr>
      </w:pPr>
    </w:p>
    <w:p w14:paraId="0ECB7FA5" w14:textId="77777777" w:rsidR="00305550" w:rsidRDefault="00305550" w:rsidP="00C23B84">
      <w:pPr>
        <w:jc w:val="center"/>
        <w:rPr>
          <w:b/>
          <w:lang w:val="en-US"/>
        </w:rPr>
      </w:pPr>
    </w:p>
    <w:p w14:paraId="248966B9" w14:textId="77777777" w:rsidR="00305550" w:rsidRDefault="00305550" w:rsidP="00C23B84">
      <w:pPr>
        <w:jc w:val="center"/>
        <w:rPr>
          <w:b/>
          <w:lang w:val="en-US"/>
        </w:rPr>
      </w:pPr>
    </w:p>
    <w:p w14:paraId="05898EA7" w14:textId="2FECA52C" w:rsidR="00C00AE1" w:rsidRPr="004B78FC" w:rsidRDefault="00C00AE1" w:rsidP="00C23B84">
      <w:pPr>
        <w:jc w:val="center"/>
        <w:rPr>
          <w:b/>
          <w:lang w:val="en-US"/>
        </w:rPr>
      </w:pPr>
      <w:r w:rsidRPr="00196BD9">
        <w:rPr>
          <w:b/>
          <w:lang w:val="en-US"/>
        </w:rPr>
        <w:lastRenderedPageBreak/>
        <w:t>About the author</w:t>
      </w:r>
      <w:r>
        <w:rPr>
          <w:b/>
          <w:lang w:val="en-US"/>
        </w:rPr>
        <w:t>s</w:t>
      </w:r>
    </w:p>
    <w:p w14:paraId="6CF6CD8E" w14:textId="110C643F" w:rsidR="00C00AE1" w:rsidRPr="003F316C" w:rsidRDefault="00C00AE1" w:rsidP="00C00AE1">
      <w:pPr>
        <w:ind w:firstLine="709"/>
        <w:jc w:val="both"/>
        <w:rPr>
          <w:lang w:val="en-US"/>
        </w:rPr>
      </w:pPr>
      <w:r w:rsidRPr="00C00AE1">
        <w:rPr>
          <w:lang w:val="en-US"/>
        </w:rPr>
        <w:t xml:space="preserve">Babichev Konstantin Nikolaevich (Krasnodar, Russia) - </w:t>
      </w:r>
      <w:r w:rsidRPr="00B91F58">
        <w:rPr>
          <w:lang w:val="en-US"/>
        </w:rPr>
        <w:t>PhD, associate Professor</w:t>
      </w:r>
      <w:r w:rsidRPr="00C00AE1">
        <w:rPr>
          <w:lang w:val="en-US"/>
        </w:rPr>
        <w:t>, Kuban State University (149 Stavropol str., Krasnodar, 350040, Russia), e-mail:</w:t>
      </w:r>
      <w:r>
        <w:rPr>
          <w:lang w:val="en-US"/>
        </w:rPr>
        <w:t xml:space="preserve"> </w:t>
      </w:r>
      <w:r w:rsidRPr="00C00AE1">
        <w:rPr>
          <w:lang w:val="en-US"/>
        </w:rPr>
        <w:t>babichevk@list.ru</w:t>
      </w:r>
      <w:r w:rsidRPr="003F316C">
        <w:rPr>
          <w:lang w:val="en-US"/>
        </w:rPr>
        <w:t xml:space="preserve"> </w:t>
      </w:r>
    </w:p>
    <w:p w14:paraId="5338B83F" w14:textId="77777777" w:rsidR="00C00AE1" w:rsidRPr="004B78FC" w:rsidRDefault="00C00AE1" w:rsidP="00C00AE1">
      <w:pPr>
        <w:ind w:firstLine="709"/>
        <w:jc w:val="center"/>
        <w:rPr>
          <w:b/>
          <w:lang w:val="en-US"/>
        </w:rPr>
      </w:pPr>
    </w:p>
    <w:p w14:paraId="420125DF" w14:textId="77777777" w:rsidR="00C00AE1" w:rsidRPr="006B0DC6" w:rsidRDefault="00C00AE1" w:rsidP="00C00AE1">
      <w:pPr>
        <w:jc w:val="center"/>
        <w:rPr>
          <w:b/>
          <w:lang w:val="en-US"/>
        </w:rPr>
      </w:pPr>
      <w:r>
        <w:rPr>
          <w:b/>
          <w:lang w:val="en-US"/>
        </w:rPr>
        <w:t>References</w:t>
      </w:r>
    </w:p>
    <w:p w14:paraId="4116C5D0" w14:textId="311BA391" w:rsidR="00C00AE1" w:rsidRDefault="00C00AE1" w:rsidP="00C00AE1">
      <w:pPr>
        <w:ind w:firstLine="709"/>
        <w:jc w:val="center"/>
        <w:rPr>
          <w:b/>
          <w:lang w:val="en-US"/>
        </w:rPr>
      </w:pPr>
    </w:p>
    <w:p w14:paraId="5367D2CA" w14:textId="77777777" w:rsidR="00305550" w:rsidRPr="00305550" w:rsidRDefault="00305550" w:rsidP="00305550">
      <w:pPr>
        <w:ind w:firstLine="709"/>
        <w:jc w:val="both"/>
        <w:rPr>
          <w:bCs/>
          <w:lang w:val="en-US"/>
        </w:rPr>
      </w:pPr>
      <w:r w:rsidRPr="00305550">
        <w:rPr>
          <w:bCs/>
          <w:lang w:val="en-US"/>
        </w:rPr>
        <w:t xml:space="preserve">1. Collection of the best municipal practices based on the results of 2019. </w:t>
      </w:r>
      <w:proofErr w:type="gramStart"/>
      <w:r w:rsidRPr="00305550">
        <w:rPr>
          <w:bCs/>
          <w:lang w:val="en-US"/>
        </w:rPr>
        <w:t>URL:https://minjust.gov.ru/uploaded/files/9-sbornik-lmp-2019.pdf</w:t>
      </w:r>
      <w:proofErr w:type="gramEnd"/>
      <w:r w:rsidRPr="00305550">
        <w:rPr>
          <w:bCs/>
          <w:lang w:val="en-US"/>
        </w:rPr>
        <w:t xml:space="preserve"> . – (date of access: 03/10/2024). – The text is electronic.</w:t>
      </w:r>
    </w:p>
    <w:p w14:paraId="510E8193" w14:textId="77777777" w:rsidR="00305550" w:rsidRPr="00305550" w:rsidRDefault="00305550" w:rsidP="00305550">
      <w:pPr>
        <w:ind w:firstLine="709"/>
        <w:jc w:val="both"/>
        <w:rPr>
          <w:bCs/>
          <w:lang w:val="en-US"/>
        </w:rPr>
      </w:pPr>
      <w:r w:rsidRPr="00305550">
        <w:rPr>
          <w:bCs/>
          <w:lang w:val="en-US"/>
        </w:rPr>
        <w:t xml:space="preserve">2. </w:t>
      </w:r>
      <w:proofErr w:type="spellStart"/>
      <w:r w:rsidRPr="00305550">
        <w:rPr>
          <w:bCs/>
          <w:lang w:val="en-US"/>
        </w:rPr>
        <w:t>Sklyarova</w:t>
      </w:r>
      <w:proofErr w:type="spellEnd"/>
      <w:r w:rsidRPr="00305550">
        <w:rPr>
          <w:bCs/>
          <w:lang w:val="en-US"/>
        </w:rPr>
        <w:t xml:space="preserve"> L.A. The practice of organizing feedback with the population of the </w:t>
      </w:r>
      <w:proofErr w:type="spellStart"/>
      <w:r w:rsidRPr="00305550">
        <w:rPr>
          <w:bCs/>
          <w:lang w:val="en-US"/>
        </w:rPr>
        <w:t>Novopavlovsky</w:t>
      </w:r>
      <w:proofErr w:type="spellEnd"/>
      <w:r w:rsidRPr="00305550">
        <w:rPr>
          <w:bCs/>
          <w:lang w:val="en-US"/>
        </w:rPr>
        <w:t xml:space="preserve"> rural settlement of the </w:t>
      </w:r>
      <w:proofErr w:type="spellStart"/>
      <w:r w:rsidRPr="00305550">
        <w:rPr>
          <w:bCs/>
          <w:lang w:val="en-US"/>
        </w:rPr>
        <w:t>Beloglinsky</w:t>
      </w:r>
      <w:proofErr w:type="spellEnd"/>
      <w:r w:rsidRPr="00305550">
        <w:rPr>
          <w:bCs/>
          <w:lang w:val="en-US"/>
        </w:rPr>
        <w:t xml:space="preserve"> district of the Krasnodar Territory: A collection of materials from the IV annual Conference of the All–Russian Council of Local Self–Government "Local self–government: service and responsibility" / edited by S. A. Romanova. – M., 2018. - pp. 54-57. - ISBN 968-5-4875-0422-8. - Direct text.</w:t>
      </w:r>
    </w:p>
    <w:p w14:paraId="348DB759" w14:textId="77777777" w:rsidR="00305550" w:rsidRPr="00305550" w:rsidRDefault="00305550" w:rsidP="00305550">
      <w:pPr>
        <w:ind w:firstLine="709"/>
        <w:jc w:val="both"/>
        <w:rPr>
          <w:bCs/>
          <w:lang w:val="en-US"/>
        </w:rPr>
      </w:pPr>
      <w:r w:rsidRPr="00305550">
        <w:rPr>
          <w:bCs/>
          <w:lang w:val="en-US"/>
        </w:rPr>
        <w:t xml:space="preserve">3. </w:t>
      </w:r>
      <w:proofErr w:type="spellStart"/>
      <w:r w:rsidRPr="00305550">
        <w:rPr>
          <w:bCs/>
          <w:lang w:val="en-US"/>
        </w:rPr>
        <w:t>Starosek</w:t>
      </w:r>
      <w:proofErr w:type="spellEnd"/>
      <w:r w:rsidRPr="00305550">
        <w:rPr>
          <w:bCs/>
          <w:lang w:val="en-US"/>
        </w:rPr>
        <w:t xml:space="preserve"> A.K. The role of rural gatherings in ensuring the participation of local communities in local government / A.K. </w:t>
      </w:r>
      <w:proofErr w:type="spellStart"/>
      <w:r w:rsidRPr="00305550">
        <w:rPr>
          <w:bCs/>
          <w:lang w:val="en-US"/>
        </w:rPr>
        <w:t>Starosek</w:t>
      </w:r>
      <w:proofErr w:type="spellEnd"/>
      <w:r w:rsidRPr="00305550">
        <w:rPr>
          <w:bCs/>
          <w:lang w:val="en-US"/>
        </w:rPr>
        <w:t xml:space="preserve"> // Bulletin of the Trans-Baikal State University. – 2019. – No. 2. – pp. 105-113. // </w:t>
      </w:r>
      <w:proofErr w:type="gramStart"/>
      <w:r w:rsidRPr="00305550">
        <w:rPr>
          <w:bCs/>
          <w:lang w:val="en-US"/>
        </w:rPr>
        <w:t>Lan :</w:t>
      </w:r>
      <w:proofErr w:type="gramEnd"/>
      <w:r w:rsidRPr="00305550">
        <w:rPr>
          <w:bCs/>
          <w:lang w:val="en-US"/>
        </w:rPr>
        <w:t xml:space="preserve"> electronic library system. – URL: https://e.lanbook.com/journal/issue/310268 (date of application: 03/10/2024). – ISSN 2227-9245. – </w:t>
      </w:r>
      <w:proofErr w:type="gramStart"/>
      <w:r w:rsidRPr="00305550">
        <w:rPr>
          <w:bCs/>
          <w:lang w:val="en-US"/>
        </w:rPr>
        <w:t>Text :</w:t>
      </w:r>
      <w:proofErr w:type="gramEnd"/>
      <w:r w:rsidRPr="00305550">
        <w:rPr>
          <w:bCs/>
          <w:lang w:val="en-US"/>
        </w:rPr>
        <w:t xml:space="preserve"> electronic.</w:t>
      </w:r>
    </w:p>
    <w:p w14:paraId="3BBFAE18" w14:textId="77777777" w:rsidR="00305550" w:rsidRPr="00305550" w:rsidRDefault="00305550" w:rsidP="00305550">
      <w:pPr>
        <w:ind w:firstLine="709"/>
        <w:jc w:val="both"/>
        <w:rPr>
          <w:bCs/>
          <w:lang w:val="en-US"/>
        </w:rPr>
      </w:pPr>
      <w:r w:rsidRPr="00305550">
        <w:rPr>
          <w:bCs/>
          <w:lang w:val="en-US"/>
        </w:rPr>
        <w:t xml:space="preserve">4. </w:t>
      </w:r>
      <w:proofErr w:type="spellStart"/>
      <w:r w:rsidRPr="00305550">
        <w:rPr>
          <w:bCs/>
          <w:lang w:val="en-US"/>
        </w:rPr>
        <w:t>Tereshina</w:t>
      </w:r>
      <w:proofErr w:type="spellEnd"/>
      <w:r w:rsidRPr="00305550">
        <w:rPr>
          <w:bCs/>
          <w:lang w:val="en-US"/>
        </w:rPr>
        <w:t xml:space="preserve"> M.V. Development of the methodological concept of the "green" economy in the context of local communities / M.V. </w:t>
      </w:r>
      <w:proofErr w:type="spellStart"/>
      <w:r w:rsidRPr="00305550">
        <w:rPr>
          <w:bCs/>
          <w:lang w:val="en-US"/>
        </w:rPr>
        <w:t>Tereshina</w:t>
      </w:r>
      <w:proofErr w:type="spellEnd"/>
      <w:r w:rsidRPr="00305550">
        <w:rPr>
          <w:bCs/>
          <w:lang w:val="en-US"/>
        </w:rPr>
        <w:t xml:space="preserve">, I.S. </w:t>
      </w:r>
      <w:proofErr w:type="spellStart"/>
      <w:r w:rsidRPr="00305550">
        <w:rPr>
          <w:bCs/>
          <w:lang w:val="en-US"/>
        </w:rPr>
        <w:t>Bashmakov</w:t>
      </w:r>
      <w:proofErr w:type="spellEnd"/>
      <w:r w:rsidRPr="00305550">
        <w:rPr>
          <w:bCs/>
          <w:lang w:val="en-US"/>
        </w:rPr>
        <w:t xml:space="preserve"> // Forestry Journal. – 2017. – No. 4. – pp. 281-288 // </w:t>
      </w:r>
      <w:proofErr w:type="gramStart"/>
      <w:r w:rsidRPr="00305550">
        <w:rPr>
          <w:bCs/>
          <w:lang w:val="en-US"/>
        </w:rPr>
        <w:t>Lan :</w:t>
      </w:r>
      <w:proofErr w:type="gramEnd"/>
      <w:r w:rsidRPr="00305550">
        <w:rPr>
          <w:bCs/>
          <w:lang w:val="en-US"/>
        </w:rPr>
        <w:t xml:space="preserve"> electronic library system. – URL: https://e.lanbook.com/journal/issue/306648 (date of application: 03/11/2024). – ISSN 2222-7962. – </w:t>
      </w:r>
      <w:proofErr w:type="gramStart"/>
      <w:r w:rsidRPr="00305550">
        <w:rPr>
          <w:bCs/>
          <w:lang w:val="en-US"/>
        </w:rPr>
        <w:t>Text :</w:t>
      </w:r>
      <w:proofErr w:type="gramEnd"/>
      <w:r w:rsidRPr="00305550">
        <w:rPr>
          <w:bCs/>
          <w:lang w:val="en-US"/>
        </w:rPr>
        <w:t xml:space="preserve"> electronic.</w:t>
      </w:r>
    </w:p>
    <w:p w14:paraId="0C5EC47A" w14:textId="4386A39D" w:rsidR="00C23B84" w:rsidRPr="00C23B84" w:rsidRDefault="00305550" w:rsidP="00305550">
      <w:pPr>
        <w:ind w:firstLine="709"/>
        <w:jc w:val="both"/>
        <w:rPr>
          <w:bCs/>
          <w:lang w:val="en-US"/>
        </w:rPr>
      </w:pPr>
      <w:r w:rsidRPr="00305550">
        <w:rPr>
          <w:bCs/>
          <w:lang w:val="en-US"/>
        </w:rPr>
        <w:t xml:space="preserve">5. Timofeeva N.S. Strategic planning as an essential element of sustainable rural development management / N.S. Timofeeva // Bulletin of </w:t>
      </w:r>
      <w:proofErr w:type="spellStart"/>
      <w:r w:rsidRPr="00305550">
        <w:rPr>
          <w:bCs/>
          <w:lang w:val="en-US"/>
        </w:rPr>
        <w:t>KemGU</w:t>
      </w:r>
      <w:proofErr w:type="spellEnd"/>
      <w:r w:rsidRPr="00305550">
        <w:rPr>
          <w:bCs/>
          <w:lang w:val="en-US"/>
        </w:rPr>
        <w:t xml:space="preserve">. Series: Political, Sociological and Economic Sciences. – 2019. – No. 1. – pp. 143-148. // </w:t>
      </w:r>
      <w:proofErr w:type="gramStart"/>
      <w:r w:rsidRPr="00305550">
        <w:rPr>
          <w:bCs/>
          <w:lang w:val="en-US"/>
        </w:rPr>
        <w:t>Lan :</w:t>
      </w:r>
      <w:proofErr w:type="gramEnd"/>
      <w:r w:rsidRPr="00305550">
        <w:rPr>
          <w:bCs/>
          <w:lang w:val="en-US"/>
        </w:rPr>
        <w:t xml:space="preserve"> electronic library system. – URL: https://e.lanbook.com/journal/issue/310681 (date of application: 03/13/2024). – ISSN 2500-3372. – </w:t>
      </w:r>
      <w:proofErr w:type="gramStart"/>
      <w:r w:rsidRPr="00305550">
        <w:rPr>
          <w:bCs/>
          <w:lang w:val="en-US"/>
        </w:rPr>
        <w:t>Text :</w:t>
      </w:r>
      <w:proofErr w:type="gramEnd"/>
      <w:r w:rsidRPr="00305550">
        <w:rPr>
          <w:bCs/>
          <w:lang w:val="en-US"/>
        </w:rPr>
        <w:t xml:space="preserve"> electronic.</w:t>
      </w:r>
    </w:p>
    <w:sectPr w:rsidR="00C23B84" w:rsidRPr="00C23B84" w:rsidSect="007551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DejaVu Sans">
    <w:charset w:val="CC"/>
    <w:family w:val="swiss"/>
    <w:pitch w:val="variable"/>
    <w:sig w:usb0="E7000EFF" w:usb1="5200FDFF" w:usb2="0A042021" w:usb3="00000000" w:csb0="000001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3E5727"/>
    <w:multiLevelType w:val="hybridMultilevel"/>
    <w:tmpl w:val="1FAC606C"/>
    <w:lvl w:ilvl="0" w:tplc="DB6E87E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7515064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1B6"/>
    <w:rsid w:val="000038B8"/>
    <w:rsid w:val="00092DD7"/>
    <w:rsid w:val="00305550"/>
    <w:rsid w:val="003C2907"/>
    <w:rsid w:val="00446B22"/>
    <w:rsid w:val="006F00B8"/>
    <w:rsid w:val="007551B6"/>
    <w:rsid w:val="0093490E"/>
    <w:rsid w:val="009D38CC"/>
    <w:rsid w:val="00C00AE1"/>
    <w:rsid w:val="00C23B84"/>
    <w:rsid w:val="00D9665E"/>
    <w:rsid w:val="00FC7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AA9F4"/>
  <w15:chartTrackingRefBased/>
  <w15:docId w15:val="{6814C90C-697B-4A1A-9648-46786ABCD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551B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551B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unhideWhenUsed/>
    <w:rsid w:val="00C00AE1"/>
    <w:rPr>
      <w:rFonts w:ascii="Calibri" w:eastAsia="Calibri" w:hAnsi="Calibr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C00AE1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a6">
    <w:name w:val="Hyperlink"/>
    <w:basedOn w:val="a0"/>
    <w:uiPriority w:val="99"/>
    <w:unhideWhenUsed/>
    <w:rsid w:val="00C00AE1"/>
    <w:rPr>
      <w:color w:val="0563C1" w:themeColor="hyperlink"/>
      <w:u w:val="single"/>
    </w:rPr>
  </w:style>
  <w:style w:type="table" w:customStyle="1" w:styleId="3">
    <w:name w:val="Сетка таблицы3"/>
    <w:basedOn w:val="a1"/>
    <w:next w:val="a3"/>
    <w:uiPriority w:val="39"/>
    <w:rsid w:val="00092DD7"/>
    <w:pPr>
      <w:spacing w:after="0" w:line="240" w:lineRule="auto"/>
    </w:pPr>
    <w:rPr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2491</Words>
  <Characters>14203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 Бабичев</dc:creator>
  <cp:keywords/>
  <dc:description/>
  <cp:lastModifiedBy>Константин Бабичев</cp:lastModifiedBy>
  <cp:revision>4</cp:revision>
  <dcterms:created xsi:type="dcterms:W3CDTF">2024-03-16T14:07:00Z</dcterms:created>
  <dcterms:modified xsi:type="dcterms:W3CDTF">2024-03-16T14:12:00Z</dcterms:modified>
</cp:coreProperties>
</file>