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21752" w14:textId="3F011623" w:rsidR="00DE6011" w:rsidRPr="00F12694" w:rsidRDefault="000F162A" w:rsidP="00DE6011">
      <w:pPr>
        <w:spacing w:after="0"/>
        <w:ind w:firstLine="709"/>
        <w:rPr>
          <w:b/>
          <w:bCs/>
          <w:sz w:val="24"/>
          <w:szCs w:val="24"/>
        </w:rPr>
      </w:pPr>
      <w:r w:rsidRPr="00F12694">
        <w:rPr>
          <w:b/>
          <w:bCs/>
          <w:sz w:val="24"/>
          <w:szCs w:val="24"/>
        </w:rPr>
        <w:t>УДК 314.88</w:t>
      </w:r>
      <w:r w:rsidR="009E4B93" w:rsidRPr="00F12694">
        <w:rPr>
          <w:b/>
          <w:bCs/>
          <w:sz w:val="24"/>
          <w:szCs w:val="24"/>
        </w:rPr>
        <w:t xml:space="preserve"> / ББК 60.74(2)</w:t>
      </w:r>
    </w:p>
    <w:p w14:paraId="3C44F2F4" w14:textId="4052256A" w:rsidR="007F5A45" w:rsidRPr="00F12694" w:rsidRDefault="007F5A45" w:rsidP="007F5A45">
      <w:pPr>
        <w:spacing w:after="0"/>
        <w:ind w:firstLine="709"/>
        <w:jc w:val="right"/>
        <w:rPr>
          <w:b/>
          <w:bCs/>
          <w:sz w:val="24"/>
          <w:szCs w:val="24"/>
        </w:rPr>
      </w:pPr>
      <w:r w:rsidRPr="00F12694">
        <w:rPr>
          <w:b/>
          <w:bCs/>
          <w:sz w:val="24"/>
          <w:szCs w:val="24"/>
        </w:rPr>
        <w:t xml:space="preserve">Реутов Е.В. </w:t>
      </w:r>
    </w:p>
    <w:p w14:paraId="7151ED4E" w14:textId="46E83E0C" w:rsidR="00626D4B" w:rsidRPr="00F12694" w:rsidRDefault="0032333C" w:rsidP="0074210D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F12694">
        <w:rPr>
          <w:b/>
          <w:bCs/>
          <w:sz w:val="24"/>
          <w:szCs w:val="24"/>
        </w:rPr>
        <w:t>ОСНОВНЫЕ ДЕМОГРАФИЧЕСКИЕ ТРЕНДЫ</w:t>
      </w:r>
      <w:r w:rsidR="00626D4B" w:rsidRPr="00F12694">
        <w:rPr>
          <w:b/>
          <w:bCs/>
          <w:sz w:val="24"/>
          <w:szCs w:val="24"/>
        </w:rPr>
        <w:t xml:space="preserve"> В РЕГИОНАХ ЦЕНТРАЛЬНОГО ЧЕРНОЗЕМЬЯ В 2021-2023 ГГ</w:t>
      </w:r>
      <w:r w:rsidR="002A254E" w:rsidRPr="00F12694">
        <w:rPr>
          <w:b/>
          <w:bCs/>
          <w:sz w:val="24"/>
          <w:szCs w:val="24"/>
        </w:rPr>
        <w:t>.</w:t>
      </w:r>
      <w:r w:rsidR="00F12694">
        <w:rPr>
          <w:rStyle w:val="a6"/>
          <w:b/>
          <w:bCs/>
          <w:sz w:val="24"/>
          <w:szCs w:val="24"/>
        </w:rPr>
        <w:footnoteReference w:id="1"/>
      </w:r>
    </w:p>
    <w:p w14:paraId="648B700E" w14:textId="77777777" w:rsidR="00626D4B" w:rsidRPr="00F12694" w:rsidRDefault="00626D4B" w:rsidP="0074210D">
      <w:pPr>
        <w:spacing w:after="0"/>
        <w:ind w:firstLine="709"/>
        <w:jc w:val="center"/>
        <w:rPr>
          <w:sz w:val="24"/>
          <w:szCs w:val="24"/>
        </w:rPr>
      </w:pPr>
    </w:p>
    <w:p w14:paraId="56FC4CE5" w14:textId="49377D87" w:rsidR="008429CE" w:rsidRPr="00F12694" w:rsidRDefault="000C776D" w:rsidP="00431309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b/>
          <w:bCs/>
          <w:sz w:val="24"/>
          <w:szCs w:val="24"/>
        </w:rPr>
        <w:t>Аннотация.</w:t>
      </w:r>
      <w:r w:rsidRPr="00F12694">
        <w:rPr>
          <w:sz w:val="24"/>
          <w:szCs w:val="24"/>
        </w:rPr>
        <w:t xml:space="preserve"> </w:t>
      </w:r>
      <w:r w:rsidR="008429CE" w:rsidRPr="00F12694">
        <w:rPr>
          <w:sz w:val="24"/>
          <w:szCs w:val="24"/>
        </w:rPr>
        <w:t xml:space="preserve">В статье отражены основные тенденции демографической ситуации в регионах Центрального Черноземья в 2021-2023 гг., в том числе, сформировавшиеся под влиянием специальной военной операции. </w:t>
      </w:r>
    </w:p>
    <w:p w14:paraId="50BFB20D" w14:textId="23A21BE4" w:rsidR="007604F7" w:rsidRPr="00F12694" w:rsidRDefault="007604F7" w:rsidP="00431309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b/>
          <w:bCs/>
          <w:sz w:val="24"/>
          <w:szCs w:val="24"/>
        </w:rPr>
        <w:t>Ключевые слова:</w:t>
      </w:r>
      <w:r w:rsidRPr="00F12694">
        <w:rPr>
          <w:sz w:val="24"/>
          <w:szCs w:val="24"/>
        </w:rPr>
        <w:t xml:space="preserve"> </w:t>
      </w:r>
      <w:r w:rsidR="003F29B5" w:rsidRPr="00F12694">
        <w:rPr>
          <w:sz w:val="24"/>
          <w:szCs w:val="24"/>
        </w:rPr>
        <w:t xml:space="preserve">Центрально-Черноземный макрорегион, </w:t>
      </w:r>
      <w:r w:rsidR="00DE6011" w:rsidRPr="00F12694">
        <w:rPr>
          <w:sz w:val="24"/>
          <w:szCs w:val="24"/>
        </w:rPr>
        <w:t>естественная убыль, миграционный отток, транзитная миграция, внутрирегиональная миграция</w:t>
      </w:r>
    </w:p>
    <w:p w14:paraId="4294EF3F" w14:textId="77777777" w:rsidR="008429CE" w:rsidRPr="00F12694" w:rsidRDefault="008429CE" w:rsidP="00431309">
      <w:pPr>
        <w:spacing w:after="0"/>
        <w:ind w:firstLine="709"/>
        <w:jc w:val="both"/>
        <w:rPr>
          <w:sz w:val="24"/>
          <w:szCs w:val="24"/>
        </w:rPr>
      </w:pPr>
    </w:p>
    <w:p w14:paraId="5418B592" w14:textId="3543506F" w:rsidR="0018757F" w:rsidRPr="00F12694" w:rsidRDefault="0018757F" w:rsidP="00431309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Центрально</w:t>
      </w:r>
      <w:r w:rsidR="0074210D" w:rsidRPr="00F12694">
        <w:rPr>
          <w:sz w:val="24"/>
          <w:szCs w:val="24"/>
        </w:rPr>
        <w:t xml:space="preserve">е </w:t>
      </w:r>
      <w:r w:rsidRPr="00F12694">
        <w:rPr>
          <w:sz w:val="24"/>
          <w:szCs w:val="24"/>
        </w:rPr>
        <w:t>Чернозем</w:t>
      </w:r>
      <w:r w:rsidR="0074210D" w:rsidRPr="00F12694">
        <w:rPr>
          <w:sz w:val="24"/>
          <w:szCs w:val="24"/>
        </w:rPr>
        <w:t>ье, включающее пять субъектов федерации – Белгородскую, Воронежскую, Курскую, Липецкую и Тамбовскую области, представляет собой, в соответствии со Стратегией пространственного развития Российской Федерации на период до 2025 года, один из двенадцати макрорегионов России</w:t>
      </w:r>
      <w:r w:rsidR="0074210D" w:rsidRPr="00F12694">
        <w:rPr>
          <w:rStyle w:val="a6"/>
          <w:sz w:val="24"/>
          <w:szCs w:val="24"/>
        </w:rPr>
        <w:footnoteReference w:id="2"/>
      </w:r>
      <w:r w:rsidR="0074210D" w:rsidRPr="00F12694">
        <w:rPr>
          <w:sz w:val="24"/>
          <w:szCs w:val="24"/>
        </w:rPr>
        <w:t>.</w:t>
      </w:r>
      <w:r w:rsidR="00431309" w:rsidRPr="00F12694">
        <w:rPr>
          <w:sz w:val="24"/>
          <w:szCs w:val="24"/>
        </w:rPr>
        <w:t xml:space="preserve"> Обладая достаточно диверсифицированной экономикой с преобладанием горно-металлургического и агропромышленного кластеров, Центрально-Черноземный макрорегион </w:t>
      </w:r>
      <w:r w:rsidR="00D71E98" w:rsidRPr="00F12694">
        <w:rPr>
          <w:sz w:val="24"/>
          <w:szCs w:val="24"/>
        </w:rPr>
        <w:t>выполняет особую и очень значимую роль в развитии российской экономики и прочно встроен в систему национальных (а также и международных) хозяйственных связей.</w:t>
      </w:r>
      <w:r w:rsidR="00431309" w:rsidRPr="00F12694">
        <w:rPr>
          <w:sz w:val="24"/>
          <w:szCs w:val="24"/>
        </w:rPr>
        <w:t xml:space="preserve"> Также, как отмечает ряд авторов, </w:t>
      </w:r>
      <w:bookmarkStart w:id="0" w:name="_Hlk161485117"/>
      <w:r w:rsidR="00D71E98" w:rsidRPr="00F12694">
        <w:rPr>
          <w:sz w:val="24"/>
          <w:szCs w:val="24"/>
        </w:rPr>
        <w:t>«</w:t>
      </w:r>
      <w:r w:rsidR="00431309" w:rsidRPr="00F12694">
        <w:rPr>
          <w:sz w:val="24"/>
          <w:szCs w:val="24"/>
        </w:rPr>
        <w:t xml:space="preserve">Центрально-Черноземный макрорегион </w:t>
      </w:r>
      <w:bookmarkEnd w:id="0"/>
      <w:r w:rsidR="00431309" w:rsidRPr="00F12694">
        <w:rPr>
          <w:sz w:val="24"/>
          <w:szCs w:val="24"/>
        </w:rPr>
        <w:t>обладает мощным потенциалом в сфере науки и образования, имеет преимущества перед другими регионами в связи с его геоэкономическим положением, обладает территориальной контрастностью</w:t>
      </w:r>
      <w:r w:rsidR="00D71E98" w:rsidRPr="00F12694">
        <w:rPr>
          <w:sz w:val="24"/>
          <w:szCs w:val="24"/>
        </w:rPr>
        <w:t>»</w:t>
      </w:r>
      <w:r w:rsidR="00180FE0" w:rsidRPr="00F12694">
        <w:t xml:space="preserve"> </w:t>
      </w:r>
      <w:r w:rsidR="00180FE0" w:rsidRPr="00F12694">
        <w:rPr>
          <w:sz w:val="24"/>
          <w:szCs w:val="24"/>
        </w:rPr>
        <w:t>[2, с. 1784]</w:t>
      </w:r>
      <w:r w:rsidR="00D71E98" w:rsidRPr="00F12694">
        <w:rPr>
          <w:sz w:val="24"/>
          <w:szCs w:val="24"/>
        </w:rPr>
        <w:t>.</w:t>
      </w:r>
    </w:p>
    <w:p w14:paraId="02E1B191" w14:textId="6A3222EA" w:rsidR="009C2E8B" w:rsidRPr="00F12694" w:rsidRDefault="009C2E8B" w:rsidP="009C2E8B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Развитая экономика, транзитное положение макрорегиона, встроенность его в общенациональные и международные логистические схемы формируют особый запрос на развитие человеческого капитала и демографических ресурсов Центрального Черноземья. </w:t>
      </w:r>
      <w:r w:rsidR="00B10284" w:rsidRPr="00F12694">
        <w:rPr>
          <w:sz w:val="24"/>
          <w:szCs w:val="24"/>
        </w:rPr>
        <w:t>Между тем, демографическая ситуация в регионах Центрального Черноземья характеризуется устойчивой депопуляцией. Как отмечает В.</w:t>
      </w:r>
      <w:r w:rsidRPr="00F12694">
        <w:rPr>
          <w:sz w:val="24"/>
          <w:szCs w:val="24"/>
        </w:rPr>
        <w:t>В</w:t>
      </w:r>
      <w:r w:rsidR="00B10284" w:rsidRPr="00F12694">
        <w:rPr>
          <w:sz w:val="24"/>
          <w:szCs w:val="24"/>
        </w:rPr>
        <w:t xml:space="preserve">. </w:t>
      </w:r>
      <w:proofErr w:type="spellStart"/>
      <w:r w:rsidR="00B10284" w:rsidRPr="00F12694">
        <w:rPr>
          <w:sz w:val="24"/>
          <w:szCs w:val="24"/>
        </w:rPr>
        <w:t>Пациорковский</w:t>
      </w:r>
      <w:proofErr w:type="spellEnd"/>
      <w:r w:rsidR="00B10284" w:rsidRPr="00F12694">
        <w:rPr>
          <w:sz w:val="24"/>
          <w:szCs w:val="24"/>
        </w:rPr>
        <w:t xml:space="preserve">, «в </w:t>
      </w:r>
      <w:r w:rsidRPr="00F12694">
        <w:rPr>
          <w:sz w:val="24"/>
          <w:szCs w:val="24"/>
        </w:rPr>
        <w:t>2010-2018 гг. только одна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Белгородская область сумела сохранить и даже едва заметно нарастить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численность населения. Все другие области теряли численность населения в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наблюдаемый период. При этом если потери Воронежской и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Курской областей можно рассматривать как минимальные, то потери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Липецкой области близки к средним по стране, а потери Тамбовской области</w:t>
      </w:r>
      <w:r w:rsidR="00B10284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>превышают их более, чем в два раза</w:t>
      </w:r>
      <w:r w:rsidR="00B10284" w:rsidRPr="00F12694">
        <w:rPr>
          <w:sz w:val="24"/>
          <w:szCs w:val="24"/>
        </w:rPr>
        <w:t>»</w:t>
      </w:r>
      <w:r w:rsidR="00180FE0" w:rsidRPr="00F12694">
        <w:rPr>
          <w:sz w:val="24"/>
          <w:szCs w:val="24"/>
        </w:rPr>
        <w:t xml:space="preserve"> </w:t>
      </w:r>
      <w:bookmarkStart w:id="1" w:name="_Hlk161564973"/>
      <w:r w:rsidR="00180FE0" w:rsidRPr="00F12694">
        <w:rPr>
          <w:rFonts w:cs="Times New Roman"/>
          <w:sz w:val="24"/>
          <w:szCs w:val="24"/>
        </w:rPr>
        <w:t>[1, с. 614]</w:t>
      </w:r>
      <w:bookmarkEnd w:id="1"/>
      <w:r w:rsidRPr="00F12694">
        <w:rPr>
          <w:sz w:val="24"/>
          <w:szCs w:val="24"/>
        </w:rPr>
        <w:t>.</w:t>
      </w:r>
    </w:p>
    <w:p w14:paraId="5AE3D05B" w14:textId="77777777" w:rsidR="002732D4" w:rsidRPr="00F12694" w:rsidRDefault="00A311B7" w:rsidP="009C2E8B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Однако в последние годы и демографический потенциал Белгородской области подвергся существенной эрозии. </w:t>
      </w:r>
      <w:r w:rsidR="002732D4" w:rsidRPr="00F12694">
        <w:rPr>
          <w:sz w:val="24"/>
          <w:szCs w:val="24"/>
        </w:rPr>
        <w:t xml:space="preserve">Наряду со снижением рождаемости регион испытал миграционную убыль, связанную с фактором близости региона к зоне специальной военной операции, а времена – и с прямой включенностью в него. Тот же самый фактор стал оказывать негативное влияние на демографическую ситуацию и в Курской области – хотя и в гораздо меньшей степени. </w:t>
      </w:r>
    </w:p>
    <w:p w14:paraId="7B2DDAFD" w14:textId="0D1ECB2B" w:rsidR="00A311B7" w:rsidRPr="00F12694" w:rsidRDefault="002732D4" w:rsidP="009C2E8B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За последние три года с Белгородской области естественная убыль населения составила в совокупности более 25 тыс. человек, в Воронежской области </w:t>
      </w:r>
      <w:r w:rsidR="00E424BF" w:rsidRPr="00F12694">
        <w:rPr>
          <w:sz w:val="24"/>
          <w:szCs w:val="24"/>
        </w:rPr>
        <w:t>–</w:t>
      </w:r>
      <w:r w:rsidRPr="00F12694">
        <w:rPr>
          <w:sz w:val="24"/>
          <w:szCs w:val="24"/>
        </w:rPr>
        <w:t xml:space="preserve"> </w:t>
      </w:r>
      <w:r w:rsidR="00E424BF" w:rsidRPr="00F12694">
        <w:rPr>
          <w:sz w:val="24"/>
          <w:szCs w:val="24"/>
        </w:rPr>
        <w:t>более 62 тыс., в Курской области – более 32 тыс., в Липецкой – более 31 тыс., в Тамбовской – более 31 тыс. (табл</w:t>
      </w:r>
      <w:r w:rsidR="00821193" w:rsidRPr="00F12694">
        <w:rPr>
          <w:sz w:val="24"/>
          <w:szCs w:val="24"/>
        </w:rPr>
        <w:t>.</w:t>
      </w:r>
      <w:r w:rsidR="00E424BF" w:rsidRPr="00F12694">
        <w:rPr>
          <w:sz w:val="24"/>
          <w:szCs w:val="24"/>
        </w:rPr>
        <w:t xml:space="preserve"> 1).</w:t>
      </w:r>
      <w:r w:rsidR="00B12332" w:rsidRPr="00F12694">
        <w:rPr>
          <w:sz w:val="24"/>
          <w:szCs w:val="24"/>
        </w:rPr>
        <w:t xml:space="preserve"> </w:t>
      </w:r>
    </w:p>
    <w:p w14:paraId="744C2409" w14:textId="66A43A1A" w:rsidR="00180FE0" w:rsidRPr="00F12694" w:rsidRDefault="00AE14D8" w:rsidP="00180FE0">
      <w:pPr>
        <w:spacing w:after="0"/>
        <w:ind w:firstLine="709"/>
        <w:jc w:val="right"/>
        <w:rPr>
          <w:sz w:val="24"/>
          <w:szCs w:val="24"/>
        </w:rPr>
      </w:pPr>
      <w:r w:rsidRPr="00F12694">
        <w:rPr>
          <w:sz w:val="24"/>
          <w:szCs w:val="24"/>
        </w:rPr>
        <w:t>Таблица 1</w:t>
      </w:r>
    </w:p>
    <w:p w14:paraId="0DE61AEC" w14:textId="06B19B6C" w:rsidR="00AE14D8" w:rsidRPr="00F12694" w:rsidRDefault="00E51152" w:rsidP="00AE14D8">
      <w:pPr>
        <w:spacing w:after="0"/>
        <w:ind w:firstLine="709"/>
        <w:jc w:val="center"/>
        <w:rPr>
          <w:sz w:val="24"/>
          <w:szCs w:val="24"/>
        </w:rPr>
      </w:pPr>
      <w:r w:rsidRPr="00F12694">
        <w:rPr>
          <w:sz w:val="24"/>
          <w:szCs w:val="24"/>
        </w:rPr>
        <w:t>Естественный прирост/убыль</w:t>
      </w:r>
      <w:r w:rsidRPr="00F12694">
        <w:rPr>
          <w:rStyle w:val="a6"/>
          <w:sz w:val="24"/>
          <w:szCs w:val="24"/>
          <w:vertAlign w:val="baseline"/>
        </w:rPr>
        <w:t xml:space="preserve"> </w:t>
      </w:r>
      <w:r w:rsidRPr="00F12694">
        <w:rPr>
          <w:sz w:val="24"/>
          <w:szCs w:val="24"/>
        </w:rPr>
        <w:t>в регионах Центрального Черноземья</w:t>
      </w:r>
      <w:r w:rsidR="00AE14D8" w:rsidRPr="00F12694">
        <w:rPr>
          <w:rStyle w:val="a6"/>
          <w:sz w:val="24"/>
          <w:szCs w:val="24"/>
        </w:rPr>
        <w:footnoteReference w:id="3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57"/>
        <w:gridCol w:w="2099"/>
        <w:gridCol w:w="2294"/>
        <w:gridCol w:w="2294"/>
      </w:tblGrid>
      <w:tr w:rsidR="00AE14D8" w:rsidRPr="00F12694" w14:paraId="0E141C78" w14:textId="77777777" w:rsidTr="001F1379">
        <w:tc>
          <w:tcPr>
            <w:tcW w:w="2657" w:type="dxa"/>
            <w:vMerge w:val="restart"/>
          </w:tcPr>
          <w:p w14:paraId="4FA38B4D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Регионы</w:t>
            </w:r>
          </w:p>
        </w:tc>
        <w:tc>
          <w:tcPr>
            <w:tcW w:w="6687" w:type="dxa"/>
            <w:gridSpan w:val="3"/>
          </w:tcPr>
          <w:p w14:paraId="5023F252" w14:textId="0D840495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Естественный прирост/убыль</w:t>
            </w:r>
          </w:p>
        </w:tc>
      </w:tr>
      <w:tr w:rsidR="00AE14D8" w:rsidRPr="00F12694" w14:paraId="43748E88" w14:textId="77777777" w:rsidTr="001F1379">
        <w:tc>
          <w:tcPr>
            <w:tcW w:w="2657" w:type="dxa"/>
            <w:vMerge/>
          </w:tcPr>
          <w:p w14:paraId="3494D18E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99" w:type="dxa"/>
          </w:tcPr>
          <w:p w14:paraId="4C3803A3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2021</w:t>
            </w:r>
          </w:p>
        </w:tc>
        <w:tc>
          <w:tcPr>
            <w:tcW w:w="2294" w:type="dxa"/>
          </w:tcPr>
          <w:p w14:paraId="1BF04FE5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2022</w:t>
            </w:r>
          </w:p>
        </w:tc>
        <w:tc>
          <w:tcPr>
            <w:tcW w:w="2294" w:type="dxa"/>
          </w:tcPr>
          <w:p w14:paraId="6D35C933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2023</w:t>
            </w:r>
          </w:p>
        </w:tc>
      </w:tr>
      <w:tr w:rsidR="00AE14D8" w:rsidRPr="00F12694" w14:paraId="2C1B8C17" w14:textId="77777777" w:rsidTr="001F1379">
        <w:tc>
          <w:tcPr>
            <w:tcW w:w="2657" w:type="dxa"/>
          </w:tcPr>
          <w:p w14:paraId="698CCB8C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Белгородская область</w:t>
            </w:r>
          </w:p>
        </w:tc>
        <w:tc>
          <w:tcPr>
            <w:tcW w:w="2099" w:type="dxa"/>
          </w:tcPr>
          <w:p w14:paraId="5969B963" w14:textId="458078BC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-15817</w:t>
            </w:r>
          </w:p>
        </w:tc>
        <w:tc>
          <w:tcPr>
            <w:tcW w:w="2294" w:type="dxa"/>
          </w:tcPr>
          <w:p w14:paraId="47F9EAA6" w14:textId="037C8ACD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-10869</w:t>
            </w:r>
          </w:p>
        </w:tc>
        <w:tc>
          <w:tcPr>
            <w:tcW w:w="2294" w:type="dxa"/>
          </w:tcPr>
          <w:p w14:paraId="59ABBA6B" w14:textId="486F6B14" w:rsidR="00AE14D8" w:rsidRPr="00F12694" w:rsidRDefault="009C2E8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-10139</w:t>
            </w:r>
          </w:p>
        </w:tc>
      </w:tr>
      <w:tr w:rsidR="00AE14D8" w:rsidRPr="00F12694" w14:paraId="22D2344F" w14:textId="77777777" w:rsidTr="001F1379">
        <w:tc>
          <w:tcPr>
            <w:tcW w:w="2657" w:type="dxa"/>
          </w:tcPr>
          <w:p w14:paraId="37DA1371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Воронежская область</w:t>
            </w:r>
          </w:p>
        </w:tc>
        <w:tc>
          <w:tcPr>
            <w:tcW w:w="2099" w:type="dxa"/>
          </w:tcPr>
          <w:p w14:paraId="44289BA9" w14:textId="7996D280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-27902</w:t>
            </w:r>
          </w:p>
        </w:tc>
        <w:tc>
          <w:tcPr>
            <w:tcW w:w="2294" w:type="dxa"/>
          </w:tcPr>
          <w:p w14:paraId="64E8726B" w14:textId="7C6DAF4B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-18094</w:t>
            </w:r>
          </w:p>
        </w:tc>
        <w:tc>
          <w:tcPr>
            <w:tcW w:w="2294" w:type="dxa"/>
          </w:tcPr>
          <w:p w14:paraId="447A4C69" w14:textId="29E7576B" w:rsidR="00AE14D8" w:rsidRPr="00F12694" w:rsidRDefault="009C2E8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-16160</w:t>
            </w:r>
          </w:p>
        </w:tc>
      </w:tr>
      <w:tr w:rsidR="00AE14D8" w:rsidRPr="00F12694" w14:paraId="30564546" w14:textId="77777777" w:rsidTr="001F1379">
        <w:tc>
          <w:tcPr>
            <w:tcW w:w="2657" w:type="dxa"/>
          </w:tcPr>
          <w:p w14:paraId="752D7E35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Курская область</w:t>
            </w:r>
          </w:p>
        </w:tc>
        <w:tc>
          <w:tcPr>
            <w:tcW w:w="2099" w:type="dxa"/>
          </w:tcPr>
          <w:p w14:paraId="6D4FAA57" w14:textId="65C52709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-14538</w:t>
            </w:r>
          </w:p>
        </w:tc>
        <w:tc>
          <w:tcPr>
            <w:tcW w:w="2294" w:type="dxa"/>
          </w:tcPr>
          <w:p w14:paraId="2446CBCF" w14:textId="7E773BF4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-9698</w:t>
            </w:r>
          </w:p>
        </w:tc>
        <w:tc>
          <w:tcPr>
            <w:tcW w:w="2294" w:type="dxa"/>
          </w:tcPr>
          <w:p w14:paraId="4B0595F2" w14:textId="3423042A" w:rsidR="00AE14D8" w:rsidRPr="00F12694" w:rsidRDefault="009C2E8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-7864</w:t>
            </w:r>
          </w:p>
        </w:tc>
      </w:tr>
      <w:tr w:rsidR="00AE14D8" w:rsidRPr="00F12694" w14:paraId="3638868B" w14:textId="77777777" w:rsidTr="001F1379">
        <w:tc>
          <w:tcPr>
            <w:tcW w:w="2657" w:type="dxa"/>
          </w:tcPr>
          <w:p w14:paraId="78AC5888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Липецкая область</w:t>
            </w:r>
          </w:p>
        </w:tc>
        <w:tc>
          <w:tcPr>
            <w:tcW w:w="2099" w:type="dxa"/>
          </w:tcPr>
          <w:p w14:paraId="06CD4BE7" w14:textId="321B2475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-14644</w:t>
            </w:r>
          </w:p>
        </w:tc>
        <w:tc>
          <w:tcPr>
            <w:tcW w:w="2294" w:type="dxa"/>
          </w:tcPr>
          <w:p w14:paraId="0CE57F04" w14:textId="078D8B62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-9096</w:t>
            </w:r>
          </w:p>
        </w:tc>
        <w:tc>
          <w:tcPr>
            <w:tcW w:w="2294" w:type="dxa"/>
          </w:tcPr>
          <w:p w14:paraId="5B46625E" w14:textId="559E7A48" w:rsidR="00AE14D8" w:rsidRPr="00F12694" w:rsidRDefault="009C2E8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-8219</w:t>
            </w:r>
          </w:p>
        </w:tc>
      </w:tr>
      <w:tr w:rsidR="00AE14D8" w:rsidRPr="00F12694" w14:paraId="199F7A89" w14:textId="77777777" w:rsidTr="001F1379">
        <w:tc>
          <w:tcPr>
            <w:tcW w:w="2657" w:type="dxa"/>
          </w:tcPr>
          <w:p w14:paraId="318E4688" w14:textId="77777777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Тамбовская область</w:t>
            </w:r>
          </w:p>
        </w:tc>
        <w:tc>
          <w:tcPr>
            <w:tcW w:w="2099" w:type="dxa"/>
          </w:tcPr>
          <w:p w14:paraId="3A34A68C" w14:textId="5C5F1FCA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-13506</w:t>
            </w:r>
          </w:p>
        </w:tc>
        <w:tc>
          <w:tcPr>
            <w:tcW w:w="2294" w:type="dxa"/>
          </w:tcPr>
          <w:p w14:paraId="10E62C38" w14:textId="6CBD29AD" w:rsidR="00AE14D8" w:rsidRPr="00F12694" w:rsidRDefault="00AE14D8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-9772</w:t>
            </w:r>
          </w:p>
        </w:tc>
        <w:tc>
          <w:tcPr>
            <w:tcW w:w="2294" w:type="dxa"/>
          </w:tcPr>
          <w:p w14:paraId="693B0E46" w14:textId="64EAB950" w:rsidR="00AE14D8" w:rsidRPr="00F12694" w:rsidRDefault="009C2E8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-8474</w:t>
            </w:r>
          </w:p>
        </w:tc>
      </w:tr>
    </w:tbl>
    <w:p w14:paraId="4DDEA738" w14:textId="77777777" w:rsidR="00AE14D8" w:rsidRPr="00F12694" w:rsidRDefault="00AE14D8" w:rsidP="00626D4B">
      <w:pPr>
        <w:spacing w:after="0"/>
        <w:ind w:firstLine="709"/>
        <w:jc w:val="center"/>
        <w:rPr>
          <w:sz w:val="24"/>
          <w:szCs w:val="24"/>
        </w:rPr>
      </w:pPr>
    </w:p>
    <w:p w14:paraId="37A29BAB" w14:textId="69944A99" w:rsidR="00AE14D8" w:rsidRPr="00F12694" w:rsidRDefault="00B12332" w:rsidP="00B12332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Устойчивая тенденция естественной убыли населения в регионах Центрального Черноземья, пусть и выраженная в разной степени, является одним из наиболее серьезных вызовов их устойчивому развитию в долгосрочной перспективе.  Решение проблемы естественной убыли населения может видеться, во-первых, в переломе негативных тенденций в сфере рождаемости и смертности, во-вторых, в стимулировании миграционного притока. Кроме того, если вести речь о сугубо экономических аспектах проблемы, убыль экономически активного населения может быть отчасти восполнена за счет вовлечения в экономику неработающего населения (пенсионеров, студентов и др.) на основе полной и частичной занятости. </w:t>
      </w:r>
    </w:p>
    <w:p w14:paraId="480D8006" w14:textId="3415ED88" w:rsidR="00BC5FCC" w:rsidRPr="00F12694" w:rsidRDefault="00B12332" w:rsidP="00BC5FCC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Миграционный приток, как было отмечено выше, позволял в течение длительного периода </w:t>
      </w:r>
      <w:r w:rsidR="003E18B8" w:rsidRPr="00F12694">
        <w:rPr>
          <w:sz w:val="24"/>
          <w:szCs w:val="24"/>
        </w:rPr>
        <w:t xml:space="preserve">восполнять дефицит демографических ресурсов в ряде регионов Центрального Черноземья. </w:t>
      </w:r>
      <w:r w:rsidR="00BC5FCC" w:rsidRPr="00F12694">
        <w:rPr>
          <w:sz w:val="24"/>
          <w:szCs w:val="24"/>
        </w:rPr>
        <w:t>Как отмечает О.А. Чернова, «присущая миграционным потокам неоднородность их структуры определяет различия экономических, социальных и экологических последствий для регионов, что обуславливает актуальность задач осмысления преобразующего влияния миграции на условия их устойчивого развития»</w:t>
      </w:r>
      <w:r w:rsidR="00180FE0" w:rsidRPr="00F12694">
        <w:t xml:space="preserve"> </w:t>
      </w:r>
      <w:r w:rsidR="00180FE0" w:rsidRPr="00F12694">
        <w:rPr>
          <w:sz w:val="24"/>
          <w:szCs w:val="24"/>
        </w:rPr>
        <w:t>[3, с. 636]</w:t>
      </w:r>
      <w:r w:rsidR="00BC5FCC" w:rsidRPr="00F12694">
        <w:rPr>
          <w:sz w:val="24"/>
          <w:szCs w:val="24"/>
        </w:rPr>
        <w:t>.</w:t>
      </w:r>
    </w:p>
    <w:p w14:paraId="3A9333A8" w14:textId="48C13389" w:rsidR="00416CBD" w:rsidRPr="00F12694" w:rsidRDefault="003E18B8" w:rsidP="00BC5FCC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Однако в последние годы миграционная привлекательность регионов Центрального Черноземья заметно снизилась. Близость к зоне специальной военной операции, высочайший уровень военно-террористических угроз, особенной характерные для Белгородской и Курской областей, способствовали усилению оттока населения. В Белгородской области, которая традиционно была регионом миграционного притяжения (особенно до 2014 года), чистый миграционный отток населения в 2022-2023 гг. составил более 15 тыс. человек. Негативные миграционные тренды проявились и во всех остальных регионах Центрального Черноземья – меньше в Воронежской области, больше – в Курской, Липецкой и Тамбовской. </w:t>
      </w:r>
      <w:r w:rsidR="00416CBD" w:rsidRPr="00F12694">
        <w:rPr>
          <w:sz w:val="24"/>
          <w:szCs w:val="24"/>
        </w:rPr>
        <w:t xml:space="preserve">В Воронежской области чистый миграционный приток, хоть и существенно уменьшился по сравнению с 2021 г., но, тем не менее, сохранился, составив более 5 тыс. человек в 2022-2023 гг. В Курской области миграционный отток 2022 г. был частично компенсирован притоком в 2023 г., но более 1 тыс. человек все же оказались «потерянными». В </w:t>
      </w:r>
      <w:r w:rsidR="002D2612" w:rsidRPr="00F12694">
        <w:rPr>
          <w:sz w:val="24"/>
          <w:szCs w:val="24"/>
        </w:rPr>
        <w:t>Л</w:t>
      </w:r>
      <w:r w:rsidR="00416CBD" w:rsidRPr="00F12694">
        <w:rPr>
          <w:sz w:val="24"/>
          <w:szCs w:val="24"/>
        </w:rPr>
        <w:t>ипецкой области миграционный отток в 2022-2023 гг. был достаточно устойчивым, сменив незначительный приток 2021 г. В Тамбовской области миграционный отток усилился и вместо практически «нулевой» величины 2021 г. составил в 2022-2023 гг. более 4 тыс. человек (табл</w:t>
      </w:r>
      <w:r w:rsidR="00821193" w:rsidRPr="00F12694">
        <w:rPr>
          <w:sz w:val="24"/>
          <w:szCs w:val="24"/>
        </w:rPr>
        <w:t>.</w:t>
      </w:r>
      <w:r w:rsidR="00416CBD" w:rsidRPr="00F12694">
        <w:rPr>
          <w:sz w:val="24"/>
          <w:szCs w:val="24"/>
        </w:rPr>
        <w:t xml:space="preserve"> 2).</w:t>
      </w:r>
    </w:p>
    <w:p w14:paraId="51E5C62C" w14:textId="4D04AB55" w:rsidR="003E18B8" w:rsidRPr="00F12694" w:rsidRDefault="00D22FA0" w:rsidP="00BC5FCC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Безусловно, близость к зоне СВО не являлась главным фактором миграционного оттока, особенно в Липецкой и Тамбовской областях</w:t>
      </w:r>
      <w:r w:rsidR="002D2612" w:rsidRPr="00F12694">
        <w:rPr>
          <w:sz w:val="24"/>
          <w:szCs w:val="24"/>
        </w:rPr>
        <w:t>, не граничащих с Украиной</w:t>
      </w:r>
      <w:r w:rsidRPr="00F12694">
        <w:rPr>
          <w:sz w:val="24"/>
          <w:szCs w:val="24"/>
        </w:rPr>
        <w:t>. Воронежская область</w:t>
      </w:r>
      <w:r w:rsidR="00416CBD" w:rsidRPr="00F12694">
        <w:rPr>
          <w:sz w:val="24"/>
          <w:szCs w:val="24"/>
        </w:rPr>
        <w:t>, скорее всего,</w:t>
      </w:r>
      <w:r w:rsidRPr="00F12694">
        <w:rPr>
          <w:sz w:val="24"/>
          <w:szCs w:val="24"/>
        </w:rPr>
        <w:t xml:space="preserve"> отчасти даже восполнила отток </w:t>
      </w:r>
      <w:r w:rsidR="00416CBD" w:rsidRPr="00F12694">
        <w:rPr>
          <w:sz w:val="24"/>
          <w:szCs w:val="24"/>
        </w:rPr>
        <w:t xml:space="preserve">своего </w:t>
      </w:r>
      <w:r w:rsidRPr="00F12694">
        <w:rPr>
          <w:sz w:val="24"/>
          <w:szCs w:val="24"/>
        </w:rPr>
        <w:t xml:space="preserve">населения </w:t>
      </w:r>
      <w:r w:rsidR="00416CBD" w:rsidRPr="00F12694">
        <w:rPr>
          <w:sz w:val="24"/>
          <w:szCs w:val="24"/>
        </w:rPr>
        <w:t xml:space="preserve">притоком из Белгородской и Курской областей. </w:t>
      </w:r>
    </w:p>
    <w:p w14:paraId="090B4688" w14:textId="047F579D" w:rsidR="00180FE0" w:rsidRPr="00F12694" w:rsidRDefault="00626D4B" w:rsidP="00180FE0">
      <w:pPr>
        <w:spacing w:after="0"/>
        <w:ind w:firstLine="709"/>
        <w:jc w:val="right"/>
        <w:rPr>
          <w:sz w:val="24"/>
          <w:szCs w:val="24"/>
        </w:rPr>
      </w:pPr>
      <w:bookmarkStart w:id="2" w:name="_Hlk161483898"/>
      <w:r w:rsidRPr="00F12694">
        <w:rPr>
          <w:sz w:val="24"/>
          <w:szCs w:val="24"/>
        </w:rPr>
        <w:t xml:space="preserve">Таблица </w:t>
      </w:r>
      <w:r w:rsidR="00AE14D8" w:rsidRPr="00F12694">
        <w:rPr>
          <w:sz w:val="24"/>
          <w:szCs w:val="24"/>
        </w:rPr>
        <w:t>2</w:t>
      </w:r>
      <w:bookmarkEnd w:id="2"/>
    </w:p>
    <w:p w14:paraId="21C9BFC6" w14:textId="4EE1D451" w:rsidR="00626D4B" w:rsidRPr="00F12694" w:rsidRDefault="00E51152" w:rsidP="00626D4B">
      <w:pPr>
        <w:spacing w:after="0"/>
        <w:ind w:firstLine="709"/>
        <w:jc w:val="center"/>
        <w:rPr>
          <w:sz w:val="24"/>
          <w:szCs w:val="24"/>
        </w:rPr>
      </w:pPr>
      <w:r w:rsidRPr="00F12694">
        <w:rPr>
          <w:sz w:val="24"/>
          <w:szCs w:val="24"/>
        </w:rPr>
        <w:t>Миграционный прирост/убыль</w:t>
      </w:r>
      <w:r w:rsidRPr="00F12694">
        <w:rPr>
          <w:rStyle w:val="a6"/>
          <w:sz w:val="24"/>
          <w:szCs w:val="24"/>
          <w:vertAlign w:val="baseline"/>
        </w:rPr>
        <w:t xml:space="preserve"> </w:t>
      </w:r>
      <w:r w:rsidRPr="00F12694">
        <w:rPr>
          <w:sz w:val="24"/>
          <w:szCs w:val="24"/>
        </w:rPr>
        <w:t>в регионах Центрального Черноземья</w:t>
      </w:r>
      <w:r w:rsidR="00626D4B" w:rsidRPr="00F12694">
        <w:rPr>
          <w:rStyle w:val="a6"/>
          <w:sz w:val="24"/>
          <w:szCs w:val="24"/>
        </w:rPr>
        <w:footnoteReference w:id="4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57"/>
        <w:gridCol w:w="2099"/>
        <w:gridCol w:w="2294"/>
        <w:gridCol w:w="2294"/>
      </w:tblGrid>
      <w:tr w:rsidR="00626D4B" w:rsidRPr="00F12694" w14:paraId="28496BA0" w14:textId="77777777" w:rsidTr="001F1379">
        <w:tc>
          <w:tcPr>
            <w:tcW w:w="2657" w:type="dxa"/>
            <w:vMerge w:val="restart"/>
          </w:tcPr>
          <w:p w14:paraId="53CEE28C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Регионы</w:t>
            </w:r>
          </w:p>
        </w:tc>
        <w:tc>
          <w:tcPr>
            <w:tcW w:w="6687" w:type="dxa"/>
            <w:gridSpan w:val="3"/>
          </w:tcPr>
          <w:p w14:paraId="42D609F9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Миграционный прирост/убыль</w:t>
            </w:r>
          </w:p>
        </w:tc>
      </w:tr>
      <w:tr w:rsidR="00626D4B" w:rsidRPr="00F12694" w14:paraId="2D28FFF3" w14:textId="77777777" w:rsidTr="001F1379">
        <w:tc>
          <w:tcPr>
            <w:tcW w:w="2657" w:type="dxa"/>
            <w:vMerge/>
          </w:tcPr>
          <w:p w14:paraId="23B2AE9F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99" w:type="dxa"/>
          </w:tcPr>
          <w:p w14:paraId="18E1C6E8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2021</w:t>
            </w:r>
          </w:p>
        </w:tc>
        <w:tc>
          <w:tcPr>
            <w:tcW w:w="2294" w:type="dxa"/>
          </w:tcPr>
          <w:p w14:paraId="28986E27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2022</w:t>
            </w:r>
          </w:p>
        </w:tc>
        <w:tc>
          <w:tcPr>
            <w:tcW w:w="2294" w:type="dxa"/>
          </w:tcPr>
          <w:p w14:paraId="7AC686A9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2023</w:t>
            </w:r>
          </w:p>
        </w:tc>
      </w:tr>
      <w:tr w:rsidR="00626D4B" w:rsidRPr="00F12694" w14:paraId="0653E315" w14:textId="77777777" w:rsidTr="001F1379">
        <w:tc>
          <w:tcPr>
            <w:tcW w:w="2657" w:type="dxa"/>
          </w:tcPr>
          <w:p w14:paraId="18EFDF2D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Белгородская область</w:t>
            </w:r>
          </w:p>
        </w:tc>
        <w:tc>
          <w:tcPr>
            <w:tcW w:w="2099" w:type="dxa"/>
          </w:tcPr>
          <w:p w14:paraId="45518947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6436</w:t>
            </w:r>
          </w:p>
        </w:tc>
        <w:tc>
          <w:tcPr>
            <w:tcW w:w="2294" w:type="dxa"/>
          </w:tcPr>
          <w:p w14:paraId="640C5104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-11965</w:t>
            </w:r>
          </w:p>
        </w:tc>
        <w:tc>
          <w:tcPr>
            <w:tcW w:w="2294" w:type="dxa"/>
          </w:tcPr>
          <w:p w14:paraId="478CF9B1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-3649</w:t>
            </w:r>
          </w:p>
        </w:tc>
      </w:tr>
      <w:tr w:rsidR="00626D4B" w:rsidRPr="00F12694" w14:paraId="664353EE" w14:textId="77777777" w:rsidTr="001F1379">
        <w:tc>
          <w:tcPr>
            <w:tcW w:w="2657" w:type="dxa"/>
          </w:tcPr>
          <w:p w14:paraId="5B3B3FB2" w14:textId="5417C567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Воронежская область</w:t>
            </w:r>
          </w:p>
        </w:tc>
        <w:tc>
          <w:tcPr>
            <w:tcW w:w="2099" w:type="dxa"/>
          </w:tcPr>
          <w:p w14:paraId="0B0769CE" w14:textId="2EFCDBD5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10062</w:t>
            </w:r>
          </w:p>
        </w:tc>
        <w:tc>
          <w:tcPr>
            <w:tcW w:w="2294" w:type="dxa"/>
          </w:tcPr>
          <w:p w14:paraId="3672CB05" w14:textId="358A44EF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625</w:t>
            </w:r>
          </w:p>
        </w:tc>
        <w:tc>
          <w:tcPr>
            <w:tcW w:w="2294" w:type="dxa"/>
          </w:tcPr>
          <w:p w14:paraId="6CE347B8" w14:textId="14835467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4421</w:t>
            </w:r>
          </w:p>
        </w:tc>
      </w:tr>
      <w:tr w:rsidR="00626D4B" w:rsidRPr="00F12694" w14:paraId="4D058DBE" w14:textId="77777777" w:rsidTr="001F1379">
        <w:tc>
          <w:tcPr>
            <w:tcW w:w="2657" w:type="dxa"/>
          </w:tcPr>
          <w:p w14:paraId="3FF7B57E" w14:textId="0D49A327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lastRenderedPageBreak/>
              <w:t>Курская область</w:t>
            </w:r>
          </w:p>
        </w:tc>
        <w:tc>
          <w:tcPr>
            <w:tcW w:w="2099" w:type="dxa"/>
          </w:tcPr>
          <w:p w14:paraId="1CFA690F" w14:textId="5D04B754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1698</w:t>
            </w:r>
          </w:p>
        </w:tc>
        <w:tc>
          <w:tcPr>
            <w:tcW w:w="2294" w:type="dxa"/>
          </w:tcPr>
          <w:p w14:paraId="4D9D2676" w14:textId="18F9F925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-2275</w:t>
            </w:r>
          </w:p>
        </w:tc>
        <w:tc>
          <w:tcPr>
            <w:tcW w:w="2294" w:type="dxa"/>
          </w:tcPr>
          <w:p w14:paraId="20D957AF" w14:textId="48D7BBEF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1185</w:t>
            </w:r>
          </w:p>
        </w:tc>
      </w:tr>
      <w:tr w:rsidR="00626D4B" w:rsidRPr="00F12694" w14:paraId="7F9651ED" w14:textId="77777777" w:rsidTr="001F1379">
        <w:tc>
          <w:tcPr>
            <w:tcW w:w="2657" w:type="dxa"/>
          </w:tcPr>
          <w:p w14:paraId="691BA290" w14:textId="0406EA6E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bookmarkStart w:id="5" w:name="_Hlk161483458"/>
            <w:r w:rsidRPr="00F12694">
              <w:rPr>
                <w:sz w:val="24"/>
                <w:szCs w:val="24"/>
              </w:rPr>
              <w:t>Липецкая область</w:t>
            </w:r>
            <w:bookmarkEnd w:id="5"/>
          </w:p>
        </w:tc>
        <w:tc>
          <w:tcPr>
            <w:tcW w:w="2099" w:type="dxa"/>
          </w:tcPr>
          <w:p w14:paraId="643867C5" w14:textId="690F18FF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258</w:t>
            </w:r>
          </w:p>
        </w:tc>
        <w:tc>
          <w:tcPr>
            <w:tcW w:w="2294" w:type="dxa"/>
          </w:tcPr>
          <w:p w14:paraId="62F1DB43" w14:textId="109BD9B9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-2739</w:t>
            </w:r>
          </w:p>
        </w:tc>
        <w:tc>
          <w:tcPr>
            <w:tcW w:w="2294" w:type="dxa"/>
          </w:tcPr>
          <w:p w14:paraId="73758C5A" w14:textId="29F53AD4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-1741</w:t>
            </w:r>
          </w:p>
        </w:tc>
      </w:tr>
      <w:tr w:rsidR="00626D4B" w:rsidRPr="00F12694" w14:paraId="3466427C" w14:textId="77777777" w:rsidTr="001F1379">
        <w:tc>
          <w:tcPr>
            <w:tcW w:w="2657" w:type="dxa"/>
          </w:tcPr>
          <w:p w14:paraId="4CC7C7BD" w14:textId="726CBB1A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Тамбовская область</w:t>
            </w:r>
          </w:p>
        </w:tc>
        <w:tc>
          <w:tcPr>
            <w:tcW w:w="2099" w:type="dxa"/>
          </w:tcPr>
          <w:p w14:paraId="27466C30" w14:textId="1C97AB3C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-9</w:t>
            </w:r>
          </w:p>
        </w:tc>
        <w:tc>
          <w:tcPr>
            <w:tcW w:w="2294" w:type="dxa"/>
          </w:tcPr>
          <w:p w14:paraId="53B12EB3" w14:textId="21D3CF2F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-3207</w:t>
            </w:r>
          </w:p>
        </w:tc>
        <w:tc>
          <w:tcPr>
            <w:tcW w:w="2294" w:type="dxa"/>
          </w:tcPr>
          <w:p w14:paraId="4F596AE2" w14:textId="28F2F1E6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-1381</w:t>
            </w:r>
          </w:p>
        </w:tc>
      </w:tr>
    </w:tbl>
    <w:p w14:paraId="4454956D" w14:textId="77777777" w:rsidR="00F12C76" w:rsidRPr="00F12694" w:rsidRDefault="00F12C76" w:rsidP="006C0B77">
      <w:pPr>
        <w:spacing w:after="0"/>
        <w:ind w:firstLine="709"/>
        <w:jc w:val="both"/>
        <w:rPr>
          <w:sz w:val="24"/>
          <w:szCs w:val="24"/>
        </w:rPr>
      </w:pPr>
    </w:p>
    <w:p w14:paraId="41AF2DD9" w14:textId="5AA2DB57" w:rsidR="002D2612" w:rsidRPr="00F12694" w:rsidRDefault="002D2612" w:rsidP="006C0B77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Естественно, официальные показатели миграционной убыли в регионах Центрального Черноземья, особенно в приграничных, в определенной мере являются «верхушкой айсберга», поскольку, во-первых, не учитывают людей, уехавших в другие регионы, но не снявшихся с регистрационного учета (а таких, особенно в Белгородской области, очень много). И, во-вторых, сухие цифры не отражают качества миграционного оттока. </w:t>
      </w:r>
      <w:r w:rsidR="00562D00" w:rsidRPr="00F12694">
        <w:rPr>
          <w:sz w:val="24"/>
          <w:szCs w:val="24"/>
        </w:rPr>
        <w:t xml:space="preserve">Можно предположить, что значительная часть миграционного оттока из регионов Центрального Черноземья (в том числе, приграничных) формируется за счет востребованных на рынке труда специалистов и их семей. В результате региональные рынки труда, и без того достаточно дефицитные относительно квалифицированных кадров, испытывают дальнейшую эрозию. Данный фактор становится серьезным вызовом устойчивому развитию регионов Центрально-Черноземного макрорегиона и особенно – Белгородской области. </w:t>
      </w:r>
      <w:r w:rsidR="004152EA" w:rsidRPr="00F12694">
        <w:rPr>
          <w:sz w:val="24"/>
          <w:szCs w:val="24"/>
        </w:rPr>
        <w:t>В Стратегии социально-экономического развития Белгородской области на период до 2030 года отмечается, что «с начала 2022 года в Белгородской области, традиционно привлекательной для жителей из других регионов, появилась тенденция миграционной убыли. Если данная тенденция не будет вовремя переломлена, она может обернуться системным кризисом (дефицитом) трудовых ресурсов»</w:t>
      </w:r>
      <w:r w:rsidR="004152EA" w:rsidRPr="00F12694">
        <w:rPr>
          <w:rStyle w:val="a6"/>
          <w:sz w:val="24"/>
          <w:szCs w:val="24"/>
        </w:rPr>
        <w:footnoteReference w:id="5"/>
      </w:r>
      <w:r w:rsidR="004152EA" w:rsidRPr="00F12694">
        <w:rPr>
          <w:sz w:val="24"/>
          <w:szCs w:val="24"/>
        </w:rPr>
        <w:t>.</w:t>
      </w:r>
    </w:p>
    <w:p w14:paraId="0AFF4B0C" w14:textId="77777777" w:rsidR="004152EA" w:rsidRPr="00F12694" w:rsidRDefault="004152EA" w:rsidP="006C0B77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Заметным аспектом миграционной ситуации в регионах Центрального Черноземья стали также внутрирегиональные перемещения граждан с приграничных территорий в более безопасные районы (в Белгородской и Курской областях), а также резкий рост транзитной миграции в 2022 году по направлению «Украины (или новые российские регионы) – Россия» и затем (с меньшей интенсивностью) – обратно. </w:t>
      </w:r>
    </w:p>
    <w:p w14:paraId="7A23C2F0" w14:textId="035A57B2" w:rsidR="004152EA" w:rsidRPr="00F12694" w:rsidRDefault="004152EA" w:rsidP="006C0B77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Что касается внутрирегиональной миграции, обусловленной фактором СВО, то только в первые ее недели из приграничных населенных пунктов Белгородской области были эвакуированы более 3500 человек</w:t>
      </w:r>
      <w:r w:rsidRPr="00F12694">
        <w:rPr>
          <w:rStyle w:val="a6"/>
          <w:sz w:val="24"/>
          <w:szCs w:val="24"/>
        </w:rPr>
        <w:footnoteReference w:id="6"/>
      </w:r>
      <w:r w:rsidRPr="00F12694">
        <w:rPr>
          <w:sz w:val="24"/>
          <w:szCs w:val="24"/>
        </w:rPr>
        <w:t>.</w:t>
      </w:r>
      <w:r w:rsidRPr="00F12694">
        <w:t xml:space="preserve"> </w:t>
      </w:r>
      <w:r w:rsidRPr="00F12694">
        <w:rPr>
          <w:sz w:val="24"/>
          <w:szCs w:val="24"/>
        </w:rPr>
        <w:t xml:space="preserve">Даже в конце 2023 года в пунктах временного размещения Белгородской области продолжали проживать более 1200 человек, вынуждено покинувших свои дома, даже с учетом того, что </w:t>
      </w:r>
      <w:r w:rsidR="00E40099" w:rsidRPr="00F12694">
        <w:rPr>
          <w:sz w:val="24"/>
          <w:szCs w:val="24"/>
        </w:rPr>
        <w:t>несколько сотен</w:t>
      </w:r>
      <w:r w:rsidRPr="00F12694">
        <w:rPr>
          <w:sz w:val="24"/>
          <w:szCs w:val="24"/>
        </w:rPr>
        <w:t xml:space="preserve"> семей получили новое жилье</w:t>
      </w:r>
      <w:r w:rsidR="00E40099" w:rsidRPr="00F12694">
        <w:rPr>
          <w:rStyle w:val="a6"/>
          <w:sz w:val="24"/>
          <w:szCs w:val="24"/>
        </w:rPr>
        <w:footnoteReference w:id="7"/>
      </w:r>
      <w:r w:rsidRPr="00F12694">
        <w:rPr>
          <w:sz w:val="24"/>
          <w:szCs w:val="24"/>
        </w:rPr>
        <w:t>.</w:t>
      </w:r>
    </w:p>
    <w:p w14:paraId="323EDD4D" w14:textId="25747A4B" w:rsidR="002D2612" w:rsidRPr="00F12694" w:rsidRDefault="004152EA" w:rsidP="006C0B77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Транзитная миграция затронула все регионы Центрального Черноземья</w:t>
      </w:r>
      <w:r w:rsidR="00E40099" w:rsidRPr="00F12694">
        <w:rPr>
          <w:sz w:val="24"/>
          <w:szCs w:val="24"/>
        </w:rPr>
        <w:t>. Данные государственной статистики показывают резкий рост числа лиц, получивших временное убежище на территории данных регионов в 2022 году с постепенной «нормализацией» значений показателя в 2023-м</w:t>
      </w:r>
      <w:r w:rsidR="00821193" w:rsidRPr="00F12694">
        <w:rPr>
          <w:sz w:val="24"/>
          <w:szCs w:val="24"/>
        </w:rPr>
        <w:t xml:space="preserve"> (табл. 3)</w:t>
      </w:r>
      <w:r w:rsidR="00E40099" w:rsidRPr="00F12694">
        <w:rPr>
          <w:sz w:val="24"/>
          <w:szCs w:val="24"/>
        </w:rPr>
        <w:t xml:space="preserve">. </w:t>
      </w:r>
    </w:p>
    <w:p w14:paraId="002A213F" w14:textId="713FBD32" w:rsidR="00180FE0" w:rsidRPr="00F12694" w:rsidRDefault="0018757F" w:rsidP="00180FE0">
      <w:pPr>
        <w:spacing w:after="0"/>
        <w:ind w:firstLine="709"/>
        <w:jc w:val="right"/>
      </w:pPr>
      <w:r w:rsidRPr="00F12694">
        <w:rPr>
          <w:sz w:val="24"/>
          <w:szCs w:val="24"/>
        </w:rPr>
        <w:t xml:space="preserve">Таблица </w:t>
      </w:r>
      <w:r w:rsidR="00AE14D8" w:rsidRPr="00F12694">
        <w:rPr>
          <w:sz w:val="24"/>
          <w:szCs w:val="24"/>
        </w:rPr>
        <w:t>3</w:t>
      </w:r>
    </w:p>
    <w:p w14:paraId="010A050B" w14:textId="15B2612D" w:rsidR="00626D4B" w:rsidRPr="00F12694" w:rsidRDefault="00E51152" w:rsidP="00180FE0">
      <w:pPr>
        <w:spacing w:after="0"/>
        <w:ind w:firstLine="709"/>
        <w:jc w:val="center"/>
        <w:rPr>
          <w:sz w:val="24"/>
          <w:szCs w:val="24"/>
        </w:rPr>
      </w:pPr>
      <w:r w:rsidRPr="00F12694">
        <w:rPr>
          <w:sz w:val="24"/>
          <w:szCs w:val="24"/>
        </w:rPr>
        <w:t>Число лиц, получивших временное убежище в регионах Центрального Черноземья</w:t>
      </w:r>
      <w:r w:rsidR="0018757F" w:rsidRPr="00F12694">
        <w:rPr>
          <w:rStyle w:val="a6"/>
          <w:sz w:val="24"/>
          <w:szCs w:val="24"/>
        </w:rPr>
        <w:footnoteReference w:id="8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57"/>
        <w:gridCol w:w="2099"/>
        <w:gridCol w:w="2294"/>
        <w:gridCol w:w="2294"/>
      </w:tblGrid>
      <w:tr w:rsidR="00626D4B" w:rsidRPr="00F12694" w14:paraId="1CC3286A" w14:textId="77777777" w:rsidTr="001F1379">
        <w:tc>
          <w:tcPr>
            <w:tcW w:w="2657" w:type="dxa"/>
            <w:vMerge w:val="restart"/>
          </w:tcPr>
          <w:p w14:paraId="7E054678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Регионы</w:t>
            </w:r>
          </w:p>
        </w:tc>
        <w:tc>
          <w:tcPr>
            <w:tcW w:w="6687" w:type="dxa"/>
            <w:gridSpan w:val="3"/>
          </w:tcPr>
          <w:p w14:paraId="2B6D5784" w14:textId="2EE83536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bookmarkStart w:id="6" w:name="_Hlk161563962"/>
            <w:r w:rsidRPr="00F12694">
              <w:rPr>
                <w:sz w:val="24"/>
                <w:szCs w:val="24"/>
              </w:rPr>
              <w:t xml:space="preserve">Число лиц, получивших временное убежище </w:t>
            </w:r>
            <w:bookmarkEnd w:id="6"/>
            <w:r w:rsidRPr="00F12694">
              <w:rPr>
                <w:sz w:val="24"/>
                <w:szCs w:val="24"/>
              </w:rPr>
              <w:t>на 1 января соответствующего года</w:t>
            </w:r>
          </w:p>
        </w:tc>
      </w:tr>
      <w:tr w:rsidR="00626D4B" w:rsidRPr="00F12694" w14:paraId="4F133A63" w14:textId="77777777" w:rsidTr="001F1379">
        <w:tc>
          <w:tcPr>
            <w:tcW w:w="2657" w:type="dxa"/>
            <w:vMerge/>
          </w:tcPr>
          <w:p w14:paraId="05F22C99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99" w:type="dxa"/>
          </w:tcPr>
          <w:p w14:paraId="36A5A500" w14:textId="746891F3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2022</w:t>
            </w:r>
          </w:p>
        </w:tc>
        <w:tc>
          <w:tcPr>
            <w:tcW w:w="2294" w:type="dxa"/>
          </w:tcPr>
          <w:p w14:paraId="0BB7CC6B" w14:textId="01F509F4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2023</w:t>
            </w:r>
          </w:p>
        </w:tc>
        <w:tc>
          <w:tcPr>
            <w:tcW w:w="2294" w:type="dxa"/>
          </w:tcPr>
          <w:p w14:paraId="2529C910" w14:textId="36C0C180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2024</w:t>
            </w:r>
          </w:p>
        </w:tc>
      </w:tr>
      <w:tr w:rsidR="00626D4B" w:rsidRPr="00F12694" w14:paraId="0A65596E" w14:textId="77777777" w:rsidTr="001F1379">
        <w:tc>
          <w:tcPr>
            <w:tcW w:w="2657" w:type="dxa"/>
          </w:tcPr>
          <w:p w14:paraId="2FB3BE0F" w14:textId="7777777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Белгородская область</w:t>
            </w:r>
          </w:p>
        </w:tc>
        <w:tc>
          <w:tcPr>
            <w:tcW w:w="2099" w:type="dxa"/>
          </w:tcPr>
          <w:p w14:paraId="1D8F13FA" w14:textId="68130E0D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150</w:t>
            </w:r>
          </w:p>
        </w:tc>
        <w:tc>
          <w:tcPr>
            <w:tcW w:w="2294" w:type="dxa"/>
          </w:tcPr>
          <w:p w14:paraId="14FE1F16" w14:textId="04750DB5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2817</w:t>
            </w:r>
          </w:p>
        </w:tc>
        <w:tc>
          <w:tcPr>
            <w:tcW w:w="2294" w:type="dxa"/>
          </w:tcPr>
          <w:p w14:paraId="73FB4A7B" w14:textId="43AEF887" w:rsidR="00626D4B" w:rsidRPr="00F12694" w:rsidRDefault="00626D4B" w:rsidP="001F1379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660</w:t>
            </w:r>
          </w:p>
        </w:tc>
      </w:tr>
      <w:tr w:rsidR="00626D4B" w:rsidRPr="00F12694" w14:paraId="46032DDC" w14:textId="77777777" w:rsidTr="001F1379">
        <w:tc>
          <w:tcPr>
            <w:tcW w:w="2657" w:type="dxa"/>
          </w:tcPr>
          <w:p w14:paraId="6D249777" w14:textId="30249B6D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Воронежская область</w:t>
            </w:r>
          </w:p>
        </w:tc>
        <w:tc>
          <w:tcPr>
            <w:tcW w:w="2099" w:type="dxa"/>
          </w:tcPr>
          <w:p w14:paraId="2FD3AD83" w14:textId="42ACBC18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698</w:t>
            </w:r>
          </w:p>
        </w:tc>
        <w:tc>
          <w:tcPr>
            <w:tcW w:w="2294" w:type="dxa"/>
          </w:tcPr>
          <w:p w14:paraId="66B4490A" w14:textId="4653FCD6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5539</w:t>
            </w:r>
          </w:p>
        </w:tc>
        <w:tc>
          <w:tcPr>
            <w:tcW w:w="2294" w:type="dxa"/>
          </w:tcPr>
          <w:p w14:paraId="2D62E54B" w14:textId="499A276B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687</w:t>
            </w:r>
          </w:p>
        </w:tc>
      </w:tr>
      <w:tr w:rsidR="00626D4B" w:rsidRPr="00F12694" w14:paraId="33ECD86A" w14:textId="77777777" w:rsidTr="001F1379">
        <w:tc>
          <w:tcPr>
            <w:tcW w:w="2657" w:type="dxa"/>
          </w:tcPr>
          <w:p w14:paraId="030332EF" w14:textId="076B7E71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lastRenderedPageBreak/>
              <w:t>Курская область</w:t>
            </w:r>
          </w:p>
        </w:tc>
        <w:tc>
          <w:tcPr>
            <w:tcW w:w="2099" w:type="dxa"/>
          </w:tcPr>
          <w:p w14:paraId="2CC59E6B" w14:textId="426249E8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31</w:t>
            </w:r>
          </w:p>
        </w:tc>
        <w:tc>
          <w:tcPr>
            <w:tcW w:w="2294" w:type="dxa"/>
          </w:tcPr>
          <w:p w14:paraId="345B2D11" w14:textId="1EEB8138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1855</w:t>
            </w:r>
          </w:p>
        </w:tc>
        <w:tc>
          <w:tcPr>
            <w:tcW w:w="2294" w:type="dxa"/>
          </w:tcPr>
          <w:p w14:paraId="28DCA684" w14:textId="4CA3BD22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262</w:t>
            </w:r>
          </w:p>
        </w:tc>
      </w:tr>
      <w:tr w:rsidR="00626D4B" w:rsidRPr="00F12694" w14:paraId="3A2788A2" w14:textId="77777777" w:rsidTr="001F1379">
        <w:tc>
          <w:tcPr>
            <w:tcW w:w="2657" w:type="dxa"/>
          </w:tcPr>
          <w:p w14:paraId="203738C5" w14:textId="6245910C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Липецкая область</w:t>
            </w:r>
          </w:p>
        </w:tc>
        <w:tc>
          <w:tcPr>
            <w:tcW w:w="2099" w:type="dxa"/>
          </w:tcPr>
          <w:p w14:paraId="0189A461" w14:textId="5785998A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245</w:t>
            </w:r>
          </w:p>
        </w:tc>
        <w:tc>
          <w:tcPr>
            <w:tcW w:w="2294" w:type="dxa"/>
          </w:tcPr>
          <w:p w14:paraId="1873C34E" w14:textId="736E0A5A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1435</w:t>
            </w:r>
          </w:p>
        </w:tc>
        <w:tc>
          <w:tcPr>
            <w:tcW w:w="2294" w:type="dxa"/>
          </w:tcPr>
          <w:p w14:paraId="2C18454E" w14:textId="16C0843B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378</w:t>
            </w:r>
          </w:p>
        </w:tc>
      </w:tr>
      <w:tr w:rsidR="00626D4B" w:rsidRPr="00F12694" w14:paraId="725A226B" w14:textId="77777777" w:rsidTr="001F1379">
        <w:tc>
          <w:tcPr>
            <w:tcW w:w="2657" w:type="dxa"/>
          </w:tcPr>
          <w:p w14:paraId="19B16F08" w14:textId="77777777" w:rsidR="00626D4B" w:rsidRPr="00F12694" w:rsidRDefault="00626D4B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Тамбовская область</w:t>
            </w:r>
          </w:p>
        </w:tc>
        <w:tc>
          <w:tcPr>
            <w:tcW w:w="2099" w:type="dxa"/>
          </w:tcPr>
          <w:p w14:paraId="46FD3C4E" w14:textId="73BB41C7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56</w:t>
            </w:r>
          </w:p>
        </w:tc>
        <w:tc>
          <w:tcPr>
            <w:tcW w:w="2294" w:type="dxa"/>
          </w:tcPr>
          <w:p w14:paraId="7BFF513A" w14:textId="7E952D16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628</w:t>
            </w:r>
          </w:p>
        </w:tc>
        <w:tc>
          <w:tcPr>
            <w:tcW w:w="2294" w:type="dxa"/>
          </w:tcPr>
          <w:p w14:paraId="0CDC168F" w14:textId="34D08864" w:rsidR="00626D4B" w:rsidRPr="00F12694" w:rsidRDefault="0018757F" w:rsidP="00626D4B">
            <w:pPr>
              <w:jc w:val="center"/>
              <w:rPr>
                <w:sz w:val="24"/>
                <w:szCs w:val="24"/>
              </w:rPr>
            </w:pPr>
            <w:r w:rsidRPr="00F12694">
              <w:rPr>
                <w:sz w:val="24"/>
                <w:szCs w:val="24"/>
              </w:rPr>
              <w:t>65</w:t>
            </w:r>
          </w:p>
        </w:tc>
      </w:tr>
    </w:tbl>
    <w:p w14:paraId="7FA1D214" w14:textId="77777777" w:rsidR="00626D4B" w:rsidRPr="00F12694" w:rsidRDefault="00626D4B" w:rsidP="006C0B77">
      <w:pPr>
        <w:spacing w:after="0"/>
        <w:ind w:firstLine="709"/>
        <w:jc w:val="both"/>
        <w:rPr>
          <w:sz w:val="24"/>
          <w:szCs w:val="24"/>
        </w:rPr>
      </w:pPr>
    </w:p>
    <w:p w14:paraId="4BCE08A6" w14:textId="3A87C560" w:rsidR="00E40099" w:rsidRPr="00F12694" w:rsidRDefault="00E40099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Согласно сведениям ПУ ФСБ России по Белгородской и Воронежской областям, в 2022 году через Государственную границу Российской Федерации на белгородском участке проследовали 534285 иностранных граждан и лиц без гражданства, из которых въехали на территорию Российской Федерации 322482 человека и выехали 211803. За 2023 год эти потоки уменьшились, но также оставались интенсивными: пересекли госграницу 382492 человек, из которых 175919 въехали на территорию России, и 206573 – выехали</w:t>
      </w:r>
      <w:r w:rsidRPr="00F12694">
        <w:rPr>
          <w:rStyle w:val="a6"/>
          <w:sz w:val="24"/>
          <w:szCs w:val="24"/>
        </w:rPr>
        <w:footnoteReference w:id="9"/>
      </w:r>
      <w:r w:rsidRPr="00F12694">
        <w:rPr>
          <w:sz w:val="24"/>
          <w:szCs w:val="24"/>
        </w:rPr>
        <w:t>.</w:t>
      </w:r>
    </w:p>
    <w:p w14:paraId="3CD3B3ED" w14:textId="0D6A8DC9" w:rsidR="000A6F25" w:rsidRPr="00F12694" w:rsidRDefault="000A6F2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В целях выявления основных тенденций демографических процессов в регионах Центрального Черноземья</w:t>
      </w:r>
      <w:r w:rsidR="000753C3" w:rsidRPr="00F12694">
        <w:rPr>
          <w:sz w:val="24"/>
          <w:szCs w:val="24"/>
        </w:rPr>
        <w:t xml:space="preserve"> </w:t>
      </w:r>
      <w:r w:rsidRPr="00F12694">
        <w:rPr>
          <w:sz w:val="24"/>
          <w:szCs w:val="24"/>
        </w:rPr>
        <w:t xml:space="preserve">в декабре 2023 года Лабораторией исследования демографических процессов Белгородского государственного национального исследовательского университета был проведен </w:t>
      </w:r>
      <w:r w:rsidR="000753C3" w:rsidRPr="00F12694">
        <w:rPr>
          <w:sz w:val="24"/>
          <w:szCs w:val="24"/>
        </w:rPr>
        <w:t>экспертн</w:t>
      </w:r>
      <w:r w:rsidRPr="00F12694">
        <w:rPr>
          <w:sz w:val="24"/>
          <w:szCs w:val="24"/>
        </w:rPr>
        <w:t>ый</w:t>
      </w:r>
      <w:r w:rsidR="000753C3" w:rsidRPr="00F12694">
        <w:rPr>
          <w:sz w:val="24"/>
          <w:szCs w:val="24"/>
        </w:rPr>
        <w:t xml:space="preserve"> опрос (N=30)</w:t>
      </w:r>
      <w:r w:rsidRPr="00F12694">
        <w:rPr>
          <w:sz w:val="24"/>
          <w:szCs w:val="24"/>
        </w:rPr>
        <w:t xml:space="preserve">. В частности, экспертам было предложено ранжировать по актуальности аспекты социально-демографической безопасности регионов Центрального Черноземья, исходя из реальных угроз и вызовов. В результате была выстроена следующая иерархия: </w:t>
      </w:r>
    </w:p>
    <w:p w14:paraId="20AA6563" w14:textId="7A6854BD" w:rsidR="000A6F25" w:rsidRPr="00F12694" w:rsidRDefault="000A6F2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1) достижение и поддержание уровня рождаемости на уровне, достаточном для простого воспроизводства населения (6</w:t>
      </w:r>
      <w:r w:rsidR="0088681B" w:rsidRPr="00F12694">
        <w:rPr>
          <w:sz w:val="24"/>
          <w:szCs w:val="24"/>
        </w:rPr>
        <w:t>0,0</w:t>
      </w:r>
      <w:r w:rsidRPr="00F12694">
        <w:rPr>
          <w:sz w:val="24"/>
          <w:szCs w:val="24"/>
        </w:rPr>
        <w:t xml:space="preserve">% экспертов присвоили ему статус максимально актуального); </w:t>
      </w:r>
    </w:p>
    <w:p w14:paraId="6E9629B2" w14:textId="21FD5266" w:rsidR="0088681B" w:rsidRPr="00F12694" w:rsidRDefault="0088681B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2) повышение продолжительности жизни и снижение уровня смертности в трудоспособном возрасте (60,0%); </w:t>
      </w:r>
    </w:p>
    <w:p w14:paraId="44005C15" w14:textId="35C8972D" w:rsidR="000A6F25" w:rsidRPr="00F12694" w:rsidRDefault="008160D3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3</w:t>
      </w:r>
      <w:r w:rsidR="000A6F25" w:rsidRPr="00F12694">
        <w:rPr>
          <w:sz w:val="24"/>
          <w:szCs w:val="24"/>
        </w:rPr>
        <w:t xml:space="preserve">) развитие политики </w:t>
      </w:r>
      <w:proofErr w:type="spellStart"/>
      <w:r w:rsidR="000A6F25" w:rsidRPr="00F12694">
        <w:rPr>
          <w:sz w:val="24"/>
          <w:szCs w:val="24"/>
        </w:rPr>
        <w:t>здоровьесбережения</w:t>
      </w:r>
      <w:proofErr w:type="spellEnd"/>
      <w:r w:rsidR="000A6F25" w:rsidRPr="00F12694">
        <w:rPr>
          <w:sz w:val="24"/>
          <w:szCs w:val="24"/>
        </w:rPr>
        <w:t xml:space="preserve"> населения (6</w:t>
      </w:r>
      <w:r w:rsidR="0088681B" w:rsidRPr="00F12694">
        <w:rPr>
          <w:sz w:val="24"/>
          <w:szCs w:val="24"/>
        </w:rPr>
        <w:t>0</w:t>
      </w:r>
      <w:r w:rsidR="000A6F25" w:rsidRPr="00F12694">
        <w:rPr>
          <w:sz w:val="24"/>
          <w:szCs w:val="24"/>
        </w:rPr>
        <w:t>,</w:t>
      </w:r>
      <w:r w:rsidR="0088681B" w:rsidRPr="00F12694">
        <w:rPr>
          <w:sz w:val="24"/>
          <w:szCs w:val="24"/>
        </w:rPr>
        <w:t>0</w:t>
      </w:r>
      <w:r w:rsidR="000A6F25" w:rsidRPr="00F12694">
        <w:rPr>
          <w:sz w:val="24"/>
          <w:szCs w:val="24"/>
        </w:rPr>
        <w:t xml:space="preserve">%); </w:t>
      </w:r>
    </w:p>
    <w:p w14:paraId="55AE853D" w14:textId="37433EEB" w:rsidR="000A6F25" w:rsidRPr="00F12694" w:rsidRDefault="000A6F2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4) уменьшение «выездной» миграции с целью сохранения человеческих ресурсов (</w:t>
      </w:r>
      <w:r w:rsidR="0088681B" w:rsidRPr="00F12694">
        <w:rPr>
          <w:sz w:val="24"/>
          <w:szCs w:val="24"/>
        </w:rPr>
        <w:t>20</w:t>
      </w:r>
      <w:r w:rsidRPr="00F12694">
        <w:rPr>
          <w:sz w:val="24"/>
          <w:szCs w:val="24"/>
        </w:rPr>
        <w:t>,</w:t>
      </w:r>
      <w:r w:rsidR="0088681B" w:rsidRPr="00F12694">
        <w:rPr>
          <w:sz w:val="24"/>
          <w:szCs w:val="24"/>
        </w:rPr>
        <w:t>0</w:t>
      </w:r>
      <w:r w:rsidRPr="00F12694">
        <w:rPr>
          <w:sz w:val="24"/>
          <w:szCs w:val="24"/>
        </w:rPr>
        <w:t>%);</w:t>
      </w:r>
    </w:p>
    <w:p w14:paraId="2830FD91" w14:textId="77777777" w:rsidR="000A6F25" w:rsidRPr="00F12694" w:rsidRDefault="000A6F2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5) регулирование «въездной» миграции для недопущения изменения сложившегося баланса этнокультурных отношений (20,0%).</w:t>
      </w:r>
    </w:p>
    <w:p w14:paraId="476E92B5" w14:textId="7A7C7771" w:rsidR="000A6F25" w:rsidRPr="00F12694" w:rsidRDefault="000A6F2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Таким образом, в экспертных оценках отчетливо выражена особая актуальность проблематики естественного воспроизводства населения, прежде всего, рождаемости, и здоровья населения сельских территорий Центрального Черноземья. Именно эти направления могут быть определены как ключевые при разработке мер, направленных на обеспечение социально-демографической безопасности сельских территорий.  </w:t>
      </w:r>
    </w:p>
    <w:p w14:paraId="29A155C1" w14:textId="56F98C1C" w:rsidR="00A54F56" w:rsidRPr="00F12694" w:rsidRDefault="00A54F56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Что касается миграционной ситуации, то следует отметить определенные различия и самой ситуации, и ключевых факторов миграционного оттока в регионах Центрального Черноземья. Так, Воронежская область, испытав временные трудности, сохранила статус региона с достаточно сильным миграционным притяжением. Для Липецкой и Тамбовской областей миграционный баланс и вне действия фактора СВО был достаточно зыбким. После начала СВО миграционный отток в этих регионах усилился, но, вероятно, был обусловлен особенностями регионального рынка труда. В Курской области миграционный отток 2022 года был в значительной степени компенсирован в следующем году. </w:t>
      </w:r>
      <w:r w:rsidR="00CA6D0E" w:rsidRPr="00F12694">
        <w:rPr>
          <w:sz w:val="24"/>
          <w:szCs w:val="24"/>
        </w:rPr>
        <w:t xml:space="preserve">В Белгородской области миграционная ситуация – как в отношении оттока населения, так и внутренних перемещений и транзитной миграции – оказалась наиболее острой и неопределенной с точки зрения влияния на социально-экономическое развитие региона. Безусловно, </w:t>
      </w:r>
      <w:r w:rsidRPr="00F12694">
        <w:rPr>
          <w:sz w:val="24"/>
          <w:szCs w:val="24"/>
        </w:rPr>
        <w:t xml:space="preserve">основным условием прекращения миграционного оттока и из региона, и из </w:t>
      </w:r>
      <w:r w:rsidR="00CA6D0E" w:rsidRPr="00F12694">
        <w:rPr>
          <w:sz w:val="24"/>
          <w:szCs w:val="24"/>
        </w:rPr>
        <w:t xml:space="preserve">ее </w:t>
      </w:r>
      <w:r w:rsidRPr="00F12694">
        <w:rPr>
          <w:sz w:val="24"/>
          <w:szCs w:val="24"/>
        </w:rPr>
        <w:t>приграничных муниципалитетов является кардинальное решение проблемы угроз военно-террористического характера с сопредельной территории. Но даже по мере снижения уровня данных угроз, Белгородская область будет оставаться регионом-лимитрофом, несущим бремя негативной символической нагрузки</w:t>
      </w:r>
      <w:r w:rsidR="00CA6D0E" w:rsidRPr="00F12694">
        <w:rPr>
          <w:sz w:val="24"/>
          <w:szCs w:val="24"/>
        </w:rPr>
        <w:t xml:space="preserve"> и испытывающим реальное напряжение</w:t>
      </w:r>
      <w:r w:rsidRPr="00F12694">
        <w:rPr>
          <w:sz w:val="24"/>
          <w:szCs w:val="24"/>
        </w:rPr>
        <w:t xml:space="preserve">. </w:t>
      </w:r>
    </w:p>
    <w:p w14:paraId="74C1F241" w14:textId="5C5854E5" w:rsidR="003F29B5" w:rsidRPr="00F12694" w:rsidRDefault="003F29B5" w:rsidP="000A6F25">
      <w:pPr>
        <w:spacing w:after="0"/>
        <w:ind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lastRenderedPageBreak/>
        <w:t>Центрально-Черноземный макрорегион очевидным образом нуждается в согласованной стратегии пространственного и социально-экономического развития, учитывающей специфику приграничных регионов и предполагающей дифференциацию подходов к управлению региональным развитием и усиление межрегиональной кооперации.</w:t>
      </w:r>
    </w:p>
    <w:p w14:paraId="45BD8E32" w14:textId="77777777" w:rsidR="00821193" w:rsidRPr="00F12694" w:rsidRDefault="00821193" w:rsidP="000A6F25">
      <w:pPr>
        <w:spacing w:after="0"/>
        <w:ind w:firstLine="709"/>
        <w:jc w:val="both"/>
        <w:rPr>
          <w:sz w:val="24"/>
          <w:szCs w:val="24"/>
        </w:rPr>
      </w:pPr>
    </w:p>
    <w:p w14:paraId="1B343929" w14:textId="795A9177" w:rsidR="00821193" w:rsidRPr="00F12694" w:rsidRDefault="00821193" w:rsidP="00821193">
      <w:pPr>
        <w:spacing w:after="0"/>
        <w:ind w:firstLine="709"/>
        <w:jc w:val="center"/>
        <w:rPr>
          <w:b/>
          <w:bCs/>
          <w:sz w:val="24"/>
          <w:szCs w:val="24"/>
        </w:rPr>
      </w:pPr>
      <w:r w:rsidRPr="00F12694">
        <w:rPr>
          <w:b/>
          <w:bCs/>
          <w:sz w:val="24"/>
          <w:szCs w:val="24"/>
        </w:rPr>
        <w:t>Библиографический список</w:t>
      </w:r>
    </w:p>
    <w:p w14:paraId="01783E56" w14:textId="6048B8CC" w:rsidR="00180FE0" w:rsidRPr="00F12694" w:rsidRDefault="00180FE0" w:rsidP="00180FE0">
      <w:pPr>
        <w:pStyle w:val="a4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proofErr w:type="spellStart"/>
      <w:r w:rsidRPr="00F12694">
        <w:rPr>
          <w:sz w:val="24"/>
          <w:szCs w:val="24"/>
        </w:rPr>
        <w:t>Пациорковский</w:t>
      </w:r>
      <w:proofErr w:type="spellEnd"/>
      <w:r w:rsidRPr="00F12694">
        <w:rPr>
          <w:sz w:val="24"/>
          <w:szCs w:val="24"/>
        </w:rPr>
        <w:t xml:space="preserve"> В.В. Демографическое развитие Центрально-Черноземного макрорегиона: движение и расселение населения // Международный демографический форум. Материалы заседания. Воронеж, 2020. С. 612-617.</w:t>
      </w:r>
    </w:p>
    <w:p w14:paraId="7CFC1A51" w14:textId="4149B7DF" w:rsidR="00180FE0" w:rsidRPr="00F12694" w:rsidRDefault="00180FE0" w:rsidP="00180FE0">
      <w:pPr>
        <w:pStyle w:val="a4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>Федорова А.Ю., Вейс Е.В., Илюхина М.В. Развитие человеческого капитала Центрально-Черноземного макрорегиона через создание межрегиональной цифровой платформы // Журнал Сибирского федерального университета. Серия: Гуманитарные науки. 2023. Т. 16. № 10. С. 1783-1791.</w:t>
      </w:r>
    </w:p>
    <w:p w14:paraId="6E8A94A7" w14:textId="14A329BA" w:rsidR="00180FE0" w:rsidRPr="00F12694" w:rsidRDefault="00180FE0" w:rsidP="00180FE0">
      <w:pPr>
        <w:pStyle w:val="a4"/>
        <w:numPr>
          <w:ilvl w:val="0"/>
          <w:numId w:val="1"/>
        </w:numPr>
        <w:ind w:left="0" w:firstLine="709"/>
        <w:jc w:val="both"/>
        <w:rPr>
          <w:sz w:val="24"/>
          <w:szCs w:val="24"/>
        </w:rPr>
      </w:pPr>
      <w:r w:rsidRPr="00F12694">
        <w:rPr>
          <w:sz w:val="24"/>
          <w:szCs w:val="24"/>
        </w:rPr>
        <w:t xml:space="preserve">Чернова О.Д. Социально-демографические аспекты миграции и их влияние на устойчивость развития российских регионов // </w:t>
      </w:r>
      <w:proofErr w:type="spellStart"/>
      <w:r w:rsidRPr="00F12694">
        <w:rPr>
          <w:sz w:val="24"/>
          <w:szCs w:val="24"/>
        </w:rPr>
        <w:t>Регионология</w:t>
      </w:r>
      <w:proofErr w:type="spellEnd"/>
      <w:r w:rsidRPr="00F12694">
        <w:rPr>
          <w:sz w:val="24"/>
          <w:szCs w:val="24"/>
        </w:rPr>
        <w:t>. 2023. Т. 31. № 4. С. 634-649.</w:t>
      </w:r>
    </w:p>
    <w:p w14:paraId="00235700" w14:textId="77777777" w:rsidR="006776A8" w:rsidRPr="00F12694" w:rsidRDefault="006776A8" w:rsidP="006776A8">
      <w:pPr>
        <w:pStyle w:val="a4"/>
        <w:jc w:val="both"/>
        <w:rPr>
          <w:sz w:val="24"/>
          <w:szCs w:val="24"/>
        </w:rPr>
      </w:pPr>
    </w:p>
    <w:p w14:paraId="4A9DAC9F" w14:textId="77777777" w:rsidR="006776A8" w:rsidRPr="00F12694" w:rsidRDefault="006776A8" w:rsidP="006776A8">
      <w:pPr>
        <w:spacing w:after="0"/>
        <w:jc w:val="center"/>
        <w:rPr>
          <w:rFonts w:eastAsia="Times New Roman" w:cs="Times New Roman"/>
          <w:kern w:val="0"/>
          <w:sz w:val="24"/>
          <w:szCs w:val="24"/>
          <w:lang w:eastAsia="ru-RU"/>
          <w14:ligatures w14:val="none"/>
        </w:rPr>
      </w:pPr>
      <w:r w:rsidRPr="00F12694">
        <w:rPr>
          <w:rFonts w:eastAsia="Times New Roman" w:cs="Times New Roman"/>
          <w:b/>
          <w:bCs/>
          <w:color w:val="000000"/>
          <w:kern w:val="0"/>
          <w:sz w:val="24"/>
          <w:szCs w:val="24"/>
          <w:shd w:val="clear" w:color="auto" w:fill="FFFFFF"/>
          <w:lang w:eastAsia="ru-RU"/>
          <w14:ligatures w14:val="none"/>
        </w:rPr>
        <w:t>Информация об авторе</w:t>
      </w:r>
    </w:p>
    <w:p w14:paraId="1DF4294E" w14:textId="4271A0B1" w:rsidR="006776A8" w:rsidRPr="00F12694" w:rsidRDefault="006776A8" w:rsidP="006776A8">
      <w:pPr>
        <w:spacing w:after="0"/>
        <w:ind w:firstLine="709"/>
        <w:jc w:val="both"/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</w:pPr>
      <w:r w:rsidRPr="00F12694">
        <w:rPr>
          <w:rFonts w:eastAsia="Times New Roman" w:cs="Times New Roman"/>
          <w:b/>
          <w:bCs/>
          <w:color w:val="000000"/>
          <w:kern w:val="0"/>
          <w:sz w:val="24"/>
          <w:szCs w:val="24"/>
          <w:lang w:eastAsia="ru-RU"/>
          <w14:ligatures w14:val="none"/>
        </w:rPr>
        <w:t>Реутов Евгений Викторович (Россия, Белгород)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– кандидат социологических наук, доцент, Белгородский государственный национальный исследовательский университет (308015, Россия, г. Белгород, ул. Победы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, 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д</w:t>
      </w:r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 xml:space="preserve">. 85; e-mail: </w:t>
      </w:r>
      <w:hyperlink r:id="rId8" w:history="1">
        <w:r w:rsidRPr="00F12694">
          <w:rPr>
            <w:rStyle w:val="a7"/>
            <w:rFonts w:eastAsia="Times New Roman" w:cs="Times New Roman"/>
            <w:kern w:val="0"/>
            <w:sz w:val="24"/>
            <w:szCs w:val="24"/>
            <w:lang w:val="en-US" w:eastAsia="ru-RU"/>
            <w14:ligatures w14:val="none"/>
          </w:rPr>
          <w:t>reutovevg@mail.ru</w:t>
        </w:r>
      </w:hyperlink>
      <w:r w:rsidRPr="00F12694">
        <w:rPr>
          <w:rFonts w:eastAsia="Times New Roman" w:cs="Times New Roman"/>
          <w:color w:val="000000"/>
          <w:kern w:val="0"/>
          <w:sz w:val="24"/>
          <w:szCs w:val="24"/>
          <w:lang w:val="en-US" w:eastAsia="ru-RU"/>
          <w14:ligatures w14:val="none"/>
        </w:rPr>
        <w:t>)</w:t>
      </w:r>
    </w:p>
    <w:p w14:paraId="449D7BFA" w14:textId="77777777" w:rsidR="00F12694" w:rsidRPr="00F12694" w:rsidRDefault="00F12694" w:rsidP="00F12694">
      <w:pPr>
        <w:spacing w:after="0"/>
        <w:ind w:firstLine="709"/>
        <w:jc w:val="right"/>
        <w:rPr>
          <w:b/>
          <w:bCs/>
          <w:sz w:val="24"/>
          <w:szCs w:val="24"/>
          <w:lang w:val="en-US"/>
        </w:rPr>
      </w:pPr>
      <w:r w:rsidRPr="00F12694">
        <w:rPr>
          <w:b/>
          <w:bCs/>
          <w:sz w:val="24"/>
          <w:szCs w:val="24"/>
          <w:lang w:val="en-US"/>
        </w:rPr>
        <w:t>Reutov E.V.</w:t>
      </w:r>
    </w:p>
    <w:p w14:paraId="68AA0128" w14:textId="77777777" w:rsidR="00F12694" w:rsidRPr="00F12694" w:rsidRDefault="00F12694" w:rsidP="00F12694">
      <w:pPr>
        <w:spacing w:after="0"/>
        <w:ind w:firstLine="709"/>
        <w:jc w:val="center"/>
        <w:rPr>
          <w:b/>
          <w:bCs/>
          <w:sz w:val="24"/>
          <w:szCs w:val="24"/>
          <w:lang w:val="en-US"/>
        </w:rPr>
      </w:pPr>
      <w:r w:rsidRPr="00F12694">
        <w:rPr>
          <w:b/>
          <w:bCs/>
          <w:sz w:val="24"/>
          <w:szCs w:val="24"/>
          <w:lang w:val="en-US"/>
        </w:rPr>
        <w:t>MAIN DEMOGRAPHIC TRENDS IN THE CENTRAL BLACK EARTH REGIONS IN 2021-2023</w:t>
      </w:r>
    </w:p>
    <w:p w14:paraId="0FD1152F" w14:textId="77777777" w:rsidR="00F12694" w:rsidRPr="00360860" w:rsidRDefault="00F12694" w:rsidP="00E31F9E">
      <w:pPr>
        <w:spacing w:after="0"/>
        <w:ind w:firstLine="709"/>
        <w:jc w:val="both"/>
        <w:rPr>
          <w:rStyle w:val="1364"/>
          <w:b/>
          <w:bCs/>
          <w:color w:val="000000"/>
          <w:sz w:val="24"/>
          <w:szCs w:val="24"/>
          <w:lang w:val="en-US"/>
        </w:rPr>
      </w:pPr>
    </w:p>
    <w:p w14:paraId="68612033" w14:textId="70D77437" w:rsidR="00E31F9E" w:rsidRPr="00F12694" w:rsidRDefault="000C776D" w:rsidP="00E31F9E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F12694">
        <w:rPr>
          <w:rStyle w:val="1364"/>
          <w:b/>
          <w:bCs/>
          <w:color w:val="000000"/>
          <w:sz w:val="24"/>
          <w:szCs w:val="24"/>
          <w:lang w:val="en-US"/>
        </w:rPr>
        <w:t>Abstract.</w:t>
      </w:r>
      <w:r w:rsidR="00E31F9E" w:rsidRPr="00F12694">
        <w:rPr>
          <w:rStyle w:val="1364"/>
          <w:b/>
          <w:bCs/>
          <w:color w:val="000000"/>
          <w:sz w:val="24"/>
          <w:szCs w:val="24"/>
          <w:lang w:val="en-US"/>
        </w:rPr>
        <w:t xml:space="preserve"> </w:t>
      </w:r>
      <w:r w:rsidR="00E31F9E" w:rsidRPr="00F12694">
        <w:rPr>
          <w:sz w:val="24"/>
          <w:szCs w:val="24"/>
          <w:lang w:val="en-US"/>
        </w:rPr>
        <w:t xml:space="preserve">The article reflects the main trends in the demographic situation in the regions of the Central Black Earth Region in 2021-2023, including those formed under the influence of a special military operation. </w:t>
      </w:r>
    </w:p>
    <w:p w14:paraId="0263C296" w14:textId="77777777" w:rsidR="00E31F9E" w:rsidRPr="00F12694" w:rsidRDefault="000C776D" w:rsidP="00E31F9E">
      <w:pPr>
        <w:spacing w:after="0"/>
        <w:ind w:firstLine="709"/>
        <w:jc w:val="both"/>
        <w:rPr>
          <w:sz w:val="24"/>
          <w:szCs w:val="24"/>
          <w:lang w:val="en-US"/>
        </w:rPr>
      </w:pPr>
      <w:r w:rsidRPr="00F12694">
        <w:rPr>
          <w:rStyle w:val="1365"/>
          <w:b/>
          <w:bCs/>
          <w:color w:val="000000"/>
          <w:sz w:val="24"/>
          <w:szCs w:val="24"/>
          <w:lang w:val="en-US"/>
        </w:rPr>
        <w:t>Keywords:</w:t>
      </w:r>
      <w:r w:rsidR="00E31F9E" w:rsidRPr="00F12694">
        <w:rPr>
          <w:rStyle w:val="1365"/>
          <w:b/>
          <w:bCs/>
          <w:color w:val="000000"/>
          <w:sz w:val="24"/>
          <w:szCs w:val="24"/>
          <w:lang w:val="en-US"/>
        </w:rPr>
        <w:t xml:space="preserve"> </w:t>
      </w:r>
      <w:r w:rsidR="00E31F9E" w:rsidRPr="00F12694">
        <w:rPr>
          <w:sz w:val="24"/>
          <w:szCs w:val="24"/>
          <w:lang w:val="en-US"/>
        </w:rPr>
        <w:t xml:space="preserve">Central Black Earth </w:t>
      </w:r>
      <w:proofErr w:type="spellStart"/>
      <w:r w:rsidR="00E31F9E" w:rsidRPr="00F12694">
        <w:rPr>
          <w:sz w:val="24"/>
          <w:szCs w:val="24"/>
          <w:lang w:val="en-US"/>
        </w:rPr>
        <w:t>macroregion</w:t>
      </w:r>
      <w:proofErr w:type="spellEnd"/>
      <w:r w:rsidR="00E31F9E" w:rsidRPr="00F12694">
        <w:rPr>
          <w:sz w:val="24"/>
          <w:szCs w:val="24"/>
          <w:lang w:val="en-US"/>
        </w:rPr>
        <w:t>, natural decline, migration outflow, transit migration, intraregional migration</w:t>
      </w:r>
    </w:p>
    <w:p w14:paraId="13E9394C" w14:textId="77777777" w:rsidR="006776A8" w:rsidRPr="00F12694" w:rsidRDefault="006776A8" w:rsidP="006776A8">
      <w:pPr>
        <w:pStyle w:val="docdata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  <w:r w:rsidRPr="00F12694">
        <w:rPr>
          <w:b/>
          <w:bCs/>
          <w:color w:val="000000"/>
          <w:lang w:val="en-US"/>
        </w:rPr>
        <w:t>About the author</w:t>
      </w:r>
    </w:p>
    <w:p w14:paraId="2E6790FB" w14:textId="761A3970" w:rsidR="006776A8" w:rsidRPr="00F12694" w:rsidRDefault="00E31F9E" w:rsidP="00E31F9E">
      <w:pPr>
        <w:pStyle w:val="docdata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  <w:r w:rsidRPr="00F12694">
        <w:rPr>
          <w:color w:val="000000"/>
          <w:lang w:val="en-US"/>
        </w:rPr>
        <w:t xml:space="preserve">Reutov Evgeniy Viktorovich (Russia, Belgorod) – Candidate of Sociological Sciences, Associate Professor, Belgorod State National Research University (308015, Russia, Belgorod, </w:t>
      </w:r>
      <w:proofErr w:type="spellStart"/>
      <w:r w:rsidRPr="00F12694">
        <w:rPr>
          <w:color w:val="000000"/>
          <w:lang w:val="en-US"/>
        </w:rPr>
        <w:t>Pobedy</w:t>
      </w:r>
      <w:proofErr w:type="spellEnd"/>
      <w:r w:rsidRPr="00F12694">
        <w:rPr>
          <w:color w:val="000000"/>
          <w:lang w:val="en-US"/>
        </w:rPr>
        <w:t xml:space="preserve"> St., 85; e-mail: </w:t>
      </w:r>
      <w:hyperlink r:id="rId9" w:history="1">
        <w:r w:rsidRPr="00F12694">
          <w:rPr>
            <w:rStyle w:val="a7"/>
            <w:lang w:val="en-US"/>
          </w:rPr>
          <w:t>reutovevg@mail.ru</w:t>
        </w:r>
      </w:hyperlink>
      <w:r w:rsidRPr="00F12694">
        <w:rPr>
          <w:color w:val="000000"/>
          <w:lang w:val="en-US"/>
        </w:rPr>
        <w:t>)</w:t>
      </w:r>
    </w:p>
    <w:p w14:paraId="4EE0C086" w14:textId="77777777" w:rsidR="006776A8" w:rsidRPr="00F12694" w:rsidRDefault="006776A8" w:rsidP="006776A8">
      <w:pPr>
        <w:pStyle w:val="docdata"/>
        <w:spacing w:before="0" w:beforeAutospacing="0" w:after="0" w:afterAutospacing="0"/>
        <w:ind w:firstLine="709"/>
        <w:jc w:val="center"/>
        <w:rPr>
          <w:lang w:val="en-US"/>
        </w:rPr>
      </w:pPr>
    </w:p>
    <w:p w14:paraId="76D3CD46" w14:textId="77777777" w:rsidR="006776A8" w:rsidRPr="00F12694" w:rsidRDefault="006776A8" w:rsidP="006776A8">
      <w:pPr>
        <w:pStyle w:val="docdata"/>
        <w:spacing w:before="0" w:beforeAutospacing="0" w:after="0" w:afterAutospacing="0"/>
        <w:jc w:val="center"/>
        <w:rPr>
          <w:lang w:val="en-US"/>
        </w:rPr>
      </w:pPr>
      <w:r w:rsidRPr="00F12694">
        <w:rPr>
          <w:b/>
          <w:bCs/>
          <w:color w:val="000000"/>
          <w:lang w:val="en-US"/>
        </w:rPr>
        <w:t>References</w:t>
      </w:r>
    </w:p>
    <w:p w14:paraId="501B2FDF" w14:textId="22F73948" w:rsidR="00E31F9E" w:rsidRPr="00F12694" w:rsidRDefault="00E31F9E" w:rsidP="00E31F9E">
      <w:pPr>
        <w:pStyle w:val="a4"/>
        <w:numPr>
          <w:ilvl w:val="0"/>
          <w:numId w:val="2"/>
        </w:numPr>
        <w:ind w:left="0" w:firstLine="709"/>
        <w:jc w:val="both"/>
        <w:rPr>
          <w:sz w:val="24"/>
          <w:szCs w:val="24"/>
        </w:rPr>
      </w:pPr>
      <w:proofErr w:type="spellStart"/>
      <w:r w:rsidRPr="00F12694">
        <w:rPr>
          <w:sz w:val="24"/>
          <w:szCs w:val="24"/>
          <w:lang w:val="en-US"/>
        </w:rPr>
        <w:t>Patsiorkovsky</w:t>
      </w:r>
      <w:proofErr w:type="spellEnd"/>
      <w:r w:rsidRPr="00F12694">
        <w:rPr>
          <w:sz w:val="24"/>
          <w:szCs w:val="24"/>
          <w:lang w:val="en-US"/>
        </w:rPr>
        <w:t xml:space="preserve"> V.V. Demographic development of the Central Black Earth </w:t>
      </w:r>
      <w:proofErr w:type="spellStart"/>
      <w:r w:rsidRPr="00F12694">
        <w:rPr>
          <w:sz w:val="24"/>
          <w:szCs w:val="24"/>
          <w:lang w:val="en-US"/>
        </w:rPr>
        <w:t>macroregion</w:t>
      </w:r>
      <w:proofErr w:type="spellEnd"/>
      <w:r w:rsidRPr="00F12694">
        <w:rPr>
          <w:sz w:val="24"/>
          <w:szCs w:val="24"/>
          <w:lang w:val="en-US"/>
        </w:rPr>
        <w:t xml:space="preserve">: movement and settlement of the population // International Demographic Forum. Meeting materials. Voronezh, 2020. </w:t>
      </w:r>
      <w:r w:rsidR="00F12694" w:rsidRPr="00F12694">
        <w:rPr>
          <w:sz w:val="24"/>
          <w:szCs w:val="24"/>
          <w:lang w:val="en-US"/>
        </w:rPr>
        <w:t>P</w:t>
      </w:r>
      <w:r w:rsidRPr="00F12694">
        <w:rPr>
          <w:sz w:val="24"/>
          <w:szCs w:val="24"/>
          <w:lang w:val="en-US"/>
        </w:rPr>
        <w:t>p. 612-617.</w:t>
      </w:r>
    </w:p>
    <w:p w14:paraId="4CBADEC9" w14:textId="537FA6A2" w:rsidR="00E31F9E" w:rsidRPr="00F12694" w:rsidRDefault="00E31F9E" w:rsidP="00E31F9E">
      <w:pPr>
        <w:pStyle w:val="a4"/>
        <w:numPr>
          <w:ilvl w:val="0"/>
          <w:numId w:val="2"/>
        </w:numPr>
        <w:ind w:left="0" w:firstLine="709"/>
        <w:jc w:val="both"/>
        <w:rPr>
          <w:sz w:val="24"/>
          <w:szCs w:val="24"/>
          <w:lang w:val="en-US"/>
        </w:rPr>
      </w:pPr>
      <w:r w:rsidRPr="00F12694">
        <w:rPr>
          <w:sz w:val="24"/>
          <w:szCs w:val="24"/>
          <w:lang w:val="en-US"/>
        </w:rPr>
        <w:t xml:space="preserve">Fedorova </w:t>
      </w:r>
      <w:proofErr w:type="spellStart"/>
      <w:r w:rsidRPr="00F12694">
        <w:rPr>
          <w:sz w:val="24"/>
          <w:szCs w:val="24"/>
          <w:lang w:val="en-US"/>
        </w:rPr>
        <w:t>A.Yu</w:t>
      </w:r>
      <w:proofErr w:type="spellEnd"/>
      <w:r w:rsidRPr="00F12694">
        <w:rPr>
          <w:sz w:val="24"/>
          <w:szCs w:val="24"/>
          <w:lang w:val="en-US"/>
        </w:rPr>
        <w:t xml:space="preserve">., Weiss E.V., </w:t>
      </w:r>
      <w:proofErr w:type="spellStart"/>
      <w:r w:rsidRPr="00F12694">
        <w:rPr>
          <w:sz w:val="24"/>
          <w:szCs w:val="24"/>
          <w:lang w:val="en-US"/>
        </w:rPr>
        <w:t>Ilyukhina</w:t>
      </w:r>
      <w:proofErr w:type="spellEnd"/>
      <w:r w:rsidRPr="00F12694">
        <w:rPr>
          <w:sz w:val="24"/>
          <w:szCs w:val="24"/>
          <w:lang w:val="en-US"/>
        </w:rPr>
        <w:t xml:space="preserve"> M.V. Development of human capital of the Central Black Earth </w:t>
      </w:r>
      <w:proofErr w:type="spellStart"/>
      <w:r w:rsidRPr="00F12694">
        <w:rPr>
          <w:sz w:val="24"/>
          <w:szCs w:val="24"/>
          <w:lang w:val="en-US"/>
        </w:rPr>
        <w:t>macroregion</w:t>
      </w:r>
      <w:proofErr w:type="spellEnd"/>
      <w:r w:rsidRPr="00F12694">
        <w:rPr>
          <w:sz w:val="24"/>
          <w:szCs w:val="24"/>
          <w:lang w:val="en-US"/>
        </w:rPr>
        <w:t xml:space="preserve"> through the creation of an interregional digital platform // Journal of the Siberian Federal University. Series: Humanities. 2023. T. 16. No. 10. P</w:t>
      </w:r>
      <w:r w:rsidR="00F12694" w:rsidRPr="00F12694">
        <w:rPr>
          <w:sz w:val="24"/>
          <w:szCs w:val="24"/>
          <w:lang w:val="en-US"/>
        </w:rPr>
        <w:t>p</w:t>
      </w:r>
      <w:r w:rsidRPr="00F12694">
        <w:rPr>
          <w:sz w:val="24"/>
          <w:szCs w:val="24"/>
          <w:lang w:val="en-US"/>
        </w:rPr>
        <w:t>. 1783-1791.</w:t>
      </w:r>
    </w:p>
    <w:p w14:paraId="6F78F6C6" w14:textId="63266864" w:rsidR="006776A8" w:rsidRDefault="00E31F9E" w:rsidP="00E31F9E">
      <w:pPr>
        <w:pStyle w:val="a4"/>
        <w:ind w:firstLine="709"/>
        <w:jc w:val="both"/>
        <w:rPr>
          <w:sz w:val="24"/>
          <w:szCs w:val="24"/>
          <w:lang w:val="en-US"/>
        </w:rPr>
      </w:pPr>
      <w:r w:rsidRPr="00F12694">
        <w:rPr>
          <w:sz w:val="24"/>
          <w:szCs w:val="24"/>
          <w:lang w:val="en-US"/>
        </w:rPr>
        <w:t xml:space="preserve">3. Chernova O.D. Socio-demographic aspects of migration and their influence on the sustainability of development of Russian regions // </w:t>
      </w:r>
      <w:proofErr w:type="spellStart"/>
      <w:r w:rsidRPr="00F12694">
        <w:rPr>
          <w:sz w:val="24"/>
          <w:szCs w:val="24"/>
          <w:lang w:val="en-US"/>
        </w:rPr>
        <w:t>Regionology</w:t>
      </w:r>
      <w:proofErr w:type="spellEnd"/>
      <w:r w:rsidRPr="00F12694">
        <w:rPr>
          <w:sz w:val="24"/>
          <w:szCs w:val="24"/>
          <w:lang w:val="en-US"/>
        </w:rPr>
        <w:t>. 2023. T. 31. No. 4. P</w:t>
      </w:r>
      <w:r w:rsidR="00F12694" w:rsidRPr="00F12694">
        <w:rPr>
          <w:sz w:val="24"/>
          <w:szCs w:val="24"/>
          <w:lang w:val="en-US"/>
        </w:rPr>
        <w:t>p</w:t>
      </w:r>
      <w:r w:rsidRPr="00F12694">
        <w:rPr>
          <w:sz w:val="24"/>
          <w:szCs w:val="24"/>
          <w:lang w:val="en-US"/>
        </w:rPr>
        <w:t>. 634-649.</w:t>
      </w:r>
    </w:p>
    <w:p w14:paraId="3F399161" w14:textId="77777777" w:rsidR="006776A8" w:rsidRPr="006776A8" w:rsidRDefault="006776A8" w:rsidP="00E31F9E">
      <w:pPr>
        <w:pStyle w:val="a4"/>
        <w:ind w:firstLine="709"/>
        <w:jc w:val="both"/>
        <w:rPr>
          <w:sz w:val="24"/>
          <w:szCs w:val="24"/>
          <w:lang w:val="en-US"/>
        </w:rPr>
      </w:pPr>
    </w:p>
    <w:sectPr w:rsidR="006776A8" w:rsidRPr="006776A8" w:rsidSect="0098552F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DE82D" w14:textId="77777777" w:rsidR="0098552F" w:rsidRDefault="0098552F" w:rsidP="00626D4B">
      <w:pPr>
        <w:spacing w:after="0"/>
      </w:pPr>
      <w:r>
        <w:separator/>
      </w:r>
    </w:p>
  </w:endnote>
  <w:endnote w:type="continuationSeparator" w:id="0">
    <w:p w14:paraId="4A0C93BC" w14:textId="77777777" w:rsidR="0098552F" w:rsidRDefault="0098552F" w:rsidP="00626D4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733D90" w14:textId="77777777" w:rsidR="0098552F" w:rsidRDefault="0098552F" w:rsidP="00626D4B">
      <w:pPr>
        <w:spacing w:after="0"/>
      </w:pPr>
      <w:r>
        <w:separator/>
      </w:r>
    </w:p>
  </w:footnote>
  <w:footnote w:type="continuationSeparator" w:id="0">
    <w:p w14:paraId="44780453" w14:textId="77777777" w:rsidR="0098552F" w:rsidRDefault="0098552F" w:rsidP="00626D4B">
      <w:pPr>
        <w:spacing w:after="0"/>
      </w:pPr>
      <w:r>
        <w:continuationSeparator/>
      </w:r>
    </w:p>
  </w:footnote>
  <w:footnote w:id="1">
    <w:p w14:paraId="56A12E38" w14:textId="011BBB1A" w:rsidR="00F12694" w:rsidRPr="00F12694" w:rsidRDefault="00F12694" w:rsidP="00F12694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F12694">
        <w:t>Исследование выполнено в рамках проекта Государственного задания FZWG-2023-0006 «Регулирование демографического поведения населения сельских территорий Центрально-Черноземного экономического района как основной механизм социального воспроизводства в условиях депопуляции».</w:t>
      </w:r>
    </w:p>
  </w:footnote>
  <w:footnote w:id="2">
    <w:p w14:paraId="504822CE" w14:textId="6C6C5225" w:rsidR="0074210D" w:rsidRPr="0074210D" w:rsidRDefault="0074210D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74210D">
        <w:t>Об утверждении Стратегии пространственного развития до 2025 года</w:t>
      </w:r>
      <w:r>
        <w:t xml:space="preserve">: распоряжение Правительства РФ </w:t>
      </w:r>
      <w:r w:rsidRPr="0074210D">
        <w:t>от 13 февраля 2019 года №207-р.</w:t>
      </w:r>
      <w:r>
        <w:t xml:space="preserve"> </w:t>
      </w:r>
      <w:r>
        <w:rPr>
          <w:lang w:val="en-US"/>
        </w:rPr>
        <w:t>URL</w:t>
      </w:r>
      <w:r>
        <w:t xml:space="preserve">: </w:t>
      </w:r>
      <w:hyperlink r:id="rId1" w:history="1">
        <w:r w:rsidRPr="00A837B7">
          <w:rPr>
            <w:rStyle w:val="a7"/>
          </w:rPr>
          <w:t>http://government.ru/docs/35733/</w:t>
        </w:r>
      </w:hyperlink>
      <w:r>
        <w:t xml:space="preserve"> (дата обращения: 10.03.2024).</w:t>
      </w:r>
    </w:p>
  </w:footnote>
  <w:footnote w:id="3">
    <w:p w14:paraId="162C8ADA" w14:textId="707AEC8C" w:rsidR="00AE14D8" w:rsidRPr="00C34020" w:rsidRDefault="00AE14D8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="00E51152" w:rsidRPr="00E51152">
        <w:t xml:space="preserve">Составлено по: </w:t>
      </w:r>
      <w:r w:rsidRPr="00C34020">
        <w:t>Социально-экономическое положение России. Январь 202</w:t>
      </w:r>
      <w:r>
        <w:t>3</w:t>
      </w:r>
      <w:r w:rsidRPr="00C34020">
        <w:t xml:space="preserve"> года / Росстат. С. </w:t>
      </w:r>
      <w:r>
        <w:t>32</w:t>
      </w:r>
      <w:r w:rsidR="009C2E8B">
        <w:t>1</w:t>
      </w:r>
      <w:r w:rsidRPr="00C34020">
        <w:t>. URL: https://rosstat.gov.ru/compendium/document/50801 (дата обращения: 02.03.2024)</w:t>
      </w:r>
      <w:r>
        <w:t>; Социально-экономическое положение России. Январь 2024 года / Росстат. С. 29</w:t>
      </w:r>
      <w:r w:rsidR="009C2E8B">
        <w:t>3</w:t>
      </w:r>
      <w:r>
        <w:t xml:space="preserve">. </w:t>
      </w:r>
      <w:r>
        <w:rPr>
          <w:lang w:val="en-US"/>
        </w:rPr>
        <w:t>URL</w:t>
      </w:r>
      <w:r w:rsidRPr="00C34020">
        <w:t xml:space="preserve">: </w:t>
      </w:r>
      <w:hyperlink r:id="rId2" w:history="1">
        <w:r w:rsidRPr="00644DBD">
          <w:rPr>
            <w:rStyle w:val="a7"/>
            <w:lang w:val="en-US"/>
          </w:rPr>
          <w:t>https</w:t>
        </w:r>
        <w:r w:rsidRPr="00C34020">
          <w:rPr>
            <w:rStyle w:val="a7"/>
          </w:rPr>
          <w:t>://</w:t>
        </w:r>
        <w:proofErr w:type="spellStart"/>
        <w:r w:rsidRPr="00644DBD">
          <w:rPr>
            <w:rStyle w:val="a7"/>
            <w:lang w:val="en-US"/>
          </w:rPr>
          <w:t>rosstat</w:t>
        </w:r>
        <w:proofErr w:type="spellEnd"/>
        <w:r w:rsidRPr="00C34020">
          <w:rPr>
            <w:rStyle w:val="a7"/>
          </w:rPr>
          <w:t>.</w:t>
        </w:r>
        <w:r w:rsidRPr="00644DBD">
          <w:rPr>
            <w:rStyle w:val="a7"/>
            <w:lang w:val="en-US"/>
          </w:rPr>
          <w:t>gov</w:t>
        </w:r>
        <w:r w:rsidRPr="00C34020">
          <w:rPr>
            <w:rStyle w:val="a7"/>
          </w:rPr>
          <w:t>.</w:t>
        </w:r>
        <w:proofErr w:type="spellStart"/>
        <w:r w:rsidRPr="00644DBD">
          <w:rPr>
            <w:rStyle w:val="a7"/>
            <w:lang w:val="en-US"/>
          </w:rPr>
          <w:t>ru</w:t>
        </w:r>
        <w:proofErr w:type="spellEnd"/>
        <w:r w:rsidRPr="00C34020">
          <w:rPr>
            <w:rStyle w:val="a7"/>
          </w:rPr>
          <w:t>/</w:t>
        </w:r>
        <w:r w:rsidRPr="00644DBD">
          <w:rPr>
            <w:rStyle w:val="a7"/>
            <w:lang w:val="en-US"/>
          </w:rPr>
          <w:t>compendium</w:t>
        </w:r>
        <w:r w:rsidRPr="00C34020">
          <w:rPr>
            <w:rStyle w:val="a7"/>
          </w:rPr>
          <w:t>/</w:t>
        </w:r>
        <w:r w:rsidRPr="00644DBD">
          <w:rPr>
            <w:rStyle w:val="a7"/>
            <w:lang w:val="en-US"/>
          </w:rPr>
          <w:t>document</w:t>
        </w:r>
        <w:r w:rsidRPr="00C34020">
          <w:rPr>
            <w:rStyle w:val="a7"/>
          </w:rPr>
          <w:t>/50801</w:t>
        </w:r>
      </w:hyperlink>
      <w:r w:rsidRPr="00C34020">
        <w:t xml:space="preserve"> (дата обращения:</w:t>
      </w:r>
      <w:r>
        <w:t xml:space="preserve"> 02.03.2024).</w:t>
      </w:r>
    </w:p>
  </w:footnote>
  <w:footnote w:id="4">
    <w:p w14:paraId="44D1ED67" w14:textId="0AB93FC1" w:rsidR="00626D4B" w:rsidRPr="00C34020" w:rsidRDefault="00626D4B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bookmarkStart w:id="3" w:name="_Hlk160287700"/>
      <w:r w:rsidR="00E51152">
        <w:t xml:space="preserve">Составлено по: </w:t>
      </w:r>
      <w:r w:rsidRPr="00C34020">
        <w:t>Социально-экономическое положение России. Январь 202</w:t>
      </w:r>
      <w:r>
        <w:t>3</w:t>
      </w:r>
      <w:r w:rsidRPr="00C34020">
        <w:t xml:space="preserve"> года / Росстат. С. </w:t>
      </w:r>
      <w:r>
        <w:t>327</w:t>
      </w:r>
      <w:r w:rsidRPr="00C34020">
        <w:t>. URL: https://rosstat.gov.ru/compendium/document/50801 (дата обращения: 02.03.2024)</w:t>
      </w:r>
      <w:bookmarkEnd w:id="3"/>
      <w:r>
        <w:t xml:space="preserve">; </w:t>
      </w:r>
      <w:bookmarkStart w:id="4" w:name="_Hlk160287880"/>
      <w:r>
        <w:t xml:space="preserve">Социально-экономическое положение России. Январь 2024 года / Росстат. С. 299. </w:t>
      </w:r>
      <w:r>
        <w:rPr>
          <w:lang w:val="en-US"/>
        </w:rPr>
        <w:t>URL</w:t>
      </w:r>
      <w:r w:rsidRPr="00C34020">
        <w:t xml:space="preserve">: </w:t>
      </w:r>
      <w:hyperlink r:id="rId3" w:history="1">
        <w:r w:rsidRPr="00644DBD">
          <w:rPr>
            <w:rStyle w:val="a7"/>
            <w:lang w:val="en-US"/>
          </w:rPr>
          <w:t>https</w:t>
        </w:r>
        <w:r w:rsidRPr="00C34020">
          <w:rPr>
            <w:rStyle w:val="a7"/>
          </w:rPr>
          <w:t>://</w:t>
        </w:r>
        <w:proofErr w:type="spellStart"/>
        <w:r w:rsidRPr="00644DBD">
          <w:rPr>
            <w:rStyle w:val="a7"/>
            <w:lang w:val="en-US"/>
          </w:rPr>
          <w:t>rosstat</w:t>
        </w:r>
        <w:proofErr w:type="spellEnd"/>
        <w:r w:rsidRPr="00C34020">
          <w:rPr>
            <w:rStyle w:val="a7"/>
          </w:rPr>
          <w:t>.</w:t>
        </w:r>
        <w:r w:rsidRPr="00644DBD">
          <w:rPr>
            <w:rStyle w:val="a7"/>
            <w:lang w:val="en-US"/>
          </w:rPr>
          <w:t>gov</w:t>
        </w:r>
        <w:r w:rsidRPr="00C34020">
          <w:rPr>
            <w:rStyle w:val="a7"/>
          </w:rPr>
          <w:t>.</w:t>
        </w:r>
        <w:proofErr w:type="spellStart"/>
        <w:r w:rsidRPr="00644DBD">
          <w:rPr>
            <w:rStyle w:val="a7"/>
            <w:lang w:val="en-US"/>
          </w:rPr>
          <w:t>ru</w:t>
        </w:r>
        <w:proofErr w:type="spellEnd"/>
        <w:r w:rsidRPr="00C34020">
          <w:rPr>
            <w:rStyle w:val="a7"/>
          </w:rPr>
          <w:t>/</w:t>
        </w:r>
        <w:r w:rsidRPr="00644DBD">
          <w:rPr>
            <w:rStyle w:val="a7"/>
            <w:lang w:val="en-US"/>
          </w:rPr>
          <w:t>compendium</w:t>
        </w:r>
        <w:r w:rsidRPr="00C34020">
          <w:rPr>
            <w:rStyle w:val="a7"/>
          </w:rPr>
          <w:t>/</w:t>
        </w:r>
        <w:r w:rsidRPr="00644DBD">
          <w:rPr>
            <w:rStyle w:val="a7"/>
            <w:lang w:val="en-US"/>
          </w:rPr>
          <w:t>document</w:t>
        </w:r>
        <w:r w:rsidRPr="00C34020">
          <w:rPr>
            <w:rStyle w:val="a7"/>
          </w:rPr>
          <w:t>/50801</w:t>
        </w:r>
      </w:hyperlink>
      <w:r w:rsidRPr="00C34020">
        <w:t xml:space="preserve"> (дата обращения:</w:t>
      </w:r>
      <w:r>
        <w:t xml:space="preserve"> 02.03.2024).</w:t>
      </w:r>
      <w:bookmarkEnd w:id="4"/>
    </w:p>
  </w:footnote>
  <w:footnote w:id="5">
    <w:p w14:paraId="34C57598" w14:textId="2332DA97" w:rsidR="004152EA" w:rsidRDefault="004152EA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4152EA">
        <w:t>Об утверждении Стратегии социально-экономического развития Белгородской области на период до 2030 года: постановление Правительства Белгородской области от 1 июля 2023 года N 371-пп. URL: https://docs.cntd.ru/document/406733192 (дата обращения: 13.10.2023).</w:t>
      </w:r>
    </w:p>
  </w:footnote>
  <w:footnote w:id="6">
    <w:p w14:paraId="4E28C3D3" w14:textId="3B2E3D35" w:rsidR="004152EA" w:rsidRDefault="004152EA" w:rsidP="00180FE0">
      <w:pPr>
        <w:pStyle w:val="a4"/>
        <w:jc w:val="both"/>
      </w:pPr>
      <w:r>
        <w:rPr>
          <w:rStyle w:val="a6"/>
        </w:rPr>
        <w:footnoteRef/>
      </w:r>
      <w:r w:rsidR="00E40099">
        <w:t xml:space="preserve"> </w:t>
      </w:r>
      <w:r w:rsidRPr="004152EA">
        <w:t>В Белгородской области из 36 населённых пунктов эвакуировали 3,5 тыс. человек. URL: https://bel.ru/news/2023-03-16/v-belgorodskoy-oblasti-iz-36-naselyonnyh-punktov-evakuirovali-3-5-tys-chelovek-2877015 (дата обращения: 0</w:t>
      </w:r>
      <w:r>
        <w:t>9</w:t>
      </w:r>
      <w:r w:rsidRPr="004152EA">
        <w:t>.0</w:t>
      </w:r>
      <w:r>
        <w:t>3</w:t>
      </w:r>
      <w:r w:rsidRPr="004152EA">
        <w:t>.2024).</w:t>
      </w:r>
    </w:p>
  </w:footnote>
  <w:footnote w:id="7">
    <w:p w14:paraId="3BE2FB4A" w14:textId="05A09542" w:rsidR="00E40099" w:rsidRDefault="00E40099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0099">
        <w:t>240 миллионов рублей потратили на размещение белгородцев в ПВР с 1 июня. URL: https://openbelgorod.ru/news/SVO/2023-10-28/240-millionov-rubley-potratili-na-razmeschenie-belgorodtsev-v-pvr-s-1-iyunya-355260 (дата обращения: 04.02.2024).</w:t>
      </w:r>
    </w:p>
  </w:footnote>
  <w:footnote w:id="8">
    <w:p w14:paraId="33025E96" w14:textId="260C16AC" w:rsidR="0018757F" w:rsidRDefault="0018757F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="00E51152">
        <w:t xml:space="preserve">Составлено по: </w:t>
      </w:r>
      <w:r w:rsidRPr="0018757F">
        <w:t>Социально-экономическое положение России. Январь 2023 года / Росстат. С. 329. URL: https://rosstat.gov.ru/compendium/document/50801 (дата обращения: 02.03.2024); Социально-экономическое положение России. Январь 2024 года / Росстат. С. 301. URL: https://rosstat.gov.ru/compendium/document/50801 (дата обращения: 02.03.2024).</w:t>
      </w:r>
    </w:p>
  </w:footnote>
  <w:footnote w:id="9">
    <w:p w14:paraId="05ABD25D" w14:textId="18EB412A" w:rsidR="00E40099" w:rsidRDefault="00E40099" w:rsidP="00180FE0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E40099">
        <w:t>Официальный сайт Управления МВД России по Белгородской области / Состояние преступности в Белгородской области за январь - декабрь 2023 года. URL: https://31.мвд.рф/slujba/статистика-и-аналитика/состояние-преступности-в-белгородской-об (дата обращения: 13.0</w:t>
      </w:r>
      <w:r>
        <w:t>3</w:t>
      </w:r>
      <w:r w:rsidRPr="00E40099">
        <w:t>.2024).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56C81"/>
    <w:multiLevelType w:val="hybridMultilevel"/>
    <w:tmpl w:val="CB7C00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D14F57"/>
    <w:multiLevelType w:val="hybridMultilevel"/>
    <w:tmpl w:val="C3ECADD8"/>
    <w:lvl w:ilvl="0" w:tplc="245C33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621232835">
    <w:abstractNumId w:val="0"/>
  </w:num>
  <w:num w:numId="2" w16cid:durableId="7395199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C35"/>
    <w:rsid w:val="000753C3"/>
    <w:rsid w:val="00085386"/>
    <w:rsid w:val="000A6F25"/>
    <w:rsid w:val="000C776D"/>
    <w:rsid w:val="000D2327"/>
    <w:rsid w:val="000F162A"/>
    <w:rsid w:val="001036C9"/>
    <w:rsid w:val="00180FE0"/>
    <w:rsid w:val="0018757F"/>
    <w:rsid w:val="002732D4"/>
    <w:rsid w:val="002A254E"/>
    <w:rsid w:val="002D2612"/>
    <w:rsid w:val="0032333C"/>
    <w:rsid w:val="00360860"/>
    <w:rsid w:val="003E18B8"/>
    <w:rsid w:val="003F29B5"/>
    <w:rsid w:val="004152EA"/>
    <w:rsid w:val="00416CBD"/>
    <w:rsid w:val="00431309"/>
    <w:rsid w:val="004868B6"/>
    <w:rsid w:val="00562D00"/>
    <w:rsid w:val="00575125"/>
    <w:rsid w:val="00626D4B"/>
    <w:rsid w:val="006776A8"/>
    <w:rsid w:val="006C0B77"/>
    <w:rsid w:val="0074210D"/>
    <w:rsid w:val="007604F7"/>
    <w:rsid w:val="007F5A45"/>
    <w:rsid w:val="008160D3"/>
    <w:rsid w:val="00821193"/>
    <w:rsid w:val="008242FF"/>
    <w:rsid w:val="008429CE"/>
    <w:rsid w:val="00870751"/>
    <w:rsid w:val="0088681B"/>
    <w:rsid w:val="00922C48"/>
    <w:rsid w:val="0098552F"/>
    <w:rsid w:val="009C2E8B"/>
    <w:rsid w:val="009E4B93"/>
    <w:rsid w:val="00A311B7"/>
    <w:rsid w:val="00A54F56"/>
    <w:rsid w:val="00AE14D8"/>
    <w:rsid w:val="00B10284"/>
    <w:rsid w:val="00B12332"/>
    <w:rsid w:val="00B915B7"/>
    <w:rsid w:val="00BC5FCC"/>
    <w:rsid w:val="00CA6D0E"/>
    <w:rsid w:val="00CF6FD9"/>
    <w:rsid w:val="00D22FA0"/>
    <w:rsid w:val="00D71E98"/>
    <w:rsid w:val="00DE6011"/>
    <w:rsid w:val="00E31F9E"/>
    <w:rsid w:val="00E40099"/>
    <w:rsid w:val="00E424BF"/>
    <w:rsid w:val="00E51152"/>
    <w:rsid w:val="00E53726"/>
    <w:rsid w:val="00E93013"/>
    <w:rsid w:val="00EA59DF"/>
    <w:rsid w:val="00EB44AE"/>
    <w:rsid w:val="00EE4070"/>
    <w:rsid w:val="00F12694"/>
    <w:rsid w:val="00F12C76"/>
    <w:rsid w:val="00F40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07BDF"/>
  <w15:chartTrackingRefBased/>
  <w15:docId w15:val="{4ED1F6F7-8ADF-4F8F-BA6F-29B3FD61A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6D4B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26D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626D4B"/>
    <w:pPr>
      <w:spacing w:after="0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6D4B"/>
    <w:rPr>
      <w:rFonts w:ascii="Times New Roman" w:hAnsi="Times New Roman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626D4B"/>
    <w:rPr>
      <w:vertAlign w:val="superscript"/>
    </w:rPr>
  </w:style>
  <w:style w:type="character" w:styleId="a7">
    <w:name w:val="Hyperlink"/>
    <w:basedOn w:val="a0"/>
    <w:uiPriority w:val="99"/>
    <w:unhideWhenUsed/>
    <w:rsid w:val="00626D4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74210D"/>
    <w:rPr>
      <w:color w:val="605E5C"/>
      <w:shd w:val="clear" w:color="auto" w:fill="E1DFDD"/>
    </w:rPr>
  </w:style>
  <w:style w:type="paragraph" w:customStyle="1" w:styleId="docdata">
    <w:name w:val="docdata"/>
    <w:aliases w:val="docy,v5,1675,bqiaagaaeyqcaaagiaiaaapybqaabqagaaaaaaaaaaaaaaaaaaaaaaaaaaaaaaaaaaaaaaaaaaaaaaaaaaaaaaaaaaaaaaaaaaaaaaaaaaaaaaaaaaaaaaaaaaaaaaaaaaaaaaaaaaaaaaaaaaaaaaaaaaaaaaaaaaaaaaaaaaaaaaaaaaaaaaaaaaaaaaaaaaaaaaaaaaaaaaaaaaaaaaaaaaaaaaaaaaaaaaaa"/>
    <w:basedOn w:val="a"/>
    <w:rsid w:val="006776A8"/>
    <w:pPr>
      <w:spacing w:before="100" w:beforeAutospacing="1" w:after="100" w:afterAutospacing="1"/>
    </w:pPr>
    <w:rPr>
      <w:rFonts w:eastAsia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1364">
    <w:name w:val="1364"/>
    <w:aliases w:val="bqiaagaaeyqcaaagiaiaaao7baaabckeaaaaaaaaaaaaaaaaaaaaaaaaaaaaaaaaaaaaaaaaaaaaaaaaaaaaaaaaaaaaaaaaaaaaaaaaaaaaaaaaaaaaaaaaaaaaaaaaaaaaaaaaaaaaaaaaaaaaaaaaaaaaaaaaaaaaaaaaaaaaaaaaaaaaaaaaaaaaaaaaaaaaaaaaaaaaaaaaaaaaaaaaaaaaaaaaaaaaaaaa"/>
    <w:basedOn w:val="a0"/>
    <w:rsid w:val="000C776D"/>
  </w:style>
  <w:style w:type="character" w:customStyle="1" w:styleId="1365">
    <w:name w:val="1365"/>
    <w:aliases w:val="bqiaagaaeyqcaaagiaiaaao8baaabcoeaaaaaaaaaaaaaaaaaaaaaaaaaaaaaaaaaaaaaaaaaaaaaaaaaaaaaaaaaaaaaaaaaaaaaaaaaaaaaaaaaaaaaaaaaaaaaaaaaaaaaaaaaaaaaaaaaaaaaaaaaaaaaaaaaaaaaaaaaaaaaaaaaaaaaaaaaaaaaaaaaaaaaaaaaaaaaaaaaaaaaaaaaaaaaaaaaaaaaaaa"/>
    <w:basedOn w:val="a0"/>
    <w:rsid w:val="000C77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6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utovevg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eutovevg@mail.r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rosstat.gov.ru/compendium/document/50801" TargetMode="External"/><Relationship Id="rId2" Type="http://schemas.openxmlformats.org/officeDocument/2006/relationships/hyperlink" Target="https://rosstat.gov.ru/compendium/document/50801" TargetMode="External"/><Relationship Id="rId1" Type="http://schemas.openxmlformats.org/officeDocument/2006/relationships/hyperlink" Target="http://government.ru/docs/3573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490AE7-1EEF-4666-AC4F-CFC121071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2193</Words>
  <Characters>12501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2024-03-17T13:49:00Z</dcterms:created>
  <dcterms:modified xsi:type="dcterms:W3CDTF">2024-03-17T14:03:00Z</dcterms:modified>
</cp:coreProperties>
</file>